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60A" w:rsidRPr="006F060A" w:rsidRDefault="006F060A" w:rsidP="006F060A">
      <w:pPr>
        <w:widowControl w:val="0"/>
        <w:spacing w:after="0" w:line="480" w:lineRule="auto"/>
        <w:jc w:val="both"/>
        <w:outlineLvl w:val="0"/>
        <w:rPr>
          <w:rFonts w:ascii="Times New Roman" w:eastAsia="Microsoft YaHei" w:hAnsi="Times New Roman" w:cs="Times New Roman"/>
          <w:b/>
          <w:bCs/>
          <w:color w:val="538135"/>
          <w:sz w:val="24"/>
          <w:szCs w:val="24"/>
          <w:lang w:eastAsia="en-GB"/>
        </w:rPr>
      </w:pPr>
      <w:r w:rsidRPr="006F060A">
        <w:rPr>
          <w:rFonts w:ascii="Times New Roman" w:eastAsia="Microsoft YaHei" w:hAnsi="Times New Roman" w:cs="Times New Roman"/>
          <w:b/>
          <w:bCs/>
          <w:color w:val="538135"/>
          <w:sz w:val="24"/>
          <w:szCs w:val="24"/>
          <w:lang w:eastAsia="en-GB"/>
        </w:rPr>
        <w:t xml:space="preserve">Legends to </w:t>
      </w:r>
      <w:r w:rsidRPr="006F060A">
        <w:rPr>
          <w:rFonts w:ascii="Times New Roman" w:eastAsia="Times New Roman" w:hAnsi="Times New Roman" w:cs="Times New Roman"/>
          <w:b/>
          <w:bCs/>
          <w:color w:val="538135"/>
          <w:sz w:val="24"/>
          <w:szCs w:val="24"/>
          <w:lang w:eastAsia="en-GB"/>
        </w:rPr>
        <w:t>Supplementary</w:t>
      </w:r>
      <w:r w:rsidRPr="006F060A">
        <w:rPr>
          <w:rFonts w:ascii="Times New Roman" w:eastAsia="Microsoft YaHei" w:hAnsi="Times New Roman" w:cs="Times New Roman"/>
          <w:b/>
          <w:bCs/>
          <w:color w:val="538135"/>
          <w:sz w:val="24"/>
          <w:szCs w:val="24"/>
          <w:lang w:eastAsia="en-GB"/>
        </w:rPr>
        <w:t xml:space="preserve"> Figure</w:t>
      </w:r>
      <w:r w:rsidRPr="006F060A">
        <w:rPr>
          <w:rFonts w:ascii="Times New Roman" w:eastAsia="Microsoft YaHei" w:hAnsi="Times New Roman" w:cs="Times New Roman" w:hint="eastAsia"/>
          <w:b/>
          <w:bCs/>
          <w:color w:val="538135"/>
          <w:sz w:val="24"/>
          <w:szCs w:val="24"/>
          <w:lang w:eastAsia="en-GB"/>
        </w:rPr>
        <w:t>s</w:t>
      </w:r>
    </w:p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Times New Roman" w:hAnsi="Times New Roman" w:cs="Arial"/>
          <w:kern w:val="2"/>
          <w:sz w:val="24"/>
          <w:lang w:val="en-US" w:eastAsia="zh-CN"/>
        </w:rPr>
      </w:pPr>
      <w:bookmarkStart w:id="0" w:name="_Hlk89677010"/>
      <w:r w:rsidRPr="006F060A">
        <w:rPr>
          <w:rFonts w:ascii="Times New Roman" w:eastAsia="Times New Roman" w:hAnsi="Times New Roman" w:cs="Arial"/>
          <w:b/>
          <w:bCs/>
          <w:sz w:val="24"/>
          <w:lang w:val="en-US" w:eastAsia="zh-CN"/>
        </w:rPr>
        <w:t>Fig. S1.</w:t>
      </w:r>
      <w:r w:rsidRPr="006F060A">
        <w:rPr>
          <w:rFonts w:ascii="Times New Roman" w:eastAsia="Times New Roman" w:hAnsi="Times New Roman" w:cs="Arial"/>
          <w:noProof/>
          <w:kern w:val="2"/>
          <w:sz w:val="24"/>
          <w:lang w:val="en-US" w:eastAsia="zh-CN"/>
        </w:rPr>
        <w:t xml:space="preserve"> </w:t>
      </w:r>
      <w:r w:rsidRPr="006F060A">
        <w:rPr>
          <w:rFonts w:ascii="Times New Roman" w:eastAsia="Times New Roman" w:hAnsi="Times New Roman" w:cs="Arial"/>
          <w:bCs/>
          <w:sz w:val="24"/>
          <w:lang w:val="en-US" w:eastAsia="zh-CN"/>
        </w:rPr>
        <w:t xml:space="preserve">Restriction endonuclease analysis of </w:t>
      </w:r>
      <w:r w:rsidRPr="006F060A">
        <w:rPr>
          <w:rFonts w:ascii="Times New Roman" w:eastAsia="Times New Roman" w:hAnsi="Times New Roman" w:cs="Arial"/>
          <w:bCs/>
          <w:i/>
          <w:sz w:val="24"/>
          <w:lang w:val="en-US" w:eastAsia="zh-CN"/>
        </w:rPr>
        <w:t>T. musculi</w:t>
      </w:r>
      <w:r w:rsidRPr="006F060A">
        <w:rPr>
          <w:rFonts w:ascii="Times New Roman" w:eastAsia="Times New Roman" w:hAnsi="Times New Roman" w:cs="Arial"/>
          <w:bCs/>
          <w:sz w:val="24"/>
          <w:lang w:val="en-US" w:eastAsia="zh-CN"/>
        </w:rPr>
        <w:t xml:space="preserve"> kDNA.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(A) Kinetoplast DNA from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T. musculi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>is resolved on a 1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>.0%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 agarose gel. (B) </w:t>
      </w:r>
      <w:r w:rsidRPr="006F060A">
        <w:rPr>
          <w:rFonts w:ascii="Times New Roman" w:eastAsia="Times New Roman" w:hAnsi="Times New Roman" w:cs="Arial"/>
          <w:bCs/>
          <w:sz w:val="24"/>
          <w:lang w:val="en-US" w:eastAsia="zh-CN"/>
        </w:rPr>
        <w:t>Restriction endonuclease digestion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of </w:t>
      </w:r>
      <w:r w:rsidRPr="006F060A">
        <w:rPr>
          <w:rFonts w:ascii="Times New Roman" w:eastAsia="Times New Roman" w:hAnsi="Times New Roman" w:cs="Arial"/>
          <w:i/>
          <w:kern w:val="2"/>
          <w:sz w:val="24"/>
          <w:lang w:val="en-US" w:eastAsia="zh-CN"/>
        </w:rPr>
        <w:t>T. musculi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kDNA as analyzed on a 1.0% agarose gel.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(C) Computer simulated virtual restriction patterns derived from the complete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>T. musculi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 maxicircle with the same set of restriction enzymes from (B).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>Asteri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>sk</w:t>
      </w:r>
      <w:r w:rsidRPr="006F060A">
        <w:rPr>
          <w:rFonts w:ascii="Times New Roman" w:eastAsia="DengXian" w:hAnsi="Times New Roman" w:cs="Arial"/>
          <w:kern w:val="2"/>
          <w:sz w:val="24"/>
          <w:lang w:val="en-US" w:eastAsia="zh-CN"/>
        </w:rPr>
        <w:t xml:space="preserve">s indicate 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>&gt;4.0 kb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>-long bands identified both in (B) and (C), and a tr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iangle </w:t>
      </w:r>
      <w:r w:rsidRPr="006F060A">
        <w:rPr>
          <w:rFonts w:ascii="Times New Roman" w:eastAsia="DengXian" w:hAnsi="Times New Roman" w:cs="Arial"/>
          <w:kern w:val="2"/>
          <w:sz w:val="24"/>
          <w:lang w:val="en-US" w:eastAsia="zh-CN"/>
        </w:rPr>
        <w:t>indicates the band (~5 kb)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only present in (B).</w:t>
      </w:r>
      <w:r w:rsidRPr="006F060A">
        <w:rPr>
          <w:rFonts w:ascii="Times New Roman" w:eastAsia="DengXian" w:hAnsi="Times New Roman" w:cs="Arial"/>
          <w:kern w:val="2"/>
          <w:sz w:val="24"/>
          <w:lang w:val="en-US" w:eastAsia="zh-CN"/>
        </w:rPr>
        <w:t xml:space="preserve"> 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>The marker is DL10000 (Takara, China).</w:t>
      </w:r>
    </w:p>
    <w:bookmarkEnd w:id="0"/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Times New Roman" w:hAnsi="Times New Roman" w:cs="Arial"/>
          <w:b/>
          <w:color w:val="231F20"/>
          <w:kern w:val="2"/>
          <w:sz w:val="24"/>
          <w:lang w:val="en-US" w:eastAsia="zh-CN"/>
        </w:rPr>
      </w:pPr>
    </w:p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</w:pPr>
      <w:bookmarkStart w:id="1" w:name="_Hlk89677017"/>
      <w:r w:rsidRPr="006F060A">
        <w:rPr>
          <w:rFonts w:ascii="Times New Roman" w:eastAsia="Times New Roman" w:hAnsi="Times New Roman" w:cs="Arial"/>
          <w:b/>
          <w:kern w:val="2"/>
          <w:sz w:val="24"/>
          <w:lang w:val="en-US" w:eastAsia="zh-CN"/>
        </w:rPr>
        <w:t>Fig. S2.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</w:t>
      </w:r>
      <w:r w:rsidRPr="006F060A">
        <w:rPr>
          <w:rFonts w:ascii="Times New Roman" w:eastAsia="Times New Roman" w:hAnsi="Times New Roman" w:cs="Arial"/>
          <w:bCs/>
          <w:color w:val="000000"/>
          <w:sz w:val="24"/>
          <w:lang w:val="en-US" w:eastAsia="zh-CN"/>
        </w:rPr>
        <w:t xml:space="preserve">The assembly contigs in </w:t>
      </w:r>
      <w:r w:rsidRPr="006F060A">
        <w:rPr>
          <w:rFonts w:ascii="Times New Roman" w:eastAsia="Times New Roman" w:hAnsi="Times New Roman" w:cs="Arial"/>
          <w:bCs/>
          <w:i/>
          <w:color w:val="000000"/>
          <w:sz w:val="24"/>
          <w:lang w:val="en-US" w:eastAsia="zh-CN"/>
        </w:rPr>
        <w:t xml:space="preserve">T. musculi. </w:t>
      </w:r>
      <w:r w:rsidRPr="006F060A">
        <w:rPr>
          <w:rFonts w:ascii="Times New Roman" w:eastAsia="Times New Roman" w:hAnsi="Times New Roman" w:cs="Arial"/>
          <w:bCs/>
          <w:iCs/>
          <w:color w:val="000000"/>
          <w:sz w:val="24"/>
          <w:lang w:val="en-US" w:eastAsia="zh-CN"/>
        </w:rPr>
        <w:t>The</w:t>
      </w:r>
      <w:r w:rsidRPr="006F060A">
        <w:rPr>
          <w:rFonts w:ascii="Times New Roman" w:eastAsia="Times New Roman" w:hAnsi="Times New Roman" w:cs="Arial"/>
          <w:bCs/>
          <w:i/>
          <w:color w:val="000000"/>
          <w:sz w:val="24"/>
          <w:lang w:val="en-US" w:eastAsia="zh-CN"/>
        </w:rPr>
        <w:t xml:space="preserve"> </w:t>
      </w:r>
      <w:r w:rsidRPr="006F060A">
        <w:rPr>
          <w:rFonts w:ascii="Times New Roman" w:eastAsia="Times New Roman" w:hAnsi="Times New Roman" w:cs="Arial"/>
          <w:bCs/>
          <w:color w:val="000000"/>
          <w:sz w:val="24"/>
          <w:lang w:val="en-US" w:eastAsia="zh-CN"/>
        </w:rPr>
        <w:t xml:space="preserve">maxicircle is drawn in a linear form, starting from the </w:t>
      </w:r>
      <w:r w:rsidRPr="006F060A">
        <w:rPr>
          <w:rFonts w:ascii="Times New Roman" w:eastAsia="Times New Roman" w:hAnsi="Times New Roman" w:cs="Arial"/>
          <w:bCs/>
          <w:i/>
          <w:color w:val="000000"/>
          <w:sz w:val="24"/>
          <w:lang w:val="en-US" w:eastAsia="zh-CN"/>
        </w:rPr>
        <w:t>12S rRNA</w:t>
      </w:r>
      <w:r w:rsidRPr="006F060A">
        <w:rPr>
          <w:rFonts w:ascii="Times New Roman" w:eastAsia="Times New Roman" w:hAnsi="Times New Roman" w:cs="Arial"/>
          <w:bCs/>
          <w:color w:val="000000"/>
          <w:sz w:val="24"/>
          <w:lang w:val="en-US" w:eastAsia="zh-CN"/>
        </w:rPr>
        <w:t xml:space="preserve"> gene. Regions covered by raw reads and the assembly contigs are shown below in green and overlaps at each end are colored in blue. </w:t>
      </w:r>
    </w:p>
    <w:bookmarkEnd w:id="1"/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Times New Roman" w:hAnsi="Times New Roman" w:cs="Arial"/>
          <w:b/>
          <w:color w:val="231F20"/>
          <w:kern w:val="2"/>
          <w:sz w:val="24"/>
          <w:lang w:val="en-US" w:eastAsia="zh-CN"/>
        </w:rPr>
      </w:pPr>
    </w:p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Times New Roman" w:hAnsi="Times New Roman" w:cs="Arial"/>
          <w:kern w:val="2"/>
          <w:sz w:val="24"/>
          <w:lang w:val="en-US" w:eastAsia="zh-CN"/>
        </w:rPr>
      </w:pPr>
      <w:bookmarkStart w:id="2" w:name="_Hlk89677024"/>
      <w:r w:rsidRPr="006F060A">
        <w:rPr>
          <w:rFonts w:ascii="Times New Roman" w:eastAsia="Times New Roman" w:hAnsi="Times New Roman" w:cs="Arial"/>
          <w:b/>
          <w:color w:val="231F20"/>
          <w:kern w:val="2"/>
          <w:sz w:val="24"/>
          <w:lang w:val="en-US" w:eastAsia="zh-CN"/>
        </w:rPr>
        <w:t>Fig. S3.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PCR amplification of </w:t>
      </w:r>
      <w:r w:rsidRPr="006F060A">
        <w:rPr>
          <w:rFonts w:ascii="Times New Roman" w:eastAsia="Times New Roman" w:hAnsi="Times New Roman" w:cs="Arial"/>
          <w:i/>
          <w:kern w:val="2"/>
          <w:sz w:val="24"/>
          <w:lang w:val="en-US" w:eastAsia="zh-CN"/>
        </w:rPr>
        <w:t>T. musculi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maxicircle DNA using twelve pairs of primers, fragments are analyzed on a 1.0 % agarose gel. The marker is DL10000 (Takara, China). </w:t>
      </w:r>
      <w:r w:rsidRPr="006F060A">
        <w:rPr>
          <w:rFonts w:ascii="Times New Roman" w:eastAsia="Times New Roman" w:hAnsi="Times New Roman" w:cs="Times New Roman"/>
          <w:kern w:val="2"/>
          <w:sz w:val="24"/>
          <w:szCs w:val="21"/>
          <w:lang w:val="en-US" w:eastAsia="zh-CN"/>
        </w:rPr>
        <w:t>The information on the primers has been summarized in Table S1.</w:t>
      </w:r>
    </w:p>
    <w:bookmarkEnd w:id="2"/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Times New Roman" w:hAnsi="Times New Roman" w:cs="Arial"/>
          <w:b/>
          <w:color w:val="231F20"/>
          <w:kern w:val="2"/>
          <w:sz w:val="24"/>
          <w:lang w:val="en-US" w:eastAsia="zh-CN"/>
        </w:rPr>
      </w:pPr>
    </w:p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Times New Roman" w:hAnsi="Times New Roman" w:cs="Arial"/>
          <w:kern w:val="2"/>
          <w:sz w:val="24"/>
          <w:lang w:val="en-US" w:eastAsia="zh-CN"/>
        </w:rPr>
      </w:pPr>
      <w:r w:rsidRPr="006F060A">
        <w:rPr>
          <w:rFonts w:ascii="Times New Roman" w:eastAsia="Times New Roman" w:hAnsi="Times New Roman" w:cs="Arial"/>
          <w:b/>
          <w:kern w:val="2"/>
          <w:sz w:val="24"/>
          <w:lang w:val="en-US" w:eastAsia="zh-CN"/>
        </w:rPr>
        <w:t xml:space="preserve">Fig. S4. 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Dot plot comparative analysis of the coding region of </w:t>
      </w:r>
      <w:r w:rsidRPr="006F060A">
        <w:rPr>
          <w:rFonts w:ascii="Times New Roman" w:eastAsia="Times New Roman" w:hAnsi="Times New Roman" w:cs="Arial"/>
          <w:i/>
          <w:kern w:val="2"/>
          <w:sz w:val="24"/>
          <w:lang w:val="en-US" w:eastAsia="zh-CN"/>
        </w:rPr>
        <w:t xml:space="preserve">T. musculi 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compared with the coding region of </w:t>
      </w:r>
      <w:r w:rsidRPr="006F060A">
        <w:rPr>
          <w:rFonts w:ascii="Times New Roman" w:eastAsia="Times New Roman" w:hAnsi="Times New Roman" w:cs="Arial"/>
          <w:i/>
          <w:kern w:val="2"/>
          <w:sz w:val="24"/>
          <w:lang w:val="en-US" w:eastAsia="zh-CN"/>
        </w:rPr>
        <w:t>T. lewisi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(A), </w:t>
      </w:r>
      <w:r w:rsidRPr="006F060A">
        <w:rPr>
          <w:rFonts w:ascii="Times New Roman" w:eastAsia="Times New Roman" w:hAnsi="Times New Roman" w:cs="Arial"/>
          <w:i/>
          <w:kern w:val="2"/>
          <w:sz w:val="24"/>
          <w:lang w:val="en-US" w:eastAsia="zh-CN"/>
        </w:rPr>
        <w:t>T. cruzi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(B) and </w:t>
      </w:r>
      <w:r w:rsidRPr="006F060A">
        <w:rPr>
          <w:rFonts w:ascii="Times New Roman" w:eastAsia="Times New Roman" w:hAnsi="Times New Roman" w:cs="Arial"/>
          <w:i/>
          <w:kern w:val="2"/>
          <w:sz w:val="24"/>
          <w:lang w:val="en-US" w:eastAsia="zh-CN"/>
        </w:rPr>
        <w:t xml:space="preserve">T. brucei 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>(C), respectively. Diagonal lines indicate that the DNA sequences of two compared species are homologous</w:t>
      </w:r>
      <w:r w:rsidRPr="006F060A" w:rsidDel="004A789B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>in the corresponding regi</w:t>
      </w:r>
      <w:r w:rsidRPr="006F060A">
        <w:rPr>
          <w:rFonts w:ascii="Times New Roman" w:eastAsia="Times New Roman" w:hAnsi="Times New Roman" w:cs="Times New Roman"/>
          <w:kern w:val="2"/>
          <w:sz w:val="24"/>
          <w:lang w:val="en-US" w:eastAsia="zh-CN"/>
        </w:rPr>
        <w:t xml:space="preserve">ons </w:t>
      </w:r>
      <w:r w:rsidRPr="006F060A">
        <w:rPr>
          <w:rFonts w:ascii="Times New Roman" w:eastAsia="SimSun" w:hAnsi="Times New Roman" w:cs="Times New Roman"/>
          <w:kern w:val="2"/>
          <w:sz w:val="24"/>
          <w:lang w:val="en-US" w:eastAsia="zh-CN"/>
        </w:rPr>
        <w:t>(allow 10% indels, 25% mutations and e-value &lt; 1 × 10</w:t>
      </w:r>
      <w:r w:rsidRPr="006F060A">
        <w:rPr>
          <w:rFonts w:ascii="Times New Roman" w:eastAsia="SimSun" w:hAnsi="Times New Roman" w:cs="Times New Roman"/>
          <w:kern w:val="2"/>
          <w:sz w:val="24"/>
          <w:vertAlign w:val="superscript"/>
          <w:lang w:val="en-US" w:eastAsia="zh-CN"/>
        </w:rPr>
        <w:t>-5</w:t>
      </w:r>
      <w:r w:rsidRPr="006F060A">
        <w:rPr>
          <w:rFonts w:ascii="Times New Roman" w:eastAsia="SimSun" w:hAnsi="Times New Roman" w:cs="Times New Roman"/>
          <w:kern w:val="2"/>
          <w:sz w:val="24"/>
          <w:lang w:val="en-US" w:eastAsia="zh-CN"/>
        </w:rPr>
        <w:t xml:space="preserve"> in alignment)</w:t>
      </w:r>
      <w:r w:rsidRPr="006F060A">
        <w:rPr>
          <w:rFonts w:ascii="Times New Roman" w:eastAsia="Times New Roman" w:hAnsi="Times New Roman" w:cs="Times New Roman"/>
          <w:kern w:val="2"/>
          <w:sz w:val="24"/>
          <w:lang w:val="en-US" w:eastAsia="zh-CN"/>
        </w:rPr>
        <w:t xml:space="preserve">. 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The break regions in seen in the </w:t>
      </w:r>
      <w:r w:rsidRPr="006F060A">
        <w:rPr>
          <w:rFonts w:ascii="Times New Roman" w:eastAsia="Times New Roman" w:hAnsi="Times New Roman" w:cs="Arial"/>
          <w:i/>
          <w:kern w:val="2"/>
          <w:sz w:val="24"/>
          <w:lang w:val="en-US" w:eastAsia="zh-CN"/>
        </w:rPr>
        <w:t>T. musculi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vs. other Trypanosomatidae species are due to the insertions 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lastRenderedPageBreak/>
        <w:t xml:space="preserve">and deletions in </w:t>
      </w:r>
      <w:r w:rsidRPr="006F060A">
        <w:rPr>
          <w:rFonts w:ascii="Times New Roman" w:eastAsia="Times New Roman" w:hAnsi="Times New Roman" w:cs="Arial"/>
          <w:i/>
          <w:kern w:val="2"/>
          <w:sz w:val="24"/>
          <w:lang w:val="en-US" w:eastAsia="zh-CN"/>
        </w:rPr>
        <w:t>T. musculi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which are, respectively, marked by blue and orange ellipses.</w:t>
      </w:r>
    </w:p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Times New Roman" w:hAnsi="Times New Roman" w:cs="Arial"/>
          <w:b/>
          <w:color w:val="231F20"/>
          <w:kern w:val="2"/>
          <w:sz w:val="24"/>
          <w:lang w:val="en-US" w:eastAsia="zh-CN"/>
        </w:rPr>
      </w:pPr>
    </w:p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Times New Roman" w:hAnsi="Times New Roman" w:cs="Arial"/>
          <w:b/>
          <w:color w:val="231F20"/>
          <w:kern w:val="2"/>
          <w:sz w:val="24"/>
          <w:lang w:val="en-US" w:eastAsia="zh-CN"/>
        </w:rPr>
      </w:pPr>
      <w:r w:rsidRPr="006F060A">
        <w:rPr>
          <w:rFonts w:ascii="Times New Roman" w:eastAsia="Times New Roman" w:hAnsi="Times New Roman" w:cs="Arial"/>
          <w:b/>
          <w:color w:val="231F20"/>
          <w:kern w:val="2"/>
          <w:sz w:val="24"/>
          <w:lang w:val="en-US" w:eastAsia="zh-CN"/>
        </w:rPr>
        <w:t>Fig. S5.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 Circos plots that compare the maxicircles of two species, (A)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>T. musculi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 (left sequence) and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T. lewisi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(right sequence); (B)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>T. musculi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 (left sequence) and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T. cruzi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(right sequence); (C)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T. musculi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(left sequence) and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>T. brucei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 (right sequence). Ribbons inside the circle connect homologous regions (&gt;300 bp), and the colors represent the percent of sequence identity in the range [70%; 100%] in the order yellow, green, and blue.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Sequence identity w</w:t>
      </w:r>
      <w:r w:rsidRPr="006F060A">
        <w:rPr>
          <w:rFonts w:ascii="Times New Roman" w:eastAsia="Times New Roman" w:hAnsi="Times New Roman" w:cs="Times New Roman"/>
          <w:kern w:val="2"/>
          <w:sz w:val="24"/>
          <w:lang w:val="en-US" w:eastAsia="zh-CN"/>
        </w:rPr>
        <w:t xml:space="preserve">as </w:t>
      </w:r>
      <w:r w:rsidRPr="006F060A">
        <w:rPr>
          <w:rFonts w:ascii="Times New Roman" w:eastAsia="DengXian" w:hAnsi="Times New Roman" w:cs="Times New Roman"/>
          <w:kern w:val="2"/>
          <w:sz w:val="24"/>
          <w:lang w:val="en-US" w:eastAsia="zh-CN"/>
        </w:rPr>
        <w:t>calculated</w:t>
      </w:r>
      <w:r w:rsidRPr="006F060A">
        <w:rPr>
          <w:rFonts w:ascii="Times New Roman" w:eastAsia="Times New Roman" w:hAnsi="Times New Roman" w:cs="Times New Roman"/>
          <w:kern w:val="2"/>
          <w:sz w:val="24"/>
          <w:lang w:val="en-US" w:eastAsia="zh-CN"/>
        </w:rPr>
        <w:t xml:space="preserve"> using BLAS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T. Recently developed primers (TM1-2 and TL1-3) for distinguishing </w:t>
      </w:r>
      <w:r w:rsidRPr="006F060A">
        <w:rPr>
          <w:rFonts w:ascii="Times New Roman" w:eastAsia="Times New Roman" w:hAnsi="Times New Roman" w:cs="Arial"/>
          <w:i/>
          <w:iCs/>
          <w:kern w:val="2"/>
          <w:sz w:val="24"/>
          <w:lang w:val="en-US" w:eastAsia="zh-CN"/>
        </w:rPr>
        <w:t>T. musculi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and </w:t>
      </w:r>
      <w:r w:rsidRPr="006F060A">
        <w:rPr>
          <w:rFonts w:ascii="Times New Roman" w:eastAsia="Times New Roman" w:hAnsi="Times New Roman" w:cs="Arial"/>
          <w:i/>
          <w:iCs/>
          <w:kern w:val="2"/>
          <w:sz w:val="24"/>
          <w:lang w:val="en-US" w:eastAsia="zh-CN"/>
        </w:rPr>
        <w:t>T. lewisi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were indicated (Hong </w:t>
      </w:r>
      <w:r w:rsidRPr="006F060A">
        <w:rPr>
          <w:rFonts w:ascii="Times New Roman" w:eastAsia="Times New Roman" w:hAnsi="Times New Roman" w:cs="Arial"/>
          <w:i/>
          <w:iCs/>
          <w:kern w:val="2"/>
          <w:sz w:val="24"/>
          <w:lang w:val="en-US" w:eastAsia="zh-CN"/>
        </w:rPr>
        <w:t>et al.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>, 2017).</w:t>
      </w:r>
    </w:p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Times New Roman" w:hAnsi="Times New Roman" w:cs="Arial"/>
          <w:kern w:val="2"/>
          <w:sz w:val="20"/>
          <w:lang w:val="en-US" w:eastAsia="zh-CN"/>
        </w:rPr>
      </w:pPr>
    </w:p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Times New Roman" w:hAnsi="Times New Roman" w:cs="Arial"/>
          <w:kern w:val="2"/>
          <w:sz w:val="24"/>
          <w:lang w:val="en-US" w:eastAsia="zh-CN"/>
        </w:rPr>
      </w:pPr>
      <w:bookmarkStart w:id="3" w:name="_Hlk91668064"/>
      <w:r w:rsidRPr="006F060A">
        <w:rPr>
          <w:rFonts w:ascii="Times New Roman" w:eastAsia="Times New Roman" w:hAnsi="Times New Roman" w:cs="Arial"/>
          <w:b/>
          <w:kern w:val="2"/>
          <w:sz w:val="24"/>
          <w:lang w:val="en-US" w:eastAsia="zh-CN"/>
        </w:rPr>
        <w:t>Fig. S6.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GC percentage graphs of the maxicircle coding regions of</w:t>
      </w:r>
      <w:r w:rsidRPr="006F060A">
        <w:rPr>
          <w:rFonts w:ascii="Times New Roman" w:eastAsia="Times New Roman" w:hAnsi="Times New Roman" w:cs="Arial"/>
          <w:i/>
          <w:kern w:val="2"/>
          <w:sz w:val="24"/>
          <w:lang w:val="en-US" w:eastAsia="zh-CN"/>
        </w:rPr>
        <w:t xml:space="preserve"> T. brucei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(A)</w:t>
      </w:r>
      <w:r w:rsidRPr="006F060A">
        <w:rPr>
          <w:rFonts w:ascii="Times New Roman" w:eastAsia="Times New Roman" w:hAnsi="Times New Roman" w:cs="Arial"/>
          <w:i/>
          <w:iCs/>
          <w:kern w:val="2"/>
          <w:sz w:val="24"/>
          <w:lang w:val="en-US" w:eastAsia="zh-CN"/>
        </w:rPr>
        <w:t xml:space="preserve"> 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>and</w:t>
      </w:r>
      <w:r w:rsidRPr="006F060A">
        <w:rPr>
          <w:rFonts w:ascii="Times New Roman" w:eastAsia="Times New Roman" w:hAnsi="Times New Roman" w:cs="Arial"/>
          <w:i/>
          <w:kern w:val="2"/>
          <w:sz w:val="24"/>
          <w:lang w:val="en-US" w:eastAsia="zh-CN"/>
        </w:rPr>
        <w:t xml:space="preserve"> T. musculi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(B). The regions where percentage GC content value lie above the dashed lines may likely have RNA editing. Window size is 100 bp.</w:t>
      </w:r>
    </w:p>
    <w:bookmarkEnd w:id="3"/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DengXian" w:hAnsi="Times New Roman" w:cs="Arial"/>
          <w:kern w:val="2"/>
          <w:sz w:val="24"/>
          <w:lang w:val="en-US" w:eastAsia="zh-CN"/>
        </w:rPr>
      </w:pPr>
    </w:p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DengXian" w:hAnsi="Times New Roman" w:cs="Arial"/>
          <w:color w:val="231F20"/>
          <w:kern w:val="2"/>
          <w:sz w:val="24"/>
          <w:lang w:val="en-US" w:eastAsia="zh-CN"/>
        </w:rPr>
      </w:pPr>
      <w:bookmarkStart w:id="4" w:name="_Hlk91668070"/>
      <w:r w:rsidRPr="006F060A">
        <w:rPr>
          <w:rFonts w:ascii="Times New Roman" w:eastAsia="Times New Roman" w:hAnsi="Times New Roman" w:cs="Arial"/>
          <w:b/>
          <w:color w:val="231F20"/>
          <w:kern w:val="2"/>
          <w:sz w:val="24"/>
          <w:lang w:val="en-US" w:eastAsia="zh-CN"/>
        </w:rPr>
        <w:t>Fig. S7.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 Diagram of the repeated elements (α, α’, β, β’, γ, γ’, σ) identified by dot plot analysis of DR</w:t>
      </w:r>
      <w:r w:rsidRPr="006F060A">
        <w:rPr>
          <w:rFonts w:ascii="Times New Roman" w:eastAsia="DengXian" w:hAnsi="Times New Roman" w:cs="Arial"/>
          <w:color w:val="231F20"/>
          <w:kern w:val="2"/>
          <w:sz w:val="24"/>
          <w:lang w:val="en-US" w:eastAsia="zh-CN"/>
        </w:rPr>
        <w:t xml:space="preserve">II. </w:t>
      </w:r>
      <w:bookmarkEnd w:id="4"/>
    </w:p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DengXian" w:hAnsi="Times New Roman" w:cs="Arial"/>
          <w:b/>
          <w:kern w:val="2"/>
          <w:sz w:val="24"/>
          <w:lang w:val="en-US" w:eastAsia="zh-CN"/>
        </w:rPr>
      </w:pPr>
    </w:p>
    <w:p w:rsidR="006F060A" w:rsidRPr="006F060A" w:rsidRDefault="006F060A" w:rsidP="006F060A">
      <w:pPr>
        <w:widowControl w:val="0"/>
        <w:spacing w:after="0" w:line="480" w:lineRule="auto"/>
        <w:jc w:val="both"/>
        <w:rPr>
          <w:rFonts w:ascii="Times New Roman" w:eastAsia="DengXian" w:hAnsi="Times New Roman" w:cs="Arial"/>
          <w:b/>
          <w:kern w:val="2"/>
          <w:sz w:val="24"/>
          <w:lang w:val="en-US" w:eastAsia="zh-CN"/>
        </w:rPr>
      </w:pPr>
      <w:r w:rsidRPr="006F060A">
        <w:rPr>
          <w:rFonts w:ascii="Times New Roman" w:eastAsia="Times New Roman" w:hAnsi="Times New Roman" w:cs="Arial"/>
          <w:b/>
          <w:color w:val="231F20"/>
          <w:kern w:val="2"/>
          <w:sz w:val="24"/>
          <w:lang w:val="en-US" w:eastAsia="zh-CN"/>
        </w:rPr>
        <w:t>Fig. S8.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 Circos plots that compare the maxicircles from three </w:t>
      </w:r>
      <w:r w:rsidRPr="006F060A">
        <w:rPr>
          <w:rFonts w:ascii="Times New Roman" w:eastAsia="Times New Roman" w:hAnsi="Times New Roman" w:cs="Arial"/>
          <w:i/>
          <w:iCs/>
          <w:color w:val="231F20"/>
          <w:kern w:val="2"/>
          <w:sz w:val="24"/>
          <w:lang w:val="en-US" w:eastAsia="zh-CN"/>
        </w:rPr>
        <w:t xml:space="preserve">T. cruzi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strains. (A)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T. cruzi </w:t>
      </w:r>
      <w:r w:rsidRPr="006F060A">
        <w:rPr>
          <w:rFonts w:ascii="Times New Roman" w:eastAsia="Times New Roman" w:hAnsi="Times New Roman" w:cs="Arial"/>
          <w:iCs/>
          <w:color w:val="231F20"/>
          <w:kern w:val="2"/>
          <w:sz w:val="24"/>
          <w:lang w:val="en-US" w:eastAsia="zh-CN"/>
        </w:rPr>
        <w:t xml:space="preserve">TCC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(left sequence) and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T. cruzi </w:t>
      </w:r>
      <w:r w:rsidRPr="006F060A">
        <w:rPr>
          <w:rFonts w:ascii="Times New Roman" w:eastAsia="Times New Roman" w:hAnsi="Times New Roman" w:cs="Arial"/>
          <w:iCs/>
          <w:color w:val="231F20"/>
          <w:kern w:val="2"/>
          <w:sz w:val="24"/>
          <w:lang w:val="en-US" w:eastAsia="zh-CN"/>
        </w:rPr>
        <w:t>Dm28c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(right sequence); (B)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T. cruzi </w:t>
      </w:r>
      <w:r w:rsidRPr="006F060A">
        <w:rPr>
          <w:rFonts w:ascii="Times New Roman" w:eastAsia="Times New Roman" w:hAnsi="Times New Roman" w:cs="Arial"/>
          <w:iCs/>
          <w:color w:val="231F20"/>
          <w:kern w:val="2"/>
          <w:sz w:val="24"/>
          <w:lang w:val="en-US" w:eastAsia="zh-CN"/>
        </w:rPr>
        <w:t>TCC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 (left sequence) and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T. cruzi </w:t>
      </w:r>
      <w:r w:rsidRPr="006F060A">
        <w:rPr>
          <w:rFonts w:ascii="Times New Roman" w:eastAsia="Times New Roman" w:hAnsi="Times New Roman" w:cs="Arial"/>
          <w:iCs/>
          <w:color w:val="231F20"/>
          <w:kern w:val="2"/>
          <w:sz w:val="24"/>
          <w:lang w:val="en-US" w:eastAsia="zh-CN"/>
        </w:rPr>
        <w:t>Y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(right sequence); (C)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T. cruzi </w:t>
      </w:r>
      <w:r w:rsidRPr="006F060A">
        <w:rPr>
          <w:rFonts w:ascii="Times New Roman" w:eastAsia="Times New Roman" w:hAnsi="Times New Roman" w:cs="Arial"/>
          <w:iCs/>
          <w:color w:val="231F20"/>
          <w:kern w:val="2"/>
          <w:sz w:val="24"/>
          <w:lang w:val="en-US" w:eastAsia="zh-CN"/>
        </w:rPr>
        <w:t>Dm28c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(left sequence) and </w:t>
      </w:r>
      <w:r w:rsidRPr="006F060A">
        <w:rPr>
          <w:rFonts w:ascii="Times New Roman" w:eastAsia="Times New Roman" w:hAnsi="Times New Roman" w:cs="Arial"/>
          <w:i/>
          <w:color w:val="231F20"/>
          <w:kern w:val="2"/>
          <w:sz w:val="24"/>
          <w:lang w:val="en-US" w:eastAsia="zh-CN"/>
        </w:rPr>
        <w:t xml:space="preserve">T. cruzi </w:t>
      </w:r>
      <w:r w:rsidRPr="006F060A">
        <w:rPr>
          <w:rFonts w:ascii="Times New Roman" w:eastAsia="Times New Roman" w:hAnsi="Times New Roman" w:cs="Arial"/>
          <w:iCs/>
          <w:color w:val="231F20"/>
          <w:kern w:val="2"/>
          <w:sz w:val="24"/>
          <w:lang w:val="en-US" w:eastAsia="zh-CN"/>
        </w:rPr>
        <w:t>Y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t xml:space="preserve"> (right sequence). Ribbons inside the circle connect homologous regions (&gt;300 bp), and the colors represent the </w:t>
      </w:r>
      <w:r w:rsidRPr="006F060A">
        <w:rPr>
          <w:rFonts w:ascii="Times New Roman" w:eastAsia="Times New Roman" w:hAnsi="Times New Roman" w:cs="Arial"/>
          <w:color w:val="231F20"/>
          <w:kern w:val="2"/>
          <w:sz w:val="24"/>
          <w:lang w:val="en-US" w:eastAsia="zh-CN"/>
        </w:rPr>
        <w:lastRenderedPageBreak/>
        <w:t>percent of sequence identity in the range [70%; 100%] in the order yellow, green, and blue.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 xml:space="preserve"> Sequence identity w</w:t>
      </w:r>
      <w:r w:rsidRPr="006F060A">
        <w:rPr>
          <w:rFonts w:ascii="Times New Roman" w:eastAsia="Times New Roman" w:hAnsi="Times New Roman" w:cs="Times New Roman"/>
          <w:kern w:val="2"/>
          <w:sz w:val="24"/>
          <w:lang w:val="en-US" w:eastAsia="zh-CN"/>
        </w:rPr>
        <w:t xml:space="preserve">as </w:t>
      </w:r>
      <w:r w:rsidRPr="006F060A">
        <w:rPr>
          <w:rFonts w:ascii="Times New Roman" w:eastAsia="DengXian" w:hAnsi="Times New Roman" w:cs="Times New Roman"/>
          <w:kern w:val="2"/>
          <w:sz w:val="24"/>
          <w:lang w:val="en-US" w:eastAsia="zh-CN"/>
        </w:rPr>
        <w:t>calculated</w:t>
      </w:r>
      <w:r w:rsidRPr="006F060A">
        <w:rPr>
          <w:rFonts w:ascii="Times New Roman" w:eastAsia="Times New Roman" w:hAnsi="Times New Roman" w:cs="Times New Roman"/>
          <w:kern w:val="2"/>
          <w:sz w:val="24"/>
          <w:lang w:val="en-US" w:eastAsia="zh-CN"/>
        </w:rPr>
        <w:t xml:space="preserve"> using BLAS</w:t>
      </w:r>
      <w:r w:rsidRPr="006F060A">
        <w:rPr>
          <w:rFonts w:ascii="Times New Roman" w:eastAsia="Times New Roman" w:hAnsi="Times New Roman" w:cs="Arial"/>
          <w:kern w:val="2"/>
          <w:sz w:val="24"/>
          <w:lang w:val="en-US" w:eastAsia="zh-CN"/>
        </w:rPr>
        <w:t>T.</w:t>
      </w:r>
    </w:p>
    <w:p w:rsidR="00F1764B" w:rsidRDefault="00F1764B">
      <w:bookmarkStart w:id="5" w:name="_GoBack"/>
      <w:bookmarkEnd w:id="5"/>
    </w:p>
    <w:sectPr w:rsidR="00F1764B" w:rsidSect="003F49A8">
      <w:footerReference w:type="default" r:id="rId4"/>
      <w:pgSz w:w="11906" w:h="16838" w:code="9"/>
      <w:pgMar w:top="1440" w:right="1440" w:bottom="1440" w:left="1440" w:header="709" w:footer="709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03412"/>
      <w:docPartObj>
        <w:docPartGallery w:val="Page Numbers (Bottom of Page)"/>
        <w:docPartUnique/>
      </w:docPartObj>
    </w:sdtPr>
    <w:sdtEndPr/>
    <w:sdtContent>
      <w:p w:rsidR="003F49A8" w:rsidRDefault="006F060A">
        <w:pPr>
          <w:pStyle w:val="Footer"/>
          <w:jc w:val="center"/>
        </w:pPr>
      </w:p>
      <w:p w:rsidR="003F49A8" w:rsidRDefault="006F06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6F060A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3F49A8" w:rsidRDefault="006F060A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60A"/>
    <w:rsid w:val="002C31EC"/>
    <w:rsid w:val="002E01EA"/>
    <w:rsid w:val="006F060A"/>
    <w:rsid w:val="00DE6A23"/>
    <w:rsid w:val="00F1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6E30B-398D-40D4-BAC2-F8B57AA8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F06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0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Sage</dc:creator>
  <cp:keywords/>
  <dc:description/>
  <cp:lastModifiedBy>Alison Sage</cp:lastModifiedBy>
  <cp:revision>1</cp:revision>
  <dcterms:created xsi:type="dcterms:W3CDTF">2022-07-19T10:55:00Z</dcterms:created>
  <dcterms:modified xsi:type="dcterms:W3CDTF">2022-07-19T10:56:00Z</dcterms:modified>
</cp:coreProperties>
</file>