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BEBB1" w14:textId="2D5AFFE4" w:rsidR="00CE01D8" w:rsidRPr="00CE01D8" w:rsidRDefault="00CE01D8" w:rsidP="00CE01D8">
      <w:pPr>
        <w:widowControl w:val="0"/>
        <w:spacing w:after="0" w:line="480" w:lineRule="auto"/>
        <w:rPr>
          <w:rFonts w:ascii="Times New Roman" w:eastAsia="Times New Roman" w:hAnsi="Times New Roman" w:cs="Times New Roman"/>
          <w:bCs/>
          <w:color w:val="76923C"/>
          <w:sz w:val="28"/>
          <w:szCs w:val="28"/>
          <w:lang w:eastAsia="en-GB"/>
        </w:rPr>
      </w:pPr>
      <w:r w:rsidRPr="00CE01D8">
        <w:rPr>
          <w:rFonts w:ascii="Times New Roman" w:eastAsia="Times New Roman" w:hAnsi="Times New Roman" w:cs="Times New Roman"/>
          <w:bCs/>
          <w:color w:val="76923C"/>
          <w:sz w:val="28"/>
          <w:szCs w:val="28"/>
          <w:lang w:eastAsia="en-GB"/>
        </w:rPr>
        <w:t xml:space="preserve">Evidence for strain-specific virulence of </w:t>
      </w:r>
      <w:r w:rsidRPr="00CE01D8">
        <w:rPr>
          <w:rFonts w:ascii="Times New Roman" w:eastAsia="Times New Roman" w:hAnsi="Times New Roman" w:cs="Times New Roman"/>
          <w:bCs/>
          <w:i/>
          <w:color w:val="76923C"/>
          <w:sz w:val="28"/>
          <w:szCs w:val="28"/>
          <w:lang w:eastAsia="en-GB"/>
        </w:rPr>
        <w:t xml:space="preserve">Trichomonas </w:t>
      </w:r>
      <w:proofErr w:type="spellStart"/>
      <w:r w:rsidRPr="00CE01D8">
        <w:rPr>
          <w:rFonts w:ascii="Times New Roman" w:eastAsia="Times New Roman" w:hAnsi="Times New Roman" w:cs="Times New Roman"/>
          <w:bCs/>
          <w:i/>
          <w:color w:val="76923C"/>
          <w:sz w:val="28"/>
          <w:szCs w:val="28"/>
          <w:lang w:eastAsia="en-GB"/>
        </w:rPr>
        <w:t>gallinae</w:t>
      </w:r>
      <w:proofErr w:type="spellEnd"/>
      <w:r w:rsidRPr="00CE01D8">
        <w:rPr>
          <w:rFonts w:ascii="Times New Roman" w:eastAsia="Times New Roman" w:hAnsi="Times New Roman" w:cs="Times New Roman"/>
          <w:bCs/>
          <w:color w:val="76923C"/>
          <w:sz w:val="28"/>
          <w:szCs w:val="28"/>
          <w:lang w:eastAsia="en-GB"/>
        </w:rPr>
        <w:t xml:space="preserve"> in African </w:t>
      </w:r>
      <w:r>
        <w:rPr>
          <w:rFonts w:ascii="Times New Roman" w:eastAsia="Times New Roman" w:hAnsi="Times New Roman" w:cs="Times New Roman"/>
          <w:bCs/>
          <w:color w:val="76923C"/>
          <w:sz w:val="28"/>
          <w:szCs w:val="28"/>
          <w:lang w:eastAsia="en-GB"/>
        </w:rPr>
        <w:t>Columbiformes – Supplementary Material</w:t>
      </w:r>
    </w:p>
    <w:p w14:paraId="465DC343" w14:textId="77777777" w:rsidR="00CE01D8" w:rsidRPr="00CE01D8" w:rsidRDefault="00CE01D8" w:rsidP="00CE01D8">
      <w:pPr>
        <w:widowControl w:val="0"/>
        <w:spacing w:after="0" w:line="480" w:lineRule="auto"/>
        <w:rPr>
          <w:rFonts w:ascii="Times New Roman" w:eastAsia="Times New Roman" w:hAnsi="Times New Roman" w:cs="Times New Roman"/>
          <w:sz w:val="24"/>
          <w:szCs w:val="24"/>
          <w:lang w:eastAsia="en-GB"/>
        </w:rPr>
      </w:pPr>
    </w:p>
    <w:p w14:paraId="1618B2A4" w14:textId="75E82F45" w:rsidR="00CE01D8" w:rsidRPr="00CE01D8" w:rsidRDefault="00CE01D8" w:rsidP="00CE01D8">
      <w:pPr>
        <w:widowControl w:val="0"/>
        <w:spacing w:after="0" w:line="480" w:lineRule="auto"/>
        <w:rPr>
          <w:rFonts w:ascii="Times New Roman" w:eastAsia="Times New Roman" w:hAnsi="Times New Roman" w:cs="Times New Roman"/>
          <w:sz w:val="24"/>
          <w:szCs w:val="24"/>
          <w:lang w:eastAsia="en-GB"/>
        </w:rPr>
      </w:pPr>
      <w:r w:rsidRPr="00CE01D8">
        <w:rPr>
          <w:rFonts w:ascii="Times New Roman" w:eastAsia="Times New Roman" w:hAnsi="Times New Roman" w:cs="Times New Roman"/>
          <w:sz w:val="24"/>
          <w:szCs w:val="24"/>
          <w:lang w:eastAsia="en-GB"/>
        </w:rPr>
        <w:t xml:space="preserve">Jenny C. Dunn, Rebecca C. Thomas, Helen </w:t>
      </w:r>
      <w:proofErr w:type="spellStart"/>
      <w:r w:rsidRPr="00CE01D8">
        <w:rPr>
          <w:rFonts w:ascii="Times New Roman" w:eastAsia="Times New Roman" w:hAnsi="Times New Roman" w:cs="Times New Roman"/>
          <w:sz w:val="24"/>
          <w:szCs w:val="24"/>
          <w:lang w:eastAsia="en-GB"/>
        </w:rPr>
        <w:t>Hipperson</w:t>
      </w:r>
      <w:proofErr w:type="spellEnd"/>
      <w:r w:rsidRPr="00CE01D8">
        <w:rPr>
          <w:rFonts w:ascii="Times New Roman" w:eastAsia="Times New Roman" w:hAnsi="Times New Roman" w:cs="Times New Roman"/>
          <w:sz w:val="24"/>
          <w:szCs w:val="24"/>
          <w:lang w:eastAsia="en-GB"/>
        </w:rPr>
        <w:t xml:space="preserve">, Danaë J. Sheehan, Chris </w:t>
      </w:r>
      <w:proofErr w:type="spellStart"/>
      <w:r w:rsidRPr="00CE01D8">
        <w:rPr>
          <w:rFonts w:ascii="Times New Roman" w:eastAsia="Times New Roman" w:hAnsi="Times New Roman" w:cs="Times New Roman"/>
          <w:sz w:val="24"/>
          <w:szCs w:val="24"/>
          <w:lang w:eastAsia="en-GB"/>
        </w:rPr>
        <w:t>Orsman</w:t>
      </w:r>
      <w:proofErr w:type="spellEnd"/>
      <w:r w:rsidRPr="00CE01D8">
        <w:rPr>
          <w:rFonts w:ascii="Times New Roman" w:eastAsia="Times New Roman" w:hAnsi="Times New Roman" w:cs="Times New Roman"/>
          <w:sz w:val="24"/>
          <w:szCs w:val="24"/>
          <w:lang w:eastAsia="en-GB"/>
        </w:rPr>
        <w:t xml:space="preserve">, John </w:t>
      </w:r>
      <w:proofErr w:type="spellStart"/>
      <w:r w:rsidRPr="00CE01D8">
        <w:rPr>
          <w:rFonts w:ascii="Times New Roman" w:eastAsia="Times New Roman" w:hAnsi="Times New Roman" w:cs="Times New Roman"/>
          <w:sz w:val="24"/>
          <w:szCs w:val="24"/>
          <w:lang w:eastAsia="en-GB"/>
        </w:rPr>
        <w:t>Mallord</w:t>
      </w:r>
      <w:proofErr w:type="spellEnd"/>
      <w:r w:rsidRPr="00CE01D8">
        <w:rPr>
          <w:rFonts w:ascii="Times New Roman" w:eastAsia="Times New Roman" w:hAnsi="Times New Roman" w:cs="Times New Roman"/>
          <w:sz w:val="24"/>
          <w:szCs w:val="24"/>
          <w:lang w:eastAsia="en-GB"/>
        </w:rPr>
        <w:t xml:space="preserve">, Simon J. Goodman </w:t>
      </w:r>
    </w:p>
    <w:p w14:paraId="63675274" w14:textId="77777777" w:rsidR="00CE01D8" w:rsidRDefault="00CE01D8" w:rsidP="00CE01D8">
      <w:pPr>
        <w:widowControl w:val="0"/>
        <w:spacing w:after="0" w:line="480" w:lineRule="auto"/>
        <w:rPr>
          <w:rFonts w:ascii="Times New Roman" w:eastAsia="Times New Roman" w:hAnsi="Times New Roman" w:cs="Times New Roman"/>
          <w:b/>
          <w:bCs/>
          <w:color w:val="76923C"/>
          <w:sz w:val="24"/>
          <w:szCs w:val="24"/>
          <w:lang w:eastAsia="en-GB"/>
        </w:rPr>
      </w:pPr>
    </w:p>
    <w:p w14:paraId="2BD4B9AC" w14:textId="77777777" w:rsidR="00CE01D8" w:rsidRPr="00CE01D8" w:rsidRDefault="00CE01D8" w:rsidP="00CE01D8">
      <w:pPr>
        <w:widowControl w:val="0"/>
        <w:spacing w:after="0" w:line="480" w:lineRule="auto"/>
        <w:rPr>
          <w:rFonts w:ascii="Times New Roman" w:eastAsia="Times New Roman" w:hAnsi="Times New Roman" w:cs="Times New Roman"/>
          <w:b/>
          <w:bCs/>
          <w:color w:val="76923C"/>
          <w:sz w:val="24"/>
          <w:szCs w:val="24"/>
          <w:lang w:eastAsia="en-GB"/>
        </w:rPr>
      </w:pPr>
      <w:r w:rsidRPr="00CE01D8">
        <w:rPr>
          <w:rFonts w:ascii="Times New Roman" w:eastAsia="Times New Roman" w:hAnsi="Times New Roman" w:cs="Times New Roman"/>
          <w:b/>
          <w:bCs/>
          <w:color w:val="76923C"/>
          <w:sz w:val="24"/>
          <w:szCs w:val="24"/>
          <w:lang w:eastAsia="en-GB"/>
        </w:rPr>
        <w:t>Preparation of samples for Illumina Sequencing</w:t>
      </w:r>
    </w:p>
    <w:p w14:paraId="1AE3BA21" w14:textId="77777777" w:rsidR="00CE01D8" w:rsidRPr="00CE01D8" w:rsidRDefault="00CE01D8" w:rsidP="00CE01D8">
      <w:pPr>
        <w:widowControl w:val="0"/>
        <w:spacing w:after="0" w:line="480" w:lineRule="auto"/>
        <w:jc w:val="both"/>
        <w:rPr>
          <w:rFonts w:ascii="Times New Roman" w:eastAsia="Times New Roman" w:hAnsi="Times New Roman" w:cs="Times New Roman"/>
          <w:sz w:val="20"/>
          <w:szCs w:val="20"/>
          <w:lang w:eastAsia="en-GB"/>
        </w:rPr>
      </w:pPr>
      <w:r w:rsidRPr="00CE01D8">
        <w:rPr>
          <w:rFonts w:ascii="Times New Roman" w:eastAsia="Times New Roman" w:hAnsi="Times New Roman" w:cs="Times New Roman"/>
          <w:color w:val="000000"/>
          <w:sz w:val="24"/>
          <w:szCs w:val="24"/>
          <w:lang w:eastAsia="en-GB"/>
        </w:rPr>
        <w:t>First, Illumina sequencing primer sites (F: 5’-TCTACACGTTCAGAGTTCTACAGTCCGACGATC-3’ and R: 5’–GTGACTGGAGTTCAGACGTGTGCTCTTCCGATCT-3’) were added in a 25</w:t>
      </w:r>
      <w:r w:rsidRPr="00CE01D8">
        <w:rPr>
          <w:rFonts w:ascii="Cambria" w:eastAsia="Times New Roman" w:hAnsi="Cambria" w:cs="Times New Roman"/>
          <w:color w:val="000000"/>
          <w:sz w:val="24"/>
          <w:szCs w:val="24"/>
          <w:lang w:eastAsia="en-GB"/>
        </w:rPr>
        <w:t xml:space="preserve"> </w:t>
      </w:r>
      <w:r w:rsidRPr="00CE01D8">
        <w:rPr>
          <w:rFonts w:ascii="Symbol" w:eastAsia="Times New Roman" w:hAnsi="Symbol" w:cs="Times New Roman"/>
          <w:color w:val="000000"/>
          <w:sz w:val="24"/>
          <w:szCs w:val="24"/>
          <w:lang w:eastAsia="en-GB"/>
        </w:rPr>
        <w:t></w:t>
      </w:r>
      <w:r w:rsidRPr="00CE01D8">
        <w:rPr>
          <w:rFonts w:ascii="Times New Roman" w:eastAsia="Times New Roman" w:hAnsi="Times New Roman" w:cs="Times New Roman"/>
          <w:color w:val="000000"/>
          <w:sz w:val="24"/>
          <w:szCs w:val="24"/>
          <w:lang w:eastAsia="en-GB"/>
        </w:rPr>
        <w:t xml:space="preserve">l PCR mix. This comprised 10 </w:t>
      </w:r>
      <w:r w:rsidRPr="00CE01D8">
        <w:rPr>
          <w:rFonts w:ascii="Cambria" w:eastAsia="Times New Roman" w:hAnsi="Cambria" w:cs="Times New Roman"/>
          <w:color w:val="000000"/>
          <w:sz w:val="24"/>
          <w:szCs w:val="24"/>
          <w:lang w:eastAsia="en-GB"/>
        </w:rPr>
        <w:t>µ</w:t>
      </w:r>
      <w:r w:rsidRPr="00CE01D8">
        <w:rPr>
          <w:rFonts w:ascii="Times New Roman" w:eastAsia="Times New Roman" w:hAnsi="Times New Roman" w:cs="Times New Roman"/>
          <w:color w:val="000000"/>
          <w:sz w:val="24"/>
          <w:szCs w:val="24"/>
          <w:lang w:eastAsia="en-GB"/>
        </w:rPr>
        <w:t>l</w:t>
      </w:r>
      <w:r w:rsidRPr="00CE01D8">
        <w:rPr>
          <w:rFonts w:ascii="Cambria" w:eastAsia="Times New Roman" w:hAnsi="Cambria" w:cs="Times New Roman"/>
          <w:color w:val="000000"/>
          <w:sz w:val="24"/>
          <w:szCs w:val="24"/>
          <w:lang w:eastAsia="en-GB"/>
        </w:rPr>
        <w:t xml:space="preserve"> </w:t>
      </w:r>
      <w:r w:rsidRPr="00CE01D8">
        <w:rPr>
          <w:rFonts w:ascii="Times New Roman" w:eastAsia="Times New Roman" w:hAnsi="Times New Roman" w:cs="Times New Roman"/>
          <w:color w:val="000000"/>
          <w:sz w:val="24"/>
          <w:szCs w:val="24"/>
          <w:lang w:eastAsia="en-GB"/>
        </w:rPr>
        <w:t>QIAGEN Multiplex PCR Master Mix, 2.5</w:t>
      </w:r>
      <w:r w:rsidRPr="00CE01D8">
        <w:rPr>
          <w:rFonts w:ascii="Cambria" w:eastAsia="Times New Roman" w:hAnsi="Cambria" w:cs="Times New Roman"/>
          <w:color w:val="000000"/>
          <w:sz w:val="24"/>
          <w:szCs w:val="24"/>
          <w:lang w:eastAsia="en-GB"/>
        </w:rPr>
        <w:t xml:space="preserve"> µ</w:t>
      </w:r>
      <w:r w:rsidRPr="00CE01D8">
        <w:rPr>
          <w:rFonts w:ascii="Times New Roman" w:eastAsia="Times New Roman" w:hAnsi="Times New Roman" w:cs="Times New Roman"/>
          <w:color w:val="000000"/>
          <w:sz w:val="24"/>
          <w:szCs w:val="24"/>
          <w:lang w:eastAsia="en-GB"/>
        </w:rPr>
        <w:t xml:space="preserve">l of each forward and reverse primer (3 </w:t>
      </w:r>
      <w:r w:rsidRPr="00CE01D8">
        <w:rPr>
          <w:rFonts w:ascii="Cambria" w:eastAsia="Times New Roman" w:hAnsi="Cambria" w:cs="Times New Roman"/>
          <w:color w:val="000000"/>
          <w:sz w:val="24"/>
          <w:szCs w:val="24"/>
          <w:lang w:eastAsia="en-GB"/>
        </w:rPr>
        <w:t>µ</w:t>
      </w:r>
      <w:r w:rsidRPr="00CE01D8">
        <w:rPr>
          <w:rFonts w:ascii="Times New Roman" w:eastAsia="Times New Roman" w:hAnsi="Times New Roman" w:cs="Times New Roman"/>
          <w:color w:val="000000"/>
          <w:sz w:val="24"/>
          <w:szCs w:val="24"/>
          <w:lang w:eastAsia="en-GB"/>
        </w:rPr>
        <w:t>M)</w:t>
      </w:r>
      <w:r w:rsidRPr="00CE01D8">
        <w:rPr>
          <w:rFonts w:ascii="Cambria" w:eastAsia="Times New Roman" w:hAnsi="Cambria" w:cs="Times New Roman"/>
          <w:color w:val="000000"/>
          <w:sz w:val="24"/>
          <w:szCs w:val="24"/>
          <w:lang w:eastAsia="en-GB"/>
        </w:rPr>
        <w:t xml:space="preserve"> </w:t>
      </w:r>
      <w:r w:rsidRPr="00CE01D8">
        <w:rPr>
          <w:rFonts w:ascii="Times New Roman" w:eastAsia="Times New Roman" w:hAnsi="Times New Roman" w:cs="Times New Roman"/>
          <w:color w:val="000000"/>
          <w:sz w:val="24"/>
          <w:szCs w:val="24"/>
          <w:lang w:eastAsia="en-GB"/>
        </w:rPr>
        <w:t>tailed with Illumina sequencing primer sites (F: 5’-TCTACACGTTCAGAGTTCTACAGTCCGACGATC-3’ and R: 5’–GTGACTGGAGTTCAGACGTGTGCTCTTCCGATCT-3’) and 1</w:t>
      </w:r>
      <w:r w:rsidRPr="00CE01D8">
        <w:rPr>
          <w:rFonts w:ascii="Cambria" w:eastAsia="Times New Roman" w:hAnsi="Cambria" w:cs="Times New Roman"/>
          <w:color w:val="000000"/>
          <w:sz w:val="24"/>
          <w:szCs w:val="24"/>
          <w:lang w:eastAsia="en-GB"/>
        </w:rPr>
        <w:t xml:space="preserve"> µ</w:t>
      </w:r>
      <w:r w:rsidRPr="00CE01D8">
        <w:rPr>
          <w:rFonts w:ascii="Times New Roman" w:eastAsia="Times New Roman" w:hAnsi="Times New Roman" w:cs="Times New Roman"/>
          <w:color w:val="000000"/>
          <w:sz w:val="24"/>
          <w:szCs w:val="24"/>
          <w:lang w:eastAsia="en-GB"/>
        </w:rPr>
        <w:t>l</w:t>
      </w:r>
      <w:r w:rsidRPr="00CE01D8">
        <w:rPr>
          <w:rFonts w:ascii="Cambria" w:eastAsia="Times New Roman" w:hAnsi="Cambria" w:cs="Times New Roman"/>
          <w:color w:val="000000"/>
          <w:sz w:val="24"/>
          <w:szCs w:val="24"/>
          <w:lang w:eastAsia="en-GB"/>
        </w:rPr>
        <w:t xml:space="preserve"> </w:t>
      </w:r>
      <w:r w:rsidRPr="00CE01D8">
        <w:rPr>
          <w:rFonts w:ascii="Times New Roman" w:eastAsia="Times New Roman" w:hAnsi="Times New Roman" w:cs="Times New Roman"/>
          <w:color w:val="000000"/>
          <w:sz w:val="24"/>
          <w:szCs w:val="24"/>
          <w:lang w:eastAsia="en-GB"/>
        </w:rPr>
        <w:t xml:space="preserve">of DNA. The PCR thermal cycling programs were as above. Amplicons for each sample were normalised according to the intensity of the PCR product on a 1% agarose gel stained with ethidium bromide. The second PCR added sample-specific indexes: the 10 </w:t>
      </w:r>
      <w:r w:rsidRPr="00CE01D8">
        <w:rPr>
          <w:rFonts w:ascii="Cambria" w:eastAsia="Times New Roman" w:hAnsi="Cambria" w:cs="Times New Roman"/>
          <w:color w:val="000000"/>
          <w:sz w:val="24"/>
          <w:szCs w:val="24"/>
          <w:lang w:eastAsia="en-GB"/>
        </w:rPr>
        <w:t>µ</w:t>
      </w:r>
      <w:r w:rsidRPr="00CE01D8">
        <w:rPr>
          <w:rFonts w:ascii="Times New Roman" w:eastAsia="Times New Roman" w:hAnsi="Times New Roman" w:cs="Times New Roman"/>
          <w:color w:val="000000"/>
          <w:sz w:val="24"/>
          <w:szCs w:val="24"/>
          <w:lang w:eastAsia="en-GB"/>
        </w:rPr>
        <w:t>l reaction volume consisted of 5</w:t>
      </w:r>
      <w:r w:rsidRPr="00CE01D8">
        <w:rPr>
          <w:rFonts w:ascii="Cambria" w:eastAsia="Times New Roman" w:hAnsi="Cambria" w:cs="Times New Roman"/>
          <w:color w:val="000000"/>
          <w:sz w:val="24"/>
          <w:szCs w:val="24"/>
          <w:lang w:eastAsia="en-GB"/>
        </w:rPr>
        <w:t xml:space="preserve"> µ</w:t>
      </w:r>
      <w:r w:rsidRPr="00CE01D8">
        <w:rPr>
          <w:rFonts w:ascii="Times New Roman" w:eastAsia="Times New Roman" w:hAnsi="Times New Roman" w:cs="Times New Roman"/>
          <w:color w:val="000000"/>
          <w:sz w:val="24"/>
          <w:szCs w:val="24"/>
          <w:lang w:eastAsia="en-GB"/>
        </w:rPr>
        <w:t>l QIAGEN Multiplex PCR Master Mix,</w:t>
      </w:r>
      <w:r w:rsidRPr="00CE01D8">
        <w:rPr>
          <w:rFonts w:ascii="Cambria" w:eastAsia="Times New Roman" w:hAnsi="Cambria" w:cs="Times New Roman"/>
          <w:color w:val="000000"/>
          <w:sz w:val="24"/>
          <w:szCs w:val="24"/>
          <w:lang w:eastAsia="en-GB"/>
        </w:rPr>
        <w:t xml:space="preserve"> </w:t>
      </w:r>
      <w:r w:rsidRPr="00CE01D8">
        <w:rPr>
          <w:rFonts w:ascii="Times New Roman" w:eastAsia="Times New Roman" w:hAnsi="Times New Roman" w:cs="Times New Roman"/>
          <w:color w:val="000000"/>
          <w:sz w:val="24"/>
          <w:szCs w:val="24"/>
          <w:lang w:eastAsia="en-GB"/>
        </w:rPr>
        <w:t xml:space="preserve">1 </w:t>
      </w:r>
      <w:r w:rsidRPr="00CE01D8">
        <w:rPr>
          <w:rFonts w:ascii="Cambria" w:eastAsia="Times New Roman" w:hAnsi="Cambria" w:cs="Times New Roman"/>
          <w:color w:val="000000"/>
          <w:sz w:val="24"/>
          <w:szCs w:val="24"/>
          <w:lang w:eastAsia="en-GB"/>
        </w:rPr>
        <w:t>µ</w:t>
      </w:r>
      <w:r w:rsidRPr="00CE01D8">
        <w:rPr>
          <w:rFonts w:ascii="Times New Roman" w:eastAsia="Times New Roman" w:hAnsi="Times New Roman" w:cs="Times New Roman"/>
          <w:color w:val="000000"/>
          <w:sz w:val="24"/>
          <w:szCs w:val="24"/>
          <w:lang w:eastAsia="en-GB"/>
        </w:rPr>
        <w:t>l of each Illumina Fi5 and Ri7 indexes (1</w:t>
      </w:r>
      <w:r w:rsidRPr="00CE01D8">
        <w:rPr>
          <w:rFonts w:ascii="Cambria" w:eastAsia="Times New Roman" w:hAnsi="Cambria" w:cs="Times New Roman"/>
          <w:color w:val="000000"/>
          <w:sz w:val="24"/>
          <w:szCs w:val="24"/>
          <w:lang w:eastAsia="en-GB"/>
        </w:rPr>
        <w:t xml:space="preserve"> µ</w:t>
      </w:r>
      <w:r w:rsidRPr="00CE01D8">
        <w:rPr>
          <w:rFonts w:ascii="Times New Roman" w:eastAsia="Times New Roman" w:hAnsi="Times New Roman" w:cs="Times New Roman"/>
          <w:color w:val="000000"/>
          <w:sz w:val="24"/>
          <w:szCs w:val="24"/>
          <w:lang w:eastAsia="en-GB"/>
        </w:rPr>
        <w:t xml:space="preserve">M) whose combination was specific to each well (Integrated DNA Technologies, Belgium) and 4 </w:t>
      </w:r>
      <w:r w:rsidRPr="00CE01D8">
        <w:rPr>
          <w:rFonts w:ascii="Cambria" w:eastAsia="Times New Roman" w:hAnsi="Cambria" w:cs="Times New Roman"/>
          <w:color w:val="000000"/>
          <w:sz w:val="24"/>
          <w:szCs w:val="24"/>
          <w:lang w:eastAsia="en-GB"/>
        </w:rPr>
        <w:t>µ</w:t>
      </w:r>
      <w:r w:rsidRPr="00CE01D8">
        <w:rPr>
          <w:rFonts w:ascii="Times New Roman" w:eastAsia="Times New Roman" w:hAnsi="Times New Roman" w:cs="Times New Roman"/>
          <w:color w:val="000000"/>
          <w:sz w:val="24"/>
          <w:szCs w:val="24"/>
          <w:lang w:eastAsia="en-GB"/>
        </w:rPr>
        <w:t xml:space="preserve">l of the PCR product from PCR1. The thermal cycler conditions were as follows: 15 min at 95°C, then 10 cycles of 10 s at 98°C, 30 s at 65°C and 30 s at 72°C, finishing with 5 min at 72°C. Samples were normalised after quantifying on a </w:t>
      </w:r>
      <w:proofErr w:type="spellStart"/>
      <w:r w:rsidRPr="00CE01D8">
        <w:rPr>
          <w:rFonts w:ascii="Times New Roman" w:eastAsia="Times New Roman" w:hAnsi="Times New Roman" w:cs="Times New Roman"/>
          <w:color w:val="000000"/>
          <w:sz w:val="24"/>
          <w:szCs w:val="24"/>
          <w:lang w:eastAsia="en-GB"/>
        </w:rPr>
        <w:t>FLUOstar</w:t>
      </w:r>
      <w:proofErr w:type="spellEnd"/>
      <w:r w:rsidRPr="00CE01D8">
        <w:rPr>
          <w:rFonts w:ascii="Times New Roman" w:eastAsia="Times New Roman" w:hAnsi="Times New Roman" w:cs="Times New Roman"/>
          <w:color w:val="000000"/>
          <w:sz w:val="24"/>
          <w:szCs w:val="24"/>
          <w:lang w:eastAsia="en-GB"/>
        </w:rPr>
        <w:t xml:space="preserve"> OPTIMA (BMG Labtech, </w:t>
      </w:r>
      <w:proofErr w:type="spellStart"/>
      <w:r w:rsidRPr="00CE01D8">
        <w:rPr>
          <w:rFonts w:ascii="Times New Roman" w:eastAsia="Times New Roman" w:hAnsi="Times New Roman" w:cs="Times New Roman"/>
          <w:color w:val="000000"/>
          <w:sz w:val="24"/>
          <w:szCs w:val="24"/>
          <w:lang w:eastAsia="en-GB"/>
        </w:rPr>
        <w:t>Ortenberg</w:t>
      </w:r>
      <w:proofErr w:type="spellEnd"/>
      <w:r w:rsidRPr="00CE01D8">
        <w:rPr>
          <w:rFonts w:ascii="Times New Roman" w:eastAsia="Times New Roman" w:hAnsi="Times New Roman" w:cs="Times New Roman"/>
          <w:color w:val="000000"/>
          <w:sz w:val="24"/>
          <w:szCs w:val="24"/>
          <w:lang w:eastAsia="en-GB"/>
        </w:rPr>
        <w:t xml:space="preserve">, Germany) using the </w:t>
      </w:r>
      <w:proofErr w:type="spellStart"/>
      <w:r w:rsidRPr="00CE01D8">
        <w:rPr>
          <w:rFonts w:ascii="Times New Roman" w:eastAsia="Times New Roman" w:hAnsi="Times New Roman" w:cs="Times New Roman"/>
          <w:color w:val="000000"/>
          <w:sz w:val="24"/>
          <w:szCs w:val="24"/>
          <w:lang w:eastAsia="en-GB"/>
        </w:rPr>
        <w:t>QuantiFluor</w:t>
      </w:r>
      <w:proofErr w:type="spellEnd"/>
      <w:r w:rsidRPr="00CE01D8">
        <w:rPr>
          <w:rFonts w:ascii="Times New Roman" w:eastAsia="Times New Roman" w:hAnsi="Times New Roman" w:cs="Times New Roman"/>
          <w:color w:val="000000"/>
          <w:sz w:val="24"/>
          <w:szCs w:val="24"/>
          <w:lang w:eastAsia="en-GB"/>
        </w:rPr>
        <w:t xml:space="preserve">® dsDNA system (Promega, UK) following the manufacturer’s instructions. The </w:t>
      </w:r>
      <w:proofErr w:type="spellStart"/>
      <w:r w:rsidRPr="00CE01D8">
        <w:rPr>
          <w:rFonts w:ascii="Times New Roman" w:eastAsia="Times New Roman" w:hAnsi="Times New Roman" w:cs="Times New Roman"/>
          <w:color w:val="000000"/>
          <w:sz w:val="24"/>
          <w:szCs w:val="24"/>
          <w:lang w:eastAsia="en-GB"/>
        </w:rPr>
        <w:t>Agencourt</w:t>
      </w:r>
      <w:proofErr w:type="spellEnd"/>
      <w:r w:rsidRPr="00CE01D8">
        <w:rPr>
          <w:rFonts w:ascii="Times New Roman" w:eastAsia="Times New Roman" w:hAnsi="Times New Roman" w:cs="Times New Roman"/>
          <w:color w:val="000000"/>
          <w:sz w:val="24"/>
          <w:szCs w:val="24"/>
          <w:lang w:eastAsia="en-GB"/>
        </w:rPr>
        <w:t xml:space="preserve"> </w:t>
      </w:r>
      <w:proofErr w:type="spellStart"/>
      <w:r w:rsidRPr="00CE01D8">
        <w:rPr>
          <w:rFonts w:ascii="Times New Roman" w:eastAsia="Times New Roman" w:hAnsi="Times New Roman" w:cs="Times New Roman"/>
          <w:color w:val="000000"/>
          <w:sz w:val="24"/>
          <w:szCs w:val="24"/>
          <w:lang w:eastAsia="en-GB"/>
        </w:rPr>
        <w:t>AMPure</w:t>
      </w:r>
      <w:proofErr w:type="spellEnd"/>
      <w:r w:rsidRPr="00CE01D8">
        <w:rPr>
          <w:rFonts w:ascii="Times New Roman" w:eastAsia="Times New Roman" w:hAnsi="Times New Roman" w:cs="Times New Roman"/>
          <w:color w:val="000000"/>
          <w:sz w:val="24"/>
          <w:szCs w:val="24"/>
          <w:lang w:eastAsia="en-GB"/>
        </w:rPr>
        <w:t xml:space="preserve"> XP system (Beckman Coulter, UK) was used for purification according to the manufacturer’s instructions. Purified products were </w:t>
      </w:r>
      <w:r w:rsidRPr="00CE01D8">
        <w:rPr>
          <w:rFonts w:ascii="Times New Roman" w:eastAsia="Times New Roman" w:hAnsi="Times New Roman" w:cs="Times New Roman"/>
          <w:color w:val="000000"/>
          <w:sz w:val="24"/>
          <w:szCs w:val="24"/>
          <w:lang w:eastAsia="en-GB"/>
        </w:rPr>
        <w:lastRenderedPageBreak/>
        <w:t>eluted in 15</w:t>
      </w:r>
      <w:r w:rsidRPr="00CE01D8">
        <w:rPr>
          <w:rFonts w:ascii="Cambria" w:eastAsia="Times New Roman" w:hAnsi="Cambria" w:cs="Times New Roman"/>
          <w:color w:val="000000"/>
          <w:sz w:val="24"/>
          <w:szCs w:val="24"/>
          <w:lang w:eastAsia="en-GB"/>
        </w:rPr>
        <w:t xml:space="preserve"> µ</w:t>
      </w:r>
      <w:r w:rsidRPr="00CE01D8">
        <w:rPr>
          <w:rFonts w:ascii="Times New Roman" w:eastAsia="Times New Roman" w:hAnsi="Times New Roman" w:cs="Times New Roman"/>
          <w:color w:val="000000"/>
          <w:sz w:val="24"/>
          <w:szCs w:val="24"/>
          <w:lang w:eastAsia="en-GB"/>
        </w:rPr>
        <w:t>l of nuclease- free TE (10 mM Tris-HCl, 1 mM EDTA, pH 8.0) with 1.5</w:t>
      </w:r>
      <w:r w:rsidRPr="00CE01D8">
        <w:rPr>
          <w:rFonts w:ascii="Cambria" w:eastAsia="Times New Roman" w:hAnsi="Cambria" w:cs="Times New Roman"/>
          <w:color w:val="000000"/>
          <w:sz w:val="24"/>
          <w:szCs w:val="24"/>
          <w:lang w:eastAsia="en-GB"/>
        </w:rPr>
        <w:t xml:space="preserve"> µ</w:t>
      </w:r>
      <w:r w:rsidRPr="00CE01D8">
        <w:rPr>
          <w:rFonts w:ascii="Times New Roman" w:eastAsia="Times New Roman" w:hAnsi="Times New Roman" w:cs="Times New Roman"/>
          <w:color w:val="000000"/>
          <w:sz w:val="24"/>
          <w:szCs w:val="24"/>
          <w:lang w:eastAsia="en-GB"/>
        </w:rPr>
        <w:t xml:space="preserve">l of 10 mM Tris-HCl/ 0.05% Tween 20 (pH 8.0) added. The prepared libraries were checked on the Agilent 4200 </w:t>
      </w:r>
      <w:proofErr w:type="spellStart"/>
      <w:r w:rsidRPr="00CE01D8">
        <w:rPr>
          <w:rFonts w:ascii="Times New Roman" w:eastAsia="Times New Roman" w:hAnsi="Times New Roman" w:cs="Times New Roman"/>
          <w:color w:val="000000"/>
          <w:sz w:val="24"/>
          <w:szCs w:val="24"/>
          <w:lang w:eastAsia="en-GB"/>
        </w:rPr>
        <w:t>Tapestation</w:t>
      </w:r>
      <w:proofErr w:type="spellEnd"/>
      <w:r w:rsidRPr="00CE01D8">
        <w:rPr>
          <w:rFonts w:ascii="Times New Roman" w:eastAsia="Times New Roman" w:hAnsi="Times New Roman" w:cs="Times New Roman"/>
          <w:color w:val="000000"/>
          <w:sz w:val="24"/>
          <w:szCs w:val="24"/>
          <w:lang w:eastAsia="en-GB"/>
        </w:rPr>
        <w:t xml:space="preserve"> (Agilent Technologies, CA, USA) for the expected peak amplicon size.</w:t>
      </w:r>
    </w:p>
    <w:p w14:paraId="130367E2" w14:textId="77777777" w:rsidR="00CE01D8" w:rsidRPr="00CE01D8" w:rsidRDefault="00CE01D8" w:rsidP="00CE01D8">
      <w:pPr>
        <w:widowControl w:val="0"/>
        <w:spacing w:after="0" w:line="480" w:lineRule="auto"/>
        <w:ind w:firstLine="720"/>
        <w:jc w:val="both"/>
        <w:rPr>
          <w:rFonts w:ascii="Times New Roman" w:eastAsia="Times New Roman" w:hAnsi="Times New Roman" w:cs="Times New Roman"/>
          <w:sz w:val="24"/>
          <w:szCs w:val="24"/>
          <w:lang w:eastAsia="en-GB"/>
        </w:rPr>
      </w:pPr>
      <w:r w:rsidRPr="00CE01D8">
        <w:rPr>
          <w:rFonts w:ascii="Times New Roman" w:eastAsia="Times New Roman" w:hAnsi="Times New Roman" w:cs="Times New Roman"/>
          <w:color w:val="000000"/>
          <w:sz w:val="24"/>
          <w:szCs w:val="24"/>
          <w:lang w:eastAsia="en-GB"/>
        </w:rPr>
        <w:t xml:space="preserve">Quantification of each pooled product was performed using qPCR. Triplicate dilutions of 1:100, 1:1000 and 1:10000 of the libraries were produced by serial dilution. The reagent </w:t>
      </w:r>
      <w:proofErr w:type="gramStart"/>
      <w:r w:rsidRPr="00CE01D8">
        <w:rPr>
          <w:rFonts w:ascii="Times New Roman" w:eastAsia="Times New Roman" w:hAnsi="Times New Roman" w:cs="Times New Roman"/>
          <w:color w:val="000000"/>
          <w:sz w:val="24"/>
          <w:szCs w:val="24"/>
          <w:lang w:eastAsia="en-GB"/>
        </w:rPr>
        <w:t>mix</w:t>
      </w:r>
      <w:proofErr w:type="gramEnd"/>
      <w:r w:rsidRPr="00CE01D8">
        <w:rPr>
          <w:rFonts w:ascii="Times New Roman" w:eastAsia="Times New Roman" w:hAnsi="Times New Roman" w:cs="Times New Roman"/>
          <w:color w:val="000000"/>
          <w:sz w:val="24"/>
          <w:szCs w:val="24"/>
          <w:lang w:eastAsia="en-GB"/>
        </w:rPr>
        <w:t xml:space="preserve"> and thermal cycling conditions were performed as per the manufacturer’s instructions (KAPA library quantification kit, KAPA Biosystems, UK). A </w:t>
      </w:r>
      <w:proofErr w:type="spellStart"/>
      <w:r w:rsidRPr="00CE01D8">
        <w:rPr>
          <w:rFonts w:ascii="Times New Roman" w:eastAsia="Times New Roman" w:hAnsi="Times New Roman" w:cs="Times New Roman"/>
          <w:color w:val="000000"/>
          <w:sz w:val="24"/>
          <w:szCs w:val="24"/>
          <w:lang w:eastAsia="en-GB"/>
        </w:rPr>
        <w:t>StepOnePlus</w:t>
      </w:r>
      <w:proofErr w:type="spellEnd"/>
      <w:r w:rsidRPr="00CE01D8">
        <w:rPr>
          <w:rFonts w:ascii="Times New Roman" w:eastAsia="Times New Roman" w:hAnsi="Times New Roman" w:cs="Times New Roman"/>
          <w:color w:val="000000"/>
          <w:sz w:val="24"/>
          <w:szCs w:val="24"/>
          <w:lang w:eastAsia="en-GB"/>
        </w:rPr>
        <w:t xml:space="preserve"> Real- Time PCR system (Applied Biosystems, CA, USA) was used to run the qPCR. The concentration of each library was calculated using the KAPA data analysis template and normalised to 4 </w:t>
      </w:r>
      <w:proofErr w:type="spellStart"/>
      <w:r w:rsidRPr="00CE01D8">
        <w:rPr>
          <w:rFonts w:ascii="Times New Roman" w:eastAsia="Times New Roman" w:hAnsi="Times New Roman" w:cs="Times New Roman"/>
          <w:color w:val="000000"/>
          <w:sz w:val="24"/>
          <w:szCs w:val="24"/>
          <w:lang w:eastAsia="en-GB"/>
        </w:rPr>
        <w:t>nM.</w:t>
      </w:r>
      <w:proofErr w:type="spellEnd"/>
      <w:r w:rsidRPr="00CE01D8">
        <w:rPr>
          <w:rFonts w:ascii="Times New Roman" w:eastAsia="Times New Roman" w:hAnsi="Times New Roman" w:cs="Times New Roman"/>
          <w:color w:val="000000"/>
          <w:sz w:val="24"/>
          <w:szCs w:val="24"/>
          <w:lang w:eastAsia="en-GB"/>
        </w:rPr>
        <w:t xml:space="preserve"> The library was sequenced using 250 paired-end reads on a </w:t>
      </w:r>
      <w:proofErr w:type="spellStart"/>
      <w:r w:rsidRPr="00CE01D8">
        <w:rPr>
          <w:rFonts w:ascii="Times New Roman" w:eastAsia="Times New Roman" w:hAnsi="Times New Roman" w:cs="Times New Roman"/>
          <w:color w:val="000000"/>
          <w:sz w:val="24"/>
          <w:szCs w:val="24"/>
          <w:lang w:eastAsia="en-GB"/>
        </w:rPr>
        <w:t>MiSeq</w:t>
      </w:r>
      <w:proofErr w:type="spellEnd"/>
      <w:r w:rsidRPr="00CE01D8">
        <w:rPr>
          <w:rFonts w:ascii="Times New Roman" w:eastAsia="Times New Roman" w:hAnsi="Times New Roman" w:cs="Times New Roman"/>
          <w:color w:val="000000"/>
          <w:sz w:val="24"/>
          <w:szCs w:val="24"/>
          <w:lang w:eastAsia="en-GB"/>
        </w:rPr>
        <w:t xml:space="preserve"> desktop sequencer (Illumina, San Diego, CA), over four different </w:t>
      </w:r>
      <w:proofErr w:type="spellStart"/>
      <w:r w:rsidRPr="00CE01D8">
        <w:rPr>
          <w:rFonts w:ascii="Times New Roman" w:eastAsia="Times New Roman" w:hAnsi="Times New Roman" w:cs="Times New Roman"/>
          <w:color w:val="000000"/>
          <w:sz w:val="24"/>
          <w:szCs w:val="24"/>
          <w:lang w:eastAsia="en-GB"/>
        </w:rPr>
        <w:t>Miseq</w:t>
      </w:r>
      <w:proofErr w:type="spellEnd"/>
      <w:r w:rsidRPr="00CE01D8">
        <w:rPr>
          <w:rFonts w:ascii="Times New Roman" w:eastAsia="Times New Roman" w:hAnsi="Times New Roman" w:cs="Times New Roman"/>
          <w:color w:val="000000"/>
          <w:sz w:val="24"/>
          <w:szCs w:val="24"/>
          <w:lang w:eastAsia="en-GB"/>
        </w:rPr>
        <w:t xml:space="preserve"> runs, in combination with other samples as part of a larger project </w:t>
      </w:r>
      <w:r w:rsidRPr="00CE01D8">
        <w:rPr>
          <w:rFonts w:ascii="Times New Roman" w:eastAsia="Times New Roman" w:hAnsi="Times New Roman" w:cs="Times New Roman"/>
          <w:color w:val="000000"/>
          <w:sz w:val="24"/>
          <w:szCs w:val="24"/>
          <w:lang w:eastAsia="en-GB"/>
        </w:rPr>
        <w:fldChar w:fldCharType="begin" w:fldLock="1"/>
      </w:r>
      <w:r w:rsidRPr="00CE01D8">
        <w:rPr>
          <w:rFonts w:ascii="Times New Roman" w:eastAsia="Times New Roman" w:hAnsi="Times New Roman" w:cs="Times New Roman"/>
          <w:color w:val="000000"/>
          <w:sz w:val="24"/>
          <w:szCs w:val="24"/>
          <w:lang w:eastAsia="en-GB"/>
        </w:rPr>
        <w:instrText>ADDIN CSL_CITATION {"citationItems":[{"id":"ITEM-1","itemData":{"author":[{"dropping-particle":"","family":"Thomas","given":"RC","non-dropping-particle":"","parse-names":false,"suffix":""}],"id":"ITEM-1","issued":{"date-parts":[["2017"]]},"publisher":"PhD thesis, University of Leeds","title":"Molecular epidemiology of &lt;i&gt;Trichomonas gallinae&lt;/i&gt; in Turtle doves (&lt;i&gt;Streptopelia turtur&lt;/i&gt;)","type":"thesis"},"uris":["http://www.mendeley.com/documents/?uuid=629b499d-5ad3-496a-af20-781ca1e5d071"]}],"mendeley":{"formattedCitation":"(Thomas, 2017)","plainTextFormattedCitation":"(Thomas, 2017)","previouslyFormattedCitation":"(Thomas, 2017)"},"properties":{"noteIndex":0},"schema":"https://github.com/citation-style-language/schema/raw/master/csl-citation.json"}</w:instrText>
      </w:r>
      <w:r w:rsidRPr="00CE01D8">
        <w:rPr>
          <w:rFonts w:ascii="Times New Roman" w:eastAsia="Times New Roman" w:hAnsi="Times New Roman" w:cs="Times New Roman"/>
          <w:color w:val="000000"/>
          <w:sz w:val="24"/>
          <w:szCs w:val="24"/>
          <w:lang w:eastAsia="en-GB"/>
        </w:rPr>
        <w:fldChar w:fldCharType="separate"/>
      </w:r>
      <w:r w:rsidRPr="00CE01D8">
        <w:rPr>
          <w:rFonts w:ascii="Times New Roman" w:eastAsia="Times New Roman" w:hAnsi="Times New Roman" w:cs="Times New Roman"/>
          <w:noProof/>
          <w:color w:val="000000"/>
          <w:sz w:val="24"/>
          <w:szCs w:val="24"/>
          <w:lang w:eastAsia="en-GB"/>
        </w:rPr>
        <w:t>(Thomas, 2017)</w:t>
      </w:r>
      <w:r w:rsidRPr="00CE01D8">
        <w:rPr>
          <w:rFonts w:ascii="Times New Roman" w:eastAsia="Times New Roman" w:hAnsi="Times New Roman" w:cs="Times New Roman"/>
          <w:color w:val="000000"/>
          <w:sz w:val="24"/>
          <w:szCs w:val="24"/>
          <w:lang w:eastAsia="en-GB"/>
        </w:rPr>
        <w:fldChar w:fldCharType="end"/>
      </w:r>
      <w:r w:rsidRPr="00CE01D8">
        <w:rPr>
          <w:rFonts w:ascii="Times New Roman" w:eastAsia="Times New Roman" w:hAnsi="Times New Roman" w:cs="Times New Roman"/>
          <w:color w:val="000000"/>
          <w:sz w:val="24"/>
          <w:szCs w:val="24"/>
          <w:lang w:eastAsia="en-GB"/>
        </w:rPr>
        <w:t>. Each run contained at least 10% duplicates (</w:t>
      </w:r>
      <w:proofErr w:type="gramStart"/>
      <w:r w:rsidRPr="00CE01D8">
        <w:rPr>
          <w:rFonts w:ascii="Times New Roman" w:eastAsia="Times New Roman" w:hAnsi="Times New Roman" w:cs="Times New Roman"/>
          <w:color w:val="000000"/>
          <w:sz w:val="24"/>
          <w:szCs w:val="24"/>
          <w:lang w:eastAsia="en-GB"/>
        </w:rPr>
        <w:t>i.e.</w:t>
      </w:r>
      <w:proofErr w:type="gramEnd"/>
      <w:r w:rsidRPr="00CE01D8">
        <w:rPr>
          <w:rFonts w:ascii="Times New Roman" w:eastAsia="Times New Roman" w:hAnsi="Times New Roman" w:cs="Times New Roman"/>
          <w:color w:val="000000"/>
          <w:sz w:val="24"/>
          <w:szCs w:val="24"/>
          <w:lang w:eastAsia="en-GB"/>
        </w:rPr>
        <w:t xml:space="preserve"> 10 duplicates per 96 well plate).</w:t>
      </w:r>
    </w:p>
    <w:p w14:paraId="04B502D6" w14:textId="77777777" w:rsidR="00CE01D8" w:rsidRPr="00CE01D8" w:rsidRDefault="00CE01D8" w:rsidP="00CE01D8">
      <w:pPr>
        <w:widowControl w:val="0"/>
        <w:spacing w:after="0" w:line="480" w:lineRule="auto"/>
        <w:rPr>
          <w:rFonts w:ascii="Times New Roman" w:eastAsia="Times New Roman" w:hAnsi="Times New Roman" w:cs="Times New Roman"/>
          <w:sz w:val="24"/>
          <w:szCs w:val="24"/>
          <w:lang w:eastAsia="en-GB"/>
        </w:rPr>
      </w:pPr>
    </w:p>
    <w:p w14:paraId="2F3A90A4" w14:textId="77777777" w:rsidR="00CE01D8" w:rsidRPr="00CE01D8" w:rsidRDefault="00CE01D8" w:rsidP="00CE01D8">
      <w:pPr>
        <w:widowControl w:val="0"/>
        <w:spacing w:after="0" w:line="480" w:lineRule="auto"/>
        <w:rPr>
          <w:rFonts w:ascii="Times New Roman" w:eastAsia="Times New Roman" w:hAnsi="Times New Roman" w:cs="Times New Roman"/>
          <w:b/>
          <w:bCs/>
          <w:color w:val="76923C"/>
          <w:sz w:val="24"/>
          <w:szCs w:val="24"/>
          <w:lang w:eastAsia="en-GB"/>
        </w:rPr>
      </w:pPr>
      <w:r w:rsidRPr="00CE01D8">
        <w:rPr>
          <w:rFonts w:ascii="Times New Roman" w:eastAsia="Times New Roman" w:hAnsi="Times New Roman" w:cs="Times New Roman"/>
          <w:b/>
          <w:bCs/>
          <w:color w:val="76923C"/>
          <w:sz w:val="24"/>
          <w:szCs w:val="24"/>
          <w:lang w:eastAsia="en-GB"/>
        </w:rPr>
        <w:t>Illumina sequence analysis</w:t>
      </w:r>
    </w:p>
    <w:p w14:paraId="74CBAAF2" w14:textId="77777777" w:rsidR="00CE01D8" w:rsidRPr="00CE01D8" w:rsidRDefault="00CE01D8" w:rsidP="00CE01D8">
      <w:pPr>
        <w:widowControl w:val="0"/>
        <w:spacing w:after="0" w:line="480" w:lineRule="auto"/>
        <w:jc w:val="both"/>
        <w:rPr>
          <w:rFonts w:ascii="Times New Roman" w:eastAsia="Times New Roman" w:hAnsi="Times New Roman" w:cs="Times New Roman"/>
          <w:color w:val="000000"/>
          <w:sz w:val="24"/>
          <w:szCs w:val="24"/>
          <w:lang w:eastAsia="en-GB"/>
        </w:rPr>
      </w:pPr>
      <w:proofErr w:type="spellStart"/>
      <w:r w:rsidRPr="00CE01D8">
        <w:rPr>
          <w:rFonts w:ascii="Times New Roman" w:eastAsia="Times New Roman" w:hAnsi="Times New Roman" w:cs="Times New Roman"/>
          <w:color w:val="000000"/>
          <w:sz w:val="24"/>
          <w:szCs w:val="24"/>
          <w:lang w:eastAsia="en-GB"/>
        </w:rPr>
        <w:t>MiSeq</w:t>
      </w:r>
      <w:proofErr w:type="spellEnd"/>
      <w:r w:rsidRPr="00CE01D8">
        <w:rPr>
          <w:rFonts w:ascii="Times New Roman" w:eastAsia="Times New Roman" w:hAnsi="Times New Roman" w:cs="Times New Roman"/>
          <w:color w:val="000000"/>
          <w:sz w:val="24"/>
          <w:szCs w:val="24"/>
          <w:lang w:eastAsia="en-GB"/>
        </w:rPr>
        <w:t xml:space="preserve"> sequences were demultiplexed into sample files according to Fi5 and Ri7 indexes by the Illumina </w:t>
      </w:r>
      <w:proofErr w:type="spellStart"/>
      <w:r w:rsidRPr="00CE01D8">
        <w:rPr>
          <w:rFonts w:ascii="Times New Roman" w:eastAsia="Times New Roman" w:hAnsi="Times New Roman" w:cs="Times New Roman"/>
          <w:color w:val="000000"/>
          <w:sz w:val="24"/>
          <w:szCs w:val="24"/>
          <w:lang w:eastAsia="en-GB"/>
        </w:rPr>
        <w:t>MiSeq</w:t>
      </w:r>
      <w:proofErr w:type="spellEnd"/>
      <w:r w:rsidRPr="00CE01D8">
        <w:rPr>
          <w:rFonts w:ascii="Times New Roman" w:eastAsia="Times New Roman" w:hAnsi="Times New Roman" w:cs="Times New Roman"/>
          <w:color w:val="000000"/>
          <w:sz w:val="24"/>
          <w:szCs w:val="24"/>
          <w:lang w:eastAsia="en-GB"/>
        </w:rPr>
        <w:t xml:space="preserve"> control software (V 2.5.0.5). </w:t>
      </w:r>
      <w:proofErr w:type="spellStart"/>
      <w:r w:rsidRPr="00CE01D8">
        <w:rPr>
          <w:rFonts w:ascii="Times New Roman" w:eastAsia="Times New Roman" w:hAnsi="Times New Roman" w:cs="Times New Roman"/>
          <w:color w:val="000000"/>
          <w:sz w:val="24"/>
          <w:szCs w:val="24"/>
          <w:lang w:eastAsia="en-GB"/>
        </w:rPr>
        <w:t>Trimmomatic</w:t>
      </w:r>
      <w:proofErr w:type="spellEnd"/>
      <w:r w:rsidRPr="00CE01D8">
        <w:rPr>
          <w:rFonts w:ascii="Times New Roman" w:eastAsia="Times New Roman" w:hAnsi="Times New Roman" w:cs="Times New Roman"/>
          <w:color w:val="000000"/>
          <w:sz w:val="24"/>
          <w:szCs w:val="24"/>
          <w:lang w:eastAsia="en-GB"/>
        </w:rPr>
        <w:t xml:space="preserve"> v0.36 </w:t>
      </w:r>
      <w:r w:rsidRPr="00CE01D8">
        <w:rPr>
          <w:rFonts w:ascii="Times New Roman" w:eastAsia="Times New Roman" w:hAnsi="Times New Roman" w:cs="Times New Roman"/>
          <w:color w:val="000000"/>
          <w:sz w:val="24"/>
          <w:szCs w:val="24"/>
          <w:lang w:eastAsia="en-GB"/>
        </w:rPr>
        <w:fldChar w:fldCharType="begin" w:fldLock="1"/>
      </w:r>
      <w:r w:rsidRPr="00CE01D8">
        <w:rPr>
          <w:rFonts w:ascii="Times New Roman" w:eastAsia="Times New Roman" w:hAnsi="Times New Roman" w:cs="Times New Roman"/>
          <w:color w:val="000000"/>
          <w:sz w:val="24"/>
          <w:szCs w:val="24"/>
          <w:lang w:eastAsia="en-GB"/>
        </w:rPr>
        <w:instrText>ADDIN CSL_CITATION {"citationItems":[{"id":"ITEM-1","itemData":{"author":[{"dropping-particle":"","family":"Bolger","given":"AM","non-dropping-particle":"","parse-names":false,"suffix":""},{"dropping-particle":"","family":"Lohse","given":"M","non-dropping-particle":"","parse-names":false,"suffix":""},{"dropping-particle":"","family":"Usadel","given":"B","non-dropping-particle":"","parse-names":false,"suffix":""}],"container-title":"Bioinformatics","id":"ITEM-1","issued":{"date-parts":[["2014"]]},"page":"btu170","title":"Trimmomatic: A flexible read trimming tool for Illumina NGS data","type":"article-journal"},"uris":["http://www.mendeley.com/documents/?uuid=f6e5aefe-4e84-4ee0-ab55-c194a8db0efc"]}],"mendeley":{"formattedCitation":"(Bolger &lt;i&gt;et al.&lt;/i&gt;, 2014)","plainTextFormattedCitation":"(Bolger et al., 2014)","previouslyFormattedCitation":"(Bolger &lt;i&gt;et al.&lt;/i&gt;, 2014)"},"properties":{"noteIndex":0},"schema":"https://github.com/citation-style-language/schema/raw/master/csl-citation.json"}</w:instrText>
      </w:r>
      <w:r w:rsidRPr="00CE01D8">
        <w:rPr>
          <w:rFonts w:ascii="Times New Roman" w:eastAsia="Times New Roman" w:hAnsi="Times New Roman" w:cs="Times New Roman"/>
          <w:color w:val="000000"/>
          <w:sz w:val="24"/>
          <w:szCs w:val="24"/>
          <w:lang w:eastAsia="en-GB"/>
        </w:rPr>
        <w:fldChar w:fldCharType="separate"/>
      </w:r>
      <w:r w:rsidRPr="00CE01D8">
        <w:rPr>
          <w:rFonts w:ascii="Times New Roman" w:eastAsia="Times New Roman" w:hAnsi="Times New Roman" w:cs="Times New Roman"/>
          <w:noProof/>
          <w:color w:val="000000"/>
          <w:sz w:val="24"/>
          <w:szCs w:val="24"/>
          <w:lang w:eastAsia="en-GB"/>
        </w:rPr>
        <w:t xml:space="preserve">(Bolger </w:t>
      </w:r>
      <w:r w:rsidRPr="00CE01D8">
        <w:rPr>
          <w:rFonts w:ascii="Times New Roman" w:eastAsia="Times New Roman" w:hAnsi="Times New Roman" w:cs="Times New Roman"/>
          <w:i/>
          <w:noProof/>
          <w:color w:val="000000"/>
          <w:sz w:val="24"/>
          <w:szCs w:val="24"/>
          <w:lang w:eastAsia="en-GB"/>
        </w:rPr>
        <w:t>et al.</w:t>
      </w:r>
      <w:r w:rsidRPr="00CE01D8">
        <w:rPr>
          <w:rFonts w:ascii="Times New Roman" w:eastAsia="Times New Roman" w:hAnsi="Times New Roman" w:cs="Times New Roman"/>
          <w:noProof/>
          <w:color w:val="000000"/>
          <w:sz w:val="24"/>
          <w:szCs w:val="24"/>
          <w:lang w:eastAsia="en-GB"/>
        </w:rPr>
        <w:t>, 2014)</w:t>
      </w:r>
      <w:r w:rsidRPr="00CE01D8">
        <w:rPr>
          <w:rFonts w:ascii="Times New Roman" w:eastAsia="Times New Roman" w:hAnsi="Times New Roman" w:cs="Times New Roman"/>
          <w:color w:val="000000"/>
          <w:sz w:val="24"/>
          <w:szCs w:val="24"/>
          <w:lang w:eastAsia="en-GB"/>
        </w:rPr>
        <w:fldChar w:fldCharType="end"/>
      </w:r>
      <w:r w:rsidRPr="00CE01D8">
        <w:rPr>
          <w:rFonts w:ascii="Times New Roman" w:eastAsia="Times New Roman" w:hAnsi="Times New Roman" w:cs="Times New Roman"/>
          <w:color w:val="000000"/>
          <w:sz w:val="24"/>
          <w:szCs w:val="24"/>
          <w:lang w:eastAsia="en-GB"/>
        </w:rPr>
        <w:t xml:space="preserve"> was used to remove Illumina adapter sequences, low quality bases in the leading or trailing ends and low quality sequences that did not meet the minimum </w:t>
      </w:r>
      <w:proofErr w:type="spellStart"/>
      <w:r w:rsidRPr="00CE01D8">
        <w:rPr>
          <w:rFonts w:ascii="Times New Roman" w:eastAsia="Times New Roman" w:hAnsi="Times New Roman" w:cs="Times New Roman"/>
          <w:color w:val="000000"/>
          <w:sz w:val="24"/>
          <w:szCs w:val="24"/>
          <w:lang w:eastAsia="en-GB"/>
        </w:rPr>
        <w:t>Phred</w:t>
      </w:r>
      <w:proofErr w:type="spellEnd"/>
      <w:r w:rsidRPr="00CE01D8">
        <w:rPr>
          <w:rFonts w:ascii="Times New Roman" w:eastAsia="Times New Roman" w:hAnsi="Times New Roman" w:cs="Times New Roman"/>
          <w:color w:val="000000"/>
          <w:sz w:val="24"/>
          <w:szCs w:val="24"/>
          <w:lang w:eastAsia="en-GB"/>
        </w:rPr>
        <w:t xml:space="preserve"> quality score of 20 or the minimum length of 100 bp. Paired end reads were aligned using FLASH 1.2.11 </w:t>
      </w:r>
      <w:r w:rsidRPr="00CE01D8">
        <w:rPr>
          <w:rFonts w:ascii="Times New Roman" w:eastAsia="Times New Roman" w:hAnsi="Times New Roman" w:cs="Times New Roman"/>
          <w:color w:val="000000"/>
          <w:sz w:val="24"/>
          <w:szCs w:val="24"/>
          <w:lang w:eastAsia="en-GB"/>
        </w:rPr>
        <w:fldChar w:fldCharType="begin" w:fldLock="1"/>
      </w:r>
      <w:r w:rsidRPr="00CE01D8">
        <w:rPr>
          <w:rFonts w:ascii="Times New Roman" w:eastAsia="Times New Roman" w:hAnsi="Times New Roman" w:cs="Times New Roman"/>
          <w:color w:val="000000"/>
          <w:sz w:val="24"/>
          <w:szCs w:val="24"/>
          <w:lang w:eastAsia="en-GB"/>
        </w:rPr>
        <w:instrText>ADDIN CSL_CITATION {"citationItems":[{"id":"ITEM-1","itemData":{"DOI":"10.1093/bioinformatics/btr507","ISBN":"1367-4811 (Electronic) 1367-4803 (Linking)","ISSN":"13674803","PMID":"21903629","abstract":"MOTIVATION: Next-generation sequencing technologies generate very large numbers of short reads. Even with very deep genome coverage, short read lengths cause problems in de novo assemblies. The use of paired-end libraries with a fragment size shorter than twice the read length provides an opportunity to generate much longer reads by overlapping and merging read pairs before assembling a genome.\\n\\nRESULTS: We present FLASH, a fast computational tool to extend the length of short reads by overlapping paired-end reads from fragment libraries that are sufficiently short. We tested the correctness of the tool on one million simulated read pairs, and we then applied it as a pre-processor for genome assemblies of Illumina reads from the bacterium Staphylococcus aureus and human chromosome 14. FLASH correctly extended and merged reads &gt;99% of the time on simulated reads with an error rate of &lt;1%. With adequately set parameters, FLASH correctly merged reads over 90% of the time even when the reads contained up to 5% errors. When FLASH was used to extend reads prior to assembly, the resulting assemblies had substantially greater N50 lengths for both contigs and scaffolds.\\n\\nAVAILABILITY AND IMPLEMENTATION: The FLASH system is implemented in C and is freely available as open-source code at http://www.cbcb.umd.edu/software/flash.\\n\\nCONTACT: t.magoc@gmail.com.","author":[{"dropping-particle":"","family":"Magoč","given":"T","non-dropping-particle":"","parse-names":false,"suffix":""},{"dropping-particle":"","family":"Salzberg","given":"SL","non-dropping-particle":"","parse-names":false,"suffix":""}],"container-title":"Bioinformatics","id":"ITEM-1","issue":"21","issued":{"date-parts":[["2011"]]},"page":"2957-2963","title":"FLASH: Fast length adjustment of short reads to improve genome assemblies","type":"article-journal","volume":"27"},"uris":["http://www.mendeley.com/documents/?uuid=1c9e558d-1968-44cd-b984-edadb98c8913"]}],"mendeley":{"formattedCitation":"(Magoč and Salzberg, 2011)","plainTextFormattedCitation":"(Magoč and Salzberg, 2011)","previouslyFormattedCitation":"(Magoč and Salzberg, 2011)"},"properties":{"noteIndex":0},"schema":"https://github.com/citation-style-language/schema/raw/master/csl-citation.json"}</w:instrText>
      </w:r>
      <w:r w:rsidRPr="00CE01D8">
        <w:rPr>
          <w:rFonts w:ascii="Times New Roman" w:eastAsia="Times New Roman" w:hAnsi="Times New Roman" w:cs="Times New Roman"/>
          <w:color w:val="000000"/>
          <w:sz w:val="24"/>
          <w:szCs w:val="24"/>
          <w:lang w:eastAsia="en-GB"/>
        </w:rPr>
        <w:fldChar w:fldCharType="separate"/>
      </w:r>
      <w:r w:rsidRPr="00CE01D8">
        <w:rPr>
          <w:rFonts w:ascii="Times New Roman" w:eastAsia="Times New Roman" w:hAnsi="Times New Roman" w:cs="Times New Roman"/>
          <w:noProof/>
          <w:color w:val="000000"/>
          <w:sz w:val="24"/>
          <w:szCs w:val="24"/>
          <w:lang w:eastAsia="en-GB"/>
        </w:rPr>
        <w:t>(Magoč and Salzberg, 2011)</w:t>
      </w:r>
      <w:r w:rsidRPr="00CE01D8">
        <w:rPr>
          <w:rFonts w:ascii="Times New Roman" w:eastAsia="Times New Roman" w:hAnsi="Times New Roman" w:cs="Times New Roman"/>
          <w:color w:val="000000"/>
          <w:sz w:val="24"/>
          <w:szCs w:val="24"/>
          <w:lang w:eastAsia="en-GB"/>
        </w:rPr>
        <w:fldChar w:fldCharType="end"/>
      </w:r>
      <w:r w:rsidRPr="00CE01D8">
        <w:rPr>
          <w:rFonts w:ascii="Times New Roman" w:eastAsia="Times New Roman" w:hAnsi="Times New Roman" w:cs="Times New Roman"/>
          <w:color w:val="000000"/>
          <w:sz w:val="24"/>
          <w:szCs w:val="24"/>
          <w:lang w:eastAsia="en-GB"/>
        </w:rPr>
        <w:t xml:space="preserve">; sequences that did not meet the minimum length of 250 bp were discarded. Sequences from multiple amplicons (ITS and </w:t>
      </w:r>
      <w:r w:rsidRPr="00CE01D8">
        <w:rPr>
          <w:rFonts w:ascii="Times New Roman" w:eastAsia="Times New Roman" w:hAnsi="Times New Roman" w:cs="Times New Roman"/>
          <w:i/>
          <w:iCs/>
          <w:color w:val="000000"/>
          <w:sz w:val="24"/>
          <w:szCs w:val="24"/>
          <w:lang w:eastAsia="en-GB"/>
        </w:rPr>
        <w:t>Fe-</w:t>
      </w:r>
      <w:proofErr w:type="spellStart"/>
      <w:r w:rsidRPr="00CE01D8">
        <w:rPr>
          <w:rFonts w:ascii="Times New Roman" w:eastAsia="Times New Roman" w:hAnsi="Times New Roman" w:cs="Times New Roman"/>
          <w:i/>
          <w:iCs/>
          <w:color w:val="000000"/>
          <w:sz w:val="24"/>
          <w:szCs w:val="24"/>
          <w:lang w:eastAsia="en-GB"/>
        </w:rPr>
        <w:t>hyd</w:t>
      </w:r>
      <w:proofErr w:type="spellEnd"/>
      <w:r w:rsidRPr="00CE01D8">
        <w:rPr>
          <w:rFonts w:ascii="Times New Roman" w:eastAsia="Times New Roman" w:hAnsi="Times New Roman" w:cs="Times New Roman"/>
          <w:color w:val="000000"/>
          <w:sz w:val="24"/>
          <w:szCs w:val="24"/>
          <w:lang w:eastAsia="en-GB"/>
        </w:rPr>
        <w:t xml:space="preserve">) were demultiplexed according to the primer sequences using </w:t>
      </w:r>
      <w:proofErr w:type="spellStart"/>
      <w:r w:rsidRPr="00CE01D8">
        <w:rPr>
          <w:rFonts w:ascii="Times New Roman" w:eastAsia="Times New Roman" w:hAnsi="Times New Roman" w:cs="Times New Roman"/>
          <w:color w:val="000000"/>
          <w:sz w:val="24"/>
          <w:szCs w:val="24"/>
          <w:lang w:eastAsia="en-GB"/>
        </w:rPr>
        <w:t>jMHC</w:t>
      </w:r>
      <w:proofErr w:type="spellEnd"/>
      <w:r w:rsidRPr="00CE01D8">
        <w:rPr>
          <w:rFonts w:ascii="Times New Roman" w:eastAsia="Times New Roman" w:hAnsi="Times New Roman" w:cs="Times New Roman"/>
          <w:color w:val="000000"/>
          <w:sz w:val="24"/>
          <w:szCs w:val="24"/>
          <w:lang w:eastAsia="en-GB"/>
        </w:rPr>
        <w:t xml:space="preserve"> and the output file gave sequence variant depths quantified among amplicons </w:t>
      </w:r>
      <w:r w:rsidRPr="00CE01D8">
        <w:rPr>
          <w:rFonts w:ascii="Times New Roman" w:eastAsia="Times New Roman" w:hAnsi="Times New Roman" w:cs="Times New Roman"/>
          <w:color w:val="000000"/>
          <w:sz w:val="24"/>
          <w:szCs w:val="24"/>
          <w:lang w:eastAsia="en-GB"/>
        </w:rPr>
        <w:fldChar w:fldCharType="begin" w:fldLock="1"/>
      </w:r>
      <w:r w:rsidRPr="00CE01D8">
        <w:rPr>
          <w:rFonts w:ascii="Times New Roman" w:eastAsia="Times New Roman" w:hAnsi="Times New Roman" w:cs="Times New Roman"/>
          <w:color w:val="000000"/>
          <w:sz w:val="24"/>
          <w:szCs w:val="24"/>
          <w:lang w:eastAsia="en-GB"/>
        </w:rPr>
        <w:instrText>ADDIN CSL_CITATION {"citationItems":[{"id":"ITEM-1","itemData":{"DOI":"10.1111/j.1755-0998.2011.02997.x","ISSN":"1755098X","abstract":"Genotyping of multilocus gene families, such as the major histocompatibility complex (MHC), may be challenging because of problems with assigning alleles to loci and copy number variation among individuals. Simultaneous amplification and genotyping of multiple loci may be necessary, and in such cases, next-generation deep amplicon sequencing offers a great promise as a genotyping method of choice. Here, we describe jMHC, a computer program developed for analysing and assisting in the visualization of deep amplicon sequencing data. Software operates on FASTA files; therefore, output from any sequencing technology may be used. jMHC was designed specifically for MHC studies but it may be useful for analysing amplicons derived from other multigene families or for genotyping other polymorphic systems. The program is written in Java with user-friendly graphical interface (GUI) and can be run on Microsoft Windows, Linux OS and Mac OS.","author":[{"dropping-particle":"","family":"Stuglik","given":"MT","non-dropping-particle":"","parse-names":false,"suffix":""},{"dropping-particle":"","family":"Radwan","given":"J","non-dropping-particle":"","parse-names":false,"suffix":""},{"dropping-particle":"","family":"Babik","given":"W","non-dropping-particle":"","parse-names":false,"suffix":""}],"container-title":"Molecular Ecology Resources","id":"ITEM-1","issue":"4","issued":{"date-parts":[["2011"]]},"page":"739-742","title":"jMHC: Software assistant for multilocus genotyping of gene families using next-generation amplicon sequencing","type":"article-journal","volume":"11"},"uris":["http://www.mendeley.com/documents/?uuid=c2cbb987-e875-4ba0-9a0a-788ae63ae5c8"]}],"mendeley":{"formattedCitation":"(Stuglik &lt;i&gt;et al.&lt;/i&gt;, 2011)","plainTextFormattedCitation":"(Stuglik et al., 2011)","previouslyFormattedCitation":"(Stuglik &lt;i&gt;et al.&lt;/i&gt;, 2011)"},"properties":{"noteIndex":0},"schema":"https://github.com/citation-style-language/schema/raw/master/csl-citation.json"}</w:instrText>
      </w:r>
      <w:r w:rsidRPr="00CE01D8">
        <w:rPr>
          <w:rFonts w:ascii="Times New Roman" w:eastAsia="Times New Roman" w:hAnsi="Times New Roman" w:cs="Times New Roman"/>
          <w:color w:val="000000"/>
          <w:sz w:val="24"/>
          <w:szCs w:val="24"/>
          <w:lang w:eastAsia="en-GB"/>
        </w:rPr>
        <w:fldChar w:fldCharType="separate"/>
      </w:r>
      <w:r w:rsidRPr="00CE01D8">
        <w:rPr>
          <w:rFonts w:ascii="Times New Roman" w:eastAsia="Times New Roman" w:hAnsi="Times New Roman" w:cs="Times New Roman"/>
          <w:noProof/>
          <w:color w:val="000000"/>
          <w:sz w:val="24"/>
          <w:szCs w:val="24"/>
          <w:lang w:eastAsia="en-GB"/>
        </w:rPr>
        <w:t xml:space="preserve">(Stuglik </w:t>
      </w:r>
      <w:r w:rsidRPr="00CE01D8">
        <w:rPr>
          <w:rFonts w:ascii="Times New Roman" w:eastAsia="Times New Roman" w:hAnsi="Times New Roman" w:cs="Times New Roman"/>
          <w:i/>
          <w:noProof/>
          <w:color w:val="000000"/>
          <w:sz w:val="24"/>
          <w:szCs w:val="24"/>
          <w:lang w:eastAsia="en-GB"/>
        </w:rPr>
        <w:t>et al.</w:t>
      </w:r>
      <w:r w:rsidRPr="00CE01D8">
        <w:rPr>
          <w:rFonts w:ascii="Times New Roman" w:eastAsia="Times New Roman" w:hAnsi="Times New Roman" w:cs="Times New Roman"/>
          <w:noProof/>
          <w:color w:val="000000"/>
          <w:sz w:val="24"/>
          <w:szCs w:val="24"/>
          <w:lang w:eastAsia="en-GB"/>
        </w:rPr>
        <w:t>, 2011)</w:t>
      </w:r>
      <w:r w:rsidRPr="00CE01D8">
        <w:rPr>
          <w:rFonts w:ascii="Times New Roman" w:eastAsia="Times New Roman" w:hAnsi="Times New Roman" w:cs="Times New Roman"/>
          <w:color w:val="000000"/>
          <w:sz w:val="24"/>
          <w:szCs w:val="24"/>
          <w:lang w:eastAsia="en-GB"/>
        </w:rPr>
        <w:fldChar w:fldCharType="end"/>
      </w:r>
      <w:r w:rsidRPr="00CE01D8">
        <w:rPr>
          <w:rFonts w:ascii="Times New Roman" w:eastAsia="Times New Roman" w:hAnsi="Times New Roman" w:cs="Times New Roman"/>
          <w:color w:val="000000"/>
          <w:sz w:val="24"/>
          <w:szCs w:val="24"/>
          <w:lang w:eastAsia="en-GB"/>
        </w:rPr>
        <w:t xml:space="preserve">. An approach known as the DOC (Degree Of Change) </w:t>
      </w:r>
      <w:r w:rsidRPr="00CE01D8">
        <w:rPr>
          <w:rFonts w:ascii="Times New Roman" w:eastAsia="Times New Roman" w:hAnsi="Times New Roman" w:cs="Times New Roman"/>
          <w:color w:val="000000"/>
          <w:sz w:val="24"/>
          <w:szCs w:val="24"/>
          <w:lang w:eastAsia="en-GB"/>
        </w:rPr>
        <w:lastRenderedPageBreak/>
        <w:t xml:space="preserve">was used to distinguish between biologically accurate sequences and artefacts, based on the frequency of sequence variants found per sample </w:t>
      </w:r>
      <w:r w:rsidRPr="00CE01D8">
        <w:rPr>
          <w:rFonts w:ascii="Times New Roman" w:eastAsia="Times New Roman" w:hAnsi="Times New Roman" w:cs="Times New Roman"/>
          <w:color w:val="000000"/>
          <w:sz w:val="24"/>
          <w:szCs w:val="24"/>
          <w:lang w:eastAsia="en-GB"/>
        </w:rPr>
        <w:fldChar w:fldCharType="begin" w:fldLock="1"/>
      </w:r>
      <w:r w:rsidRPr="00CE01D8">
        <w:rPr>
          <w:rFonts w:ascii="Times New Roman" w:eastAsia="Times New Roman" w:hAnsi="Times New Roman" w:cs="Times New Roman"/>
          <w:color w:val="000000"/>
          <w:sz w:val="24"/>
          <w:szCs w:val="24"/>
          <w:lang w:eastAsia="en-GB"/>
        </w:rPr>
        <w:instrText>ADDIN CSL_CITATION {"citationItems":[{"id":"ITEM-1","itemData":{"DOI":"10.1111/1755-0998.12225","author":[{"dropping-particle":"","family":"Lighten","given":"J","non-dropping-particle":"","parse-names":false,"suffix":""},{"dropping-particle":"","family":"Oosterhout","given":"C","non-dropping-particle":"van","parse-names":false,"suffix":""},{"dropping-particle":"","family":"McMullan","given":"M","non-dropping-particle":"","parse-names":false,"suffix":""},{"dropping-particle":"","family":"Bentzen","given":"P","non-dropping-particle":"","parse-names":false,"suffix":""},{"dropping-particle":"","family":"Lighten","given":"J","non-dropping-particle":"","parse-names":false,"suffix":""},{"dropping-particle":"","family":"Paterson","given":"IG","non-dropping-particle":"","parse-names":false,"suffix":""}],"container-title":"Molecular Ecology Resources","id":"ITEM-1","issue":"4","issued":{"date-parts":[["2014"]]},"page":"753-767","title":"Ultra-deep Illumina sequencing accurately identifies MHC class IIb alleles and provides evidence for copy number variation in the guppy (&lt;i&gt;Poecilia reticulata&lt;/i&gt;)","type":"article-journal","volume":"14"},"uris":["http://www.mendeley.com/documents/?uuid=47e9efd8-50d5-4752-bd9d-1a76a432e0c9"]}],"mendeley":{"formattedCitation":"(Lighten &lt;i&gt;et al.&lt;/i&gt;, 2014)","plainTextFormattedCitation":"(Lighten et al., 2014)","previouslyFormattedCitation":"(Lighten &lt;i&gt;et al.&lt;/i&gt;, 2014)"},"properties":{"noteIndex":0},"schema":"https://github.com/citation-style-language/schema/raw/master/csl-citation.json"}</w:instrText>
      </w:r>
      <w:r w:rsidRPr="00CE01D8">
        <w:rPr>
          <w:rFonts w:ascii="Times New Roman" w:eastAsia="Times New Roman" w:hAnsi="Times New Roman" w:cs="Times New Roman"/>
          <w:color w:val="000000"/>
          <w:sz w:val="24"/>
          <w:szCs w:val="24"/>
          <w:lang w:eastAsia="en-GB"/>
        </w:rPr>
        <w:fldChar w:fldCharType="separate"/>
      </w:r>
      <w:r w:rsidRPr="00CE01D8">
        <w:rPr>
          <w:rFonts w:ascii="Times New Roman" w:eastAsia="Times New Roman" w:hAnsi="Times New Roman" w:cs="Times New Roman"/>
          <w:noProof/>
          <w:color w:val="000000"/>
          <w:sz w:val="24"/>
          <w:szCs w:val="24"/>
          <w:lang w:eastAsia="en-GB"/>
        </w:rPr>
        <w:t xml:space="preserve">(Lighten </w:t>
      </w:r>
      <w:r w:rsidRPr="00CE01D8">
        <w:rPr>
          <w:rFonts w:ascii="Times New Roman" w:eastAsia="Times New Roman" w:hAnsi="Times New Roman" w:cs="Times New Roman"/>
          <w:i/>
          <w:noProof/>
          <w:color w:val="000000"/>
          <w:sz w:val="24"/>
          <w:szCs w:val="24"/>
          <w:lang w:eastAsia="en-GB"/>
        </w:rPr>
        <w:t>et al.</w:t>
      </w:r>
      <w:r w:rsidRPr="00CE01D8">
        <w:rPr>
          <w:rFonts w:ascii="Times New Roman" w:eastAsia="Times New Roman" w:hAnsi="Times New Roman" w:cs="Times New Roman"/>
          <w:noProof/>
          <w:color w:val="000000"/>
          <w:sz w:val="24"/>
          <w:szCs w:val="24"/>
          <w:lang w:eastAsia="en-GB"/>
        </w:rPr>
        <w:t>, 2014)</w:t>
      </w:r>
      <w:r w:rsidRPr="00CE01D8">
        <w:rPr>
          <w:rFonts w:ascii="Times New Roman" w:eastAsia="Times New Roman" w:hAnsi="Times New Roman" w:cs="Times New Roman"/>
          <w:color w:val="000000"/>
          <w:sz w:val="24"/>
          <w:szCs w:val="24"/>
          <w:lang w:eastAsia="en-GB"/>
        </w:rPr>
        <w:fldChar w:fldCharType="end"/>
      </w:r>
      <w:r w:rsidRPr="00CE01D8">
        <w:rPr>
          <w:rFonts w:ascii="Times New Roman" w:eastAsia="Times New Roman" w:hAnsi="Times New Roman" w:cs="Times New Roman"/>
          <w:color w:val="000000"/>
          <w:sz w:val="24"/>
          <w:szCs w:val="24"/>
          <w:lang w:eastAsia="en-GB"/>
        </w:rPr>
        <w:t>. A variant had to be present in at least 50 copies within a sample to be retained within the analysis. This value was chosen to minimize the risk of false positives.</w:t>
      </w:r>
    </w:p>
    <w:p w14:paraId="01FA1041" w14:textId="77777777" w:rsidR="00A3276C" w:rsidRDefault="00A3276C"/>
    <w:sectPr w:rsidR="00A327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1D8"/>
    <w:rsid w:val="00A3276C"/>
    <w:rsid w:val="00CE01D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F6AEA"/>
  <w15:chartTrackingRefBased/>
  <w15:docId w15:val="{2340E3A2-81C9-488A-9CE9-1618F9CD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1763</Words>
  <Characters>10050</Characters>
  <Application>Microsoft Office Word</Application>
  <DocSecurity>0</DocSecurity>
  <Lines>83</Lines>
  <Paragraphs>23</Paragraphs>
  <ScaleCrop>false</ScaleCrop>
  <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Sage</dc:creator>
  <cp:keywords/>
  <dc:description/>
  <cp:lastModifiedBy>Alison Sage</cp:lastModifiedBy>
  <cp:revision>1</cp:revision>
  <dcterms:created xsi:type="dcterms:W3CDTF">2022-11-28T12:16:00Z</dcterms:created>
  <dcterms:modified xsi:type="dcterms:W3CDTF">2022-11-28T12:18:00Z</dcterms:modified>
</cp:coreProperties>
</file>