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29" w:rsidRPr="00121108" w:rsidRDefault="00667C29" w:rsidP="00AF01CA">
      <w:pPr>
        <w:spacing w:line="480" w:lineRule="auto"/>
        <w:jc w:val="both"/>
        <w:rPr>
          <w:rFonts w:ascii="Arial" w:hAnsi="Arial" w:cs="Arial"/>
          <w:b/>
        </w:rPr>
      </w:pPr>
      <w:r>
        <w:rPr>
          <w:rFonts w:ascii="Arial" w:hAnsi="Arial" w:cs="Arial"/>
          <w:b/>
        </w:rPr>
        <w:t>SUPPLEMENTARY MATERIAL</w:t>
      </w:r>
    </w:p>
    <w:p w:rsidR="00667C29" w:rsidRPr="00121108" w:rsidRDefault="00667C29" w:rsidP="00AF01CA">
      <w:pPr>
        <w:spacing w:line="480" w:lineRule="auto"/>
        <w:jc w:val="both"/>
        <w:rPr>
          <w:rFonts w:ascii="Arial" w:hAnsi="Arial" w:cs="Arial"/>
          <w:b/>
        </w:rPr>
      </w:pPr>
      <w:r w:rsidRPr="00121108">
        <w:rPr>
          <w:rFonts w:ascii="Arial" w:hAnsi="Arial" w:cs="Arial"/>
          <w:b/>
        </w:rPr>
        <w:t>Sensitivity analyses</w:t>
      </w:r>
    </w:p>
    <w:p w:rsidR="00667C29" w:rsidRPr="00121108" w:rsidRDefault="00667C29" w:rsidP="00AF01CA">
      <w:pPr>
        <w:spacing w:line="480" w:lineRule="auto"/>
        <w:jc w:val="both"/>
        <w:rPr>
          <w:rFonts w:ascii="Arial" w:hAnsi="Arial" w:cs="Arial"/>
        </w:rPr>
      </w:pPr>
      <w:r w:rsidRPr="00121108">
        <w:rPr>
          <w:rFonts w:ascii="Arial" w:hAnsi="Arial" w:cs="Arial"/>
        </w:rPr>
        <w:t xml:space="preserve">We then re-analyzed the data after the graphical detection and subsequent removal of a single outlying observation with an FA value of &lt; 0.2, with no effect on any of our significant findings, all of which remained significant. We then adjusted for the effects of antidepressants prescribed at time 1 or time 2 by including this as a term in the regression models. In each case, all of the significant relationships between uncinate FA and depression at time 1 (Right uncinate: standardized beta = -0.14, F = 12.19, p &lt; 0.001; Left uncinate: standardized beta = -0.15, F = 12.32, p &lt; 0.001), depression at time 2 (Right uncinate: standardized beta = -0.12, F = 9.19, p = 0.002; Left uncinate: standardized beta = -0.11, F = 7.32, p = 0.007), neuroticism (Right uncinate: standardized beta = -0.07, F = 3.12, p = 0.08; Left uncinate: standardized beta = -0.11, F = 5.96, p = 0.015) or extraversion (Right uncinate: standardized beta = 0.12, F = 7.52, p = 0.006) were in the same direction as reported for the combined sample. The significant negative relationship between right uncinate FA and neuroticism became a non-significant trend however, when antidepressant treatment was added to the model. </w:t>
      </w:r>
    </w:p>
    <w:p w:rsidR="00667C29" w:rsidRPr="00121108" w:rsidRDefault="00667C29" w:rsidP="00AF01CA">
      <w:pPr>
        <w:spacing w:line="480" w:lineRule="auto"/>
        <w:jc w:val="both"/>
        <w:rPr>
          <w:rFonts w:ascii="Arial" w:hAnsi="Arial" w:cs="Arial"/>
        </w:rPr>
      </w:pPr>
    </w:p>
    <w:p w:rsidR="00667C29" w:rsidRDefault="00667C29" w:rsidP="00AF01CA">
      <w:pPr>
        <w:spacing w:line="480" w:lineRule="auto"/>
        <w:jc w:val="both"/>
        <w:rPr>
          <w:rFonts w:ascii="Arial" w:hAnsi="Arial" w:cs="Arial"/>
        </w:rPr>
      </w:pPr>
      <w:r w:rsidRPr="00121108">
        <w:rPr>
          <w:rFonts w:ascii="Arial" w:hAnsi="Arial" w:cs="Arial"/>
        </w:rPr>
        <w:t>The data were then re-analyzed using cigarette use (never, current, past) as a covariate in the regression analyses. In each case, all of the significant relationships between uncinate FA and depression at time 1 (Right uncinate: standardized beta = -0.14, F = 13.59, p = 0.0002; Left uncinate: standardized beta = -0.15, F = 12.13, p = 0.005), depression at time 2 (Right uncinate: standardized beta = -0.12, F = 10.47, p = 0.001; Left uncinate: standardized beta = -0.11, F = 7.00, p = 0.008), neuroticism (Right uncinate: standardized beta = -0.09, F = 4.42, p = 0.036; Left uncinate: standardized beta = -0.11, F = 6.66, p = 0.01) or extraversion (Right uncinate: standardized beta = 0.13, F = 8.99, p = 0.003) were in the same direction as reported for the combined sample.</w:t>
      </w:r>
    </w:p>
    <w:p w:rsidR="00667C29" w:rsidRDefault="00667C29" w:rsidP="00AF01CA">
      <w:pPr>
        <w:spacing w:line="480" w:lineRule="auto"/>
        <w:jc w:val="both"/>
        <w:rPr>
          <w:rFonts w:ascii="Arial" w:hAnsi="Arial" w:cs="Arial"/>
        </w:rPr>
      </w:pPr>
    </w:p>
    <w:p w:rsidR="00667C29" w:rsidRPr="00121108" w:rsidRDefault="00667C29" w:rsidP="00AF01CA">
      <w:pPr>
        <w:spacing w:line="480" w:lineRule="auto"/>
        <w:jc w:val="both"/>
        <w:rPr>
          <w:rFonts w:ascii="Arial" w:hAnsi="Arial" w:cs="Arial"/>
        </w:rPr>
      </w:pPr>
      <w:r>
        <w:rPr>
          <w:rFonts w:ascii="Arial" w:hAnsi="Arial" w:cs="Arial"/>
        </w:rPr>
        <w:t>We then re-analysed the data after adjustment for self-reported alcohol use (in standard units) at the time of the imaging assessment. A</w:t>
      </w:r>
      <w:r w:rsidRPr="00121108">
        <w:rPr>
          <w:rFonts w:ascii="Arial" w:hAnsi="Arial" w:cs="Arial"/>
        </w:rPr>
        <w:t xml:space="preserve">ll of the significant relationships between uncinate FA and depression at time </w:t>
      </w:r>
      <w:r w:rsidRPr="00C945EE">
        <w:rPr>
          <w:rFonts w:ascii="Arial" w:hAnsi="Arial" w:cs="Arial"/>
        </w:rPr>
        <w:t>1 (Right uncinate: standardized beta = -0.14, F = 11.44, p &lt; 0.001; Left uncinate: standardized beta = -0.15, F = 12.31, p &lt; 0.001</w:t>
      </w:r>
      <w:r w:rsidRPr="00121108">
        <w:rPr>
          <w:rFonts w:ascii="Arial" w:hAnsi="Arial" w:cs="Arial"/>
        </w:rPr>
        <w:t>), depression at time 2 (</w:t>
      </w:r>
      <w:r w:rsidRPr="00C945EE">
        <w:rPr>
          <w:rFonts w:ascii="Arial" w:hAnsi="Arial" w:cs="Arial"/>
        </w:rPr>
        <w:t>Right uncinate: standardized beta = -0.13, F = 9.96, p = 0.002; Left uncinate: standardized beta = -0.11, F = 5.43, p &lt; 0.02</w:t>
      </w:r>
      <w:r>
        <w:rPr>
          <w:rFonts w:ascii="Arial" w:hAnsi="Arial" w:cs="Arial"/>
        </w:rPr>
        <w:t>). The association between neuroticism and left unccinate FA also remained statistically significant (standardized beta = -0.11, F = 5.28, p = 0.02) although the relationship between neuroticism and right uncinate fractional anisotropy became non-significant on the right (standardized beta = -0.06, F = 2.44, p = 0.12). The relationship between extraversion and FA remained significant bilaterally after the inclusion of alcohol units per week in the model (Right uncinate: standardized beta = 0.12, F = 7.84, p = 0.005; Left uncinate: standardized beta = 0.11, F = 6.04, p = 0.01).</w:t>
      </w:r>
    </w:p>
    <w:p w:rsidR="00667C29" w:rsidRPr="00121108" w:rsidRDefault="00667C29" w:rsidP="00AF01CA">
      <w:pPr>
        <w:spacing w:line="480" w:lineRule="auto"/>
        <w:jc w:val="both"/>
        <w:rPr>
          <w:rFonts w:ascii="Arial" w:hAnsi="Arial" w:cs="Arial"/>
        </w:rPr>
      </w:pPr>
    </w:p>
    <w:p w:rsidR="00667C29" w:rsidRPr="00121108" w:rsidRDefault="00667C29" w:rsidP="00AF01CA">
      <w:pPr>
        <w:spacing w:line="480" w:lineRule="auto"/>
        <w:jc w:val="both"/>
        <w:rPr>
          <w:rFonts w:ascii="Arial" w:hAnsi="Arial" w:cs="Arial"/>
        </w:rPr>
      </w:pPr>
      <w:r w:rsidRPr="00121108">
        <w:rPr>
          <w:rFonts w:ascii="Arial" w:hAnsi="Arial" w:cs="Arial"/>
        </w:rPr>
        <w:t>Finally, we adjusted our analysis for the effect of the 48 subjects who recalled a lifetime history of stroke in their clinical interview and questionnaires.  Again, in each case, all of the significant relationships between uncinate FA and depression at time 1 (Right uncinate: standardized beta = -0.15, F = 13.42, p &lt; 0.001; Left uncinate: standardized beta = -0.15, F = 12.85, p &lt; 0.001), depression at time 2 (Right uncinate: standardized beta = -0.12, F = 9.88, p = 0.002; Left uncinate: standardized beta = -0.11, F = 7.44, p &lt; 0.001), neuroticism (Right uncinate: standardized beta = -0.09, F = 11.30, p &lt; 0.001; Left uncinate: standardized beta = -0.12, F = 6.94, p = 0.008) or extraversion (Right uncinate: standardized beta = 0.12, F = 8.66, p = 0.004) were in the same direction as reported for the combined sample. Similar results were also obtained if individuals with a history of stroke were removed from the analysis completely, although the association between right uncinate FA and neuroticism became non-significant in this analysis (standardized beta = -0.07, F = 2.38, p=0.12) but with little attenuation in the size of the effect.</w:t>
      </w:r>
    </w:p>
    <w:p w:rsidR="00667C29" w:rsidRPr="00121108" w:rsidRDefault="00667C29">
      <w:pPr>
        <w:sectPr w:rsidR="00667C29" w:rsidRPr="00121108" w:rsidSect="00172952">
          <w:pgSz w:w="11900" w:h="16820"/>
          <w:pgMar w:top="1440" w:right="1800" w:bottom="1440" w:left="1800" w:header="708" w:footer="708" w:gutter="0"/>
          <w:cols w:space="708"/>
          <w:docGrid w:linePitch="360"/>
        </w:sectPr>
      </w:pPr>
    </w:p>
    <w:p w:rsidR="00667C29" w:rsidRPr="00121108" w:rsidRDefault="00667C29" w:rsidP="00842B82">
      <w:pPr>
        <w:rPr>
          <w:rFonts w:ascii="Arial" w:hAnsi="Arial" w:cs="Arial"/>
          <w:b/>
          <w:sz w:val="20"/>
          <w:szCs w:val="20"/>
        </w:rPr>
      </w:pPr>
      <w:r w:rsidRPr="00121108">
        <w:rPr>
          <w:rFonts w:ascii="Arial" w:hAnsi="Arial" w:cs="Arial"/>
          <w:b/>
          <w:sz w:val="20"/>
          <w:szCs w:val="20"/>
        </w:rPr>
        <w:t xml:space="preserve">Supplementary Table </w:t>
      </w:r>
      <w:r>
        <w:rPr>
          <w:rFonts w:ascii="Arial" w:hAnsi="Arial" w:cs="Arial"/>
          <w:b/>
          <w:sz w:val="20"/>
          <w:szCs w:val="20"/>
        </w:rPr>
        <w:t>S</w:t>
      </w:r>
      <w:r w:rsidRPr="00121108">
        <w:rPr>
          <w:rFonts w:ascii="Arial" w:hAnsi="Arial" w:cs="Arial"/>
          <w:b/>
          <w:sz w:val="20"/>
          <w:szCs w:val="20"/>
        </w:rPr>
        <w:t>1: Association between white matter tract FA and symptoms of anxiety</w:t>
      </w:r>
    </w:p>
    <w:p w:rsidR="00667C29" w:rsidRPr="00121108" w:rsidRDefault="00667C29" w:rsidP="00842B82">
      <w:pPr>
        <w:rPr>
          <w:rFonts w:ascii="Arial" w:hAnsi="Arial" w:cs="Arial"/>
          <w:sz w:val="20"/>
          <w:szCs w:val="20"/>
        </w:rPr>
      </w:pPr>
    </w:p>
    <w:tbl>
      <w:tblPr>
        <w:tblW w:w="0" w:type="auto"/>
        <w:tblInd w:w="108" w:type="dxa"/>
        <w:tblLayout w:type="fixed"/>
        <w:tblLook w:val="0000"/>
      </w:tblPr>
      <w:tblGrid>
        <w:gridCol w:w="1125"/>
        <w:gridCol w:w="1035"/>
        <w:gridCol w:w="1080"/>
        <w:gridCol w:w="900"/>
        <w:gridCol w:w="1080"/>
        <w:gridCol w:w="1080"/>
        <w:gridCol w:w="1080"/>
        <w:gridCol w:w="900"/>
        <w:gridCol w:w="1080"/>
      </w:tblGrid>
      <w:tr w:rsidR="00667C29" w:rsidRPr="00121108" w:rsidTr="00D554F5">
        <w:trPr>
          <w:trHeight w:val="315"/>
        </w:trPr>
        <w:tc>
          <w:tcPr>
            <w:tcW w:w="1125" w:type="dxa"/>
            <w:tcBorders>
              <w:left w:val="nil"/>
              <w:right w:val="single" w:sz="4" w:space="0" w:color="auto"/>
            </w:tcBorders>
            <w:noWrap/>
            <w:vAlign w:val="bottom"/>
          </w:tcPr>
          <w:p w:rsidR="00667C29" w:rsidRPr="00121108" w:rsidRDefault="00667C29" w:rsidP="000537AE">
            <w:pPr>
              <w:rPr>
                <w:rFonts w:ascii="Arial" w:hAnsi="Arial" w:cs="Arial"/>
                <w:color w:val="000000"/>
                <w:sz w:val="20"/>
                <w:szCs w:val="20"/>
              </w:rPr>
            </w:pPr>
          </w:p>
        </w:tc>
        <w:tc>
          <w:tcPr>
            <w:tcW w:w="4095" w:type="dxa"/>
            <w:gridSpan w:val="4"/>
            <w:tcBorders>
              <w:top w:val="single" w:sz="4" w:space="0" w:color="auto"/>
              <w:left w:val="single" w:sz="4" w:space="0" w:color="auto"/>
              <w:bottom w:val="single" w:sz="4" w:space="0" w:color="auto"/>
              <w:right w:val="single" w:sz="4" w:space="0" w:color="auto"/>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Assessment time 1</w:t>
            </w:r>
          </w:p>
        </w:tc>
        <w:tc>
          <w:tcPr>
            <w:tcW w:w="4140" w:type="dxa"/>
            <w:gridSpan w:val="4"/>
            <w:tcBorders>
              <w:top w:val="single" w:sz="4" w:space="0" w:color="auto"/>
              <w:left w:val="single" w:sz="4" w:space="0" w:color="auto"/>
              <w:bottom w:val="single" w:sz="4" w:space="0" w:color="auto"/>
              <w:righ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Assessment time 2</w:t>
            </w:r>
          </w:p>
        </w:tc>
      </w:tr>
      <w:tr w:rsidR="00667C29" w:rsidRPr="00121108" w:rsidTr="00D554F5">
        <w:trPr>
          <w:trHeight w:val="315"/>
        </w:trPr>
        <w:tc>
          <w:tcPr>
            <w:tcW w:w="1125" w:type="dxa"/>
            <w:tcBorders>
              <w:left w:val="nil"/>
              <w:bottom w:val="single" w:sz="4" w:space="0" w:color="auto"/>
              <w:right w:val="single" w:sz="4" w:space="0" w:color="auto"/>
            </w:tcBorders>
            <w:noWrap/>
            <w:vAlign w:val="bottom"/>
          </w:tcPr>
          <w:p w:rsidR="00667C29" w:rsidRPr="00121108" w:rsidRDefault="00667C29" w:rsidP="000537AE">
            <w:pPr>
              <w:rPr>
                <w:rFonts w:ascii="Arial" w:hAnsi="Arial" w:cs="Arial"/>
                <w:color w:val="000000"/>
                <w:sz w:val="20"/>
                <w:szCs w:val="20"/>
              </w:rPr>
            </w:pPr>
          </w:p>
        </w:tc>
        <w:tc>
          <w:tcPr>
            <w:tcW w:w="1035" w:type="dxa"/>
            <w:tcBorders>
              <w:top w:val="single" w:sz="4" w:space="0" w:color="auto"/>
              <w:left w:val="single" w:sz="4" w:space="0" w:color="auto"/>
              <w:bottom w:val="single" w:sz="4" w:space="0" w:color="auto"/>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β</w:t>
            </w:r>
          </w:p>
        </w:tc>
        <w:tc>
          <w:tcPr>
            <w:tcW w:w="1080" w:type="dxa"/>
            <w:tcBorders>
              <w:top w:val="single" w:sz="4" w:space="0" w:color="auto"/>
              <w:left w:val="nil"/>
              <w:bottom w:val="single" w:sz="4" w:space="0" w:color="auto"/>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SE(β)</w:t>
            </w:r>
          </w:p>
        </w:tc>
        <w:tc>
          <w:tcPr>
            <w:tcW w:w="900" w:type="dxa"/>
            <w:tcBorders>
              <w:top w:val="single" w:sz="4" w:space="0" w:color="auto"/>
              <w:left w:val="nil"/>
              <w:bottom w:val="single" w:sz="4" w:space="0" w:color="auto"/>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t value</w:t>
            </w:r>
          </w:p>
        </w:tc>
        <w:tc>
          <w:tcPr>
            <w:tcW w:w="1080" w:type="dxa"/>
            <w:tcBorders>
              <w:top w:val="single" w:sz="4" w:space="0" w:color="auto"/>
              <w:left w:val="nil"/>
              <w:bottom w:val="single" w:sz="4" w:space="0" w:color="auto"/>
              <w:right w:val="single" w:sz="4" w:space="0" w:color="auto"/>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Pr(&gt;|t|)</w:t>
            </w:r>
          </w:p>
        </w:tc>
        <w:tc>
          <w:tcPr>
            <w:tcW w:w="1080" w:type="dxa"/>
            <w:tcBorders>
              <w:top w:val="single" w:sz="4" w:space="0" w:color="auto"/>
              <w:left w:val="single" w:sz="4" w:space="0" w:color="auto"/>
              <w:bottom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β</w:t>
            </w:r>
          </w:p>
        </w:tc>
        <w:tc>
          <w:tcPr>
            <w:tcW w:w="1080" w:type="dxa"/>
            <w:tcBorders>
              <w:top w:val="single" w:sz="4" w:space="0" w:color="auto"/>
              <w:bottom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SE(β)</w:t>
            </w:r>
          </w:p>
        </w:tc>
        <w:tc>
          <w:tcPr>
            <w:tcW w:w="900" w:type="dxa"/>
            <w:tcBorders>
              <w:top w:val="single" w:sz="4" w:space="0" w:color="auto"/>
              <w:bottom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t value</w:t>
            </w:r>
          </w:p>
        </w:tc>
        <w:tc>
          <w:tcPr>
            <w:tcW w:w="1080" w:type="dxa"/>
            <w:tcBorders>
              <w:bottom w:val="single" w:sz="4" w:space="0" w:color="auto"/>
              <w:righ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Pr(&gt;|t|)</w:t>
            </w:r>
          </w:p>
        </w:tc>
      </w:tr>
      <w:tr w:rsidR="00667C29" w:rsidRPr="00121108" w:rsidTr="000537AE">
        <w:trPr>
          <w:trHeight w:val="315"/>
        </w:trPr>
        <w:tc>
          <w:tcPr>
            <w:tcW w:w="1125" w:type="dxa"/>
            <w:tcBorders>
              <w:top w:val="single" w:sz="4" w:space="0" w:color="auto"/>
              <w:left w:val="single" w:sz="4" w:space="0" w:color="auto"/>
              <w:bottom w:val="nil"/>
              <w:right w:val="single" w:sz="4" w:space="0" w:color="auto"/>
            </w:tcBorders>
            <w:noWrap/>
            <w:vAlign w:val="bottom"/>
          </w:tcPr>
          <w:p w:rsidR="00667C29" w:rsidRPr="00121108" w:rsidRDefault="00667C29" w:rsidP="000537AE">
            <w:pPr>
              <w:rPr>
                <w:rFonts w:ascii="Arial" w:hAnsi="Arial" w:cs="Arial"/>
                <w:color w:val="000000"/>
                <w:sz w:val="20"/>
                <w:szCs w:val="20"/>
              </w:rPr>
            </w:pPr>
            <w:r w:rsidRPr="00121108">
              <w:rPr>
                <w:rFonts w:ascii="Arial" w:hAnsi="Arial" w:cs="Arial"/>
                <w:color w:val="000000"/>
                <w:sz w:val="20"/>
                <w:szCs w:val="20"/>
              </w:rPr>
              <w:t>Genu</w:t>
            </w:r>
          </w:p>
        </w:tc>
        <w:tc>
          <w:tcPr>
            <w:tcW w:w="1035" w:type="dxa"/>
            <w:tcBorders>
              <w:top w:val="single" w:sz="4" w:space="0" w:color="auto"/>
              <w:left w:val="single" w:sz="4" w:space="0" w:color="auto"/>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-0.0007</w:t>
            </w:r>
          </w:p>
        </w:tc>
        <w:tc>
          <w:tcPr>
            <w:tcW w:w="1080" w:type="dxa"/>
            <w:tcBorders>
              <w:top w:val="single" w:sz="4" w:space="0" w:color="auto"/>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0.0006</w:t>
            </w:r>
          </w:p>
        </w:tc>
        <w:tc>
          <w:tcPr>
            <w:tcW w:w="900" w:type="dxa"/>
            <w:tcBorders>
              <w:top w:val="single" w:sz="4" w:space="0" w:color="auto"/>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-1.23</w:t>
            </w:r>
          </w:p>
        </w:tc>
        <w:tc>
          <w:tcPr>
            <w:tcW w:w="1080" w:type="dxa"/>
            <w:tcBorders>
              <w:top w:val="single" w:sz="4" w:space="0" w:color="auto"/>
              <w:left w:val="nil"/>
              <w:bottom w:val="nil"/>
              <w:right w:val="single" w:sz="4" w:space="0" w:color="auto"/>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0.22</w:t>
            </w:r>
          </w:p>
        </w:tc>
        <w:tc>
          <w:tcPr>
            <w:tcW w:w="1080" w:type="dxa"/>
            <w:tcBorders>
              <w:top w:val="single" w:sz="4" w:space="0" w:color="auto"/>
              <w:lef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-0.0003</w:t>
            </w:r>
          </w:p>
        </w:tc>
        <w:tc>
          <w:tcPr>
            <w:tcW w:w="1080" w:type="dxa"/>
            <w:tcBorders>
              <w:top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0.0005</w:t>
            </w:r>
          </w:p>
        </w:tc>
        <w:tc>
          <w:tcPr>
            <w:tcW w:w="900" w:type="dxa"/>
            <w:tcBorders>
              <w:top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-0.49</w:t>
            </w:r>
          </w:p>
        </w:tc>
        <w:tc>
          <w:tcPr>
            <w:tcW w:w="1080" w:type="dxa"/>
            <w:tcBorders>
              <w:righ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0.63</w:t>
            </w:r>
          </w:p>
        </w:tc>
      </w:tr>
      <w:tr w:rsidR="00667C29" w:rsidRPr="00121108" w:rsidTr="000537AE">
        <w:trPr>
          <w:trHeight w:val="315"/>
        </w:trPr>
        <w:tc>
          <w:tcPr>
            <w:tcW w:w="1125" w:type="dxa"/>
            <w:tcBorders>
              <w:top w:val="nil"/>
              <w:left w:val="single" w:sz="4" w:space="0" w:color="auto"/>
              <w:bottom w:val="nil"/>
              <w:right w:val="single" w:sz="4" w:space="0" w:color="auto"/>
            </w:tcBorders>
            <w:noWrap/>
            <w:vAlign w:val="bottom"/>
          </w:tcPr>
          <w:p w:rsidR="00667C29" w:rsidRPr="00121108" w:rsidRDefault="00667C29" w:rsidP="000537AE">
            <w:pPr>
              <w:rPr>
                <w:rFonts w:ascii="Arial" w:hAnsi="Arial" w:cs="Arial"/>
                <w:color w:val="000000"/>
                <w:sz w:val="20"/>
                <w:szCs w:val="20"/>
              </w:rPr>
            </w:pPr>
            <w:r w:rsidRPr="00121108">
              <w:rPr>
                <w:rFonts w:ascii="Arial" w:hAnsi="Arial" w:cs="Arial"/>
                <w:color w:val="000000"/>
                <w:sz w:val="20"/>
                <w:szCs w:val="20"/>
              </w:rPr>
              <w:t>Splenium</w:t>
            </w:r>
          </w:p>
        </w:tc>
        <w:tc>
          <w:tcPr>
            <w:tcW w:w="1035" w:type="dxa"/>
            <w:tcBorders>
              <w:top w:val="nil"/>
              <w:left w:val="single" w:sz="4" w:space="0" w:color="auto"/>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-0.0009</w:t>
            </w:r>
          </w:p>
        </w:tc>
        <w:tc>
          <w:tcPr>
            <w:tcW w:w="108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0.0009</w:t>
            </w:r>
          </w:p>
        </w:tc>
        <w:tc>
          <w:tcPr>
            <w:tcW w:w="90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-1.06</w:t>
            </w:r>
          </w:p>
        </w:tc>
        <w:tc>
          <w:tcPr>
            <w:tcW w:w="1080" w:type="dxa"/>
            <w:tcBorders>
              <w:top w:val="nil"/>
              <w:left w:val="nil"/>
              <w:bottom w:val="nil"/>
              <w:right w:val="single" w:sz="4" w:space="0" w:color="auto"/>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0.28</w:t>
            </w:r>
          </w:p>
        </w:tc>
        <w:tc>
          <w:tcPr>
            <w:tcW w:w="1080" w:type="dxa"/>
            <w:tcBorders>
              <w:lef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-0.0006</w:t>
            </w:r>
          </w:p>
        </w:tc>
        <w:tc>
          <w:tcPr>
            <w:tcW w:w="108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-0.0008</w:t>
            </w:r>
          </w:p>
        </w:tc>
        <w:tc>
          <w:tcPr>
            <w:tcW w:w="90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-0.66</w:t>
            </w:r>
          </w:p>
        </w:tc>
        <w:tc>
          <w:tcPr>
            <w:tcW w:w="1080" w:type="dxa"/>
            <w:tcBorders>
              <w:righ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0.51</w:t>
            </w:r>
          </w:p>
        </w:tc>
      </w:tr>
      <w:tr w:rsidR="00667C29" w:rsidRPr="00121108" w:rsidTr="000537AE">
        <w:trPr>
          <w:trHeight w:val="315"/>
        </w:trPr>
        <w:tc>
          <w:tcPr>
            <w:tcW w:w="1125" w:type="dxa"/>
            <w:tcBorders>
              <w:top w:val="nil"/>
              <w:left w:val="single" w:sz="4" w:space="0" w:color="auto"/>
              <w:bottom w:val="nil"/>
              <w:right w:val="single" w:sz="4" w:space="0" w:color="auto"/>
            </w:tcBorders>
            <w:noWrap/>
            <w:vAlign w:val="bottom"/>
          </w:tcPr>
          <w:p w:rsidR="00667C29" w:rsidRPr="00121108" w:rsidRDefault="00667C29" w:rsidP="000537AE">
            <w:pPr>
              <w:rPr>
                <w:rFonts w:ascii="Arial" w:hAnsi="Arial" w:cs="Arial"/>
                <w:color w:val="000000"/>
                <w:sz w:val="20"/>
                <w:szCs w:val="20"/>
              </w:rPr>
            </w:pPr>
            <w:r w:rsidRPr="00121108">
              <w:rPr>
                <w:rFonts w:ascii="Arial" w:hAnsi="Arial" w:cs="Arial"/>
                <w:color w:val="000000"/>
                <w:sz w:val="20"/>
                <w:szCs w:val="20"/>
              </w:rPr>
              <w:t>LArc</w:t>
            </w:r>
          </w:p>
        </w:tc>
        <w:tc>
          <w:tcPr>
            <w:tcW w:w="1035" w:type="dxa"/>
            <w:tcBorders>
              <w:top w:val="nil"/>
              <w:left w:val="single" w:sz="4" w:space="0" w:color="auto"/>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3 x 10-5</w:t>
            </w:r>
          </w:p>
        </w:tc>
        <w:tc>
          <w:tcPr>
            <w:tcW w:w="108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0.0004</w:t>
            </w:r>
          </w:p>
        </w:tc>
        <w:tc>
          <w:tcPr>
            <w:tcW w:w="90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0.06</w:t>
            </w:r>
          </w:p>
        </w:tc>
        <w:tc>
          <w:tcPr>
            <w:tcW w:w="1080" w:type="dxa"/>
            <w:tcBorders>
              <w:top w:val="nil"/>
              <w:left w:val="nil"/>
              <w:bottom w:val="nil"/>
              <w:right w:val="single" w:sz="4" w:space="0" w:color="auto"/>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0.95</w:t>
            </w:r>
          </w:p>
        </w:tc>
        <w:tc>
          <w:tcPr>
            <w:tcW w:w="1080" w:type="dxa"/>
            <w:tcBorders>
              <w:lef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0.0002</w:t>
            </w:r>
          </w:p>
        </w:tc>
        <w:tc>
          <w:tcPr>
            <w:tcW w:w="108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0.0005</w:t>
            </w:r>
          </w:p>
        </w:tc>
        <w:tc>
          <w:tcPr>
            <w:tcW w:w="90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0.31</w:t>
            </w:r>
          </w:p>
        </w:tc>
        <w:tc>
          <w:tcPr>
            <w:tcW w:w="1080" w:type="dxa"/>
            <w:tcBorders>
              <w:righ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0.75</w:t>
            </w:r>
          </w:p>
        </w:tc>
      </w:tr>
      <w:tr w:rsidR="00667C29" w:rsidRPr="00121108" w:rsidTr="000537AE">
        <w:trPr>
          <w:trHeight w:val="315"/>
        </w:trPr>
        <w:tc>
          <w:tcPr>
            <w:tcW w:w="1125" w:type="dxa"/>
            <w:tcBorders>
              <w:top w:val="nil"/>
              <w:left w:val="single" w:sz="4" w:space="0" w:color="auto"/>
              <w:bottom w:val="nil"/>
              <w:right w:val="single" w:sz="4" w:space="0" w:color="auto"/>
            </w:tcBorders>
            <w:noWrap/>
            <w:vAlign w:val="bottom"/>
          </w:tcPr>
          <w:p w:rsidR="00667C29" w:rsidRPr="00121108" w:rsidRDefault="00667C29" w:rsidP="000537AE">
            <w:pPr>
              <w:rPr>
                <w:rFonts w:ascii="Arial" w:hAnsi="Arial" w:cs="Arial"/>
                <w:color w:val="000000"/>
                <w:sz w:val="20"/>
                <w:szCs w:val="20"/>
              </w:rPr>
            </w:pPr>
            <w:r w:rsidRPr="00121108">
              <w:rPr>
                <w:rFonts w:ascii="Arial" w:hAnsi="Arial" w:cs="Arial"/>
                <w:color w:val="000000"/>
                <w:sz w:val="20"/>
                <w:szCs w:val="20"/>
              </w:rPr>
              <w:t>RArc</w:t>
            </w:r>
          </w:p>
        </w:tc>
        <w:tc>
          <w:tcPr>
            <w:tcW w:w="1035" w:type="dxa"/>
            <w:tcBorders>
              <w:top w:val="nil"/>
              <w:left w:val="single" w:sz="4" w:space="0" w:color="auto"/>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0.0002</w:t>
            </w:r>
          </w:p>
        </w:tc>
        <w:tc>
          <w:tcPr>
            <w:tcW w:w="108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0.0006</w:t>
            </w:r>
          </w:p>
        </w:tc>
        <w:tc>
          <w:tcPr>
            <w:tcW w:w="90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0.41</w:t>
            </w:r>
          </w:p>
        </w:tc>
        <w:tc>
          <w:tcPr>
            <w:tcW w:w="1080" w:type="dxa"/>
            <w:tcBorders>
              <w:top w:val="nil"/>
              <w:left w:val="nil"/>
              <w:bottom w:val="nil"/>
              <w:right w:val="single" w:sz="4" w:space="0" w:color="auto"/>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0.68</w:t>
            </w:r>
          </w:p>
        </w:tc>
        <w:tc>
          <w:tcPr>
            <w:tcW w:w="1080" w:type="dxa"/>
            <w:tcBorders>
              <w:lef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0.0003</w:t>
            </w:r>
          </w:p>
        </w:tc>
        <w:tc>
          <w:tcPr>
            <w:tcW w:w="108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0.0006</w:t>
            </w:r>
          </w:p>
        </w:tc>
        <w:tc>
          <w:tcPr>
            <w:tcW w:w="90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0.62</w:t>
            </w:r>
          </w:p>
        </w:tc>
        <w:tc>
          <w:tcPr>
            <w:tcW w:w="1080" w:type="dxa"/>
            <w:tcBorders>
              <w:righ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0.54</w:t>
            </w:r>
          </w:p>
        </w:tc>
      </w:tr>
      <w:tr w:rsidR="00667C29" w:rsidRPr="00121108" w:rsidTr="000537AE">
        <w:trPr>
          <w:trHeight w:val="315"/>
        </w:trPr>
        <w:tc>
          <w:tcPr>
            <w:tcW w:w="1125" w:type="dxa"/>
            <w:tcBorders>
              <w:top w:val="nil"/>
              <w:left w:val="single" w:sz="4" w:space="0" w:color="auto"/>
              <w:bottom w:val="nil"/>
              <w:right w:val="single" w:sz="4" w:space="0" w:color="auto"/>
            </w:tcBorders>
            <w:noWrap/>
            <w:vAlign w:val="bottom"/>
          </w:tcPr>
          <w:p w:rsidR="00667C29" w:rsidRPr="00121108" w:rsidRDefault="00667C29" w:rsidP="000537AE">
            <w:pPr>
              <w:rPr>
                <w:rFonts w:ascii="Arial" w:hAnsi="Arial" w:cs="Arial"/>
                <w:color w:val="000000"/>
                <w:sz w:val="20"/>
                <w:szCs w:val="20"/>
              </w:rPr>
            </w:pPr>
            <w:r w:rsidRPr="00121108">
              <w:rPr>
                <w:rFonts w:ascii="Arial" w:hAnsi="Arial" w:cs="Arial"/>
                <w:color w:val="000000"/>
                <w:sz w:val="20"/>
                <w:szCs w:val="20"/>
              </w:rPr>
              <w:t>LATR</w:t>
            </w:r>
          </w:p>
        </w:tc>
        <w:tc>
          <w:tcPr>
            <w:tcW w:w="1035" w:type="dxa"/>
            <w:tcBorders>
              <w:top w:val="nil"/>
              <w:left w:val="single" w:sz="4" w:space="0" w:color="auto"/>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-0.0004</w:t>
            </w:r>
          </w:p>
        </w:tc>
        <w:tc>
          <w:tcPr>
            <w:tcW w:w="108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0.0006</w:t>
            </w:r>
          </w:p>
        </w:tc>
        <w:tc>
          <w:tcPr>
            <w:tcW w:w="90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-0.82</w:t>
            </w:r>
          </w:p>
        </w:tc>
        <w:tc>
          <w:tcPr>
            <w:tcW w:w="1080" w:type="dxa"/>
            <w:tcBorders>
              <w:top w:val="nil"/>
              <w:left w:val="nil"/>
              <w:bottom w:val="nil"/>
              <w:right w:val="single" w:sz="4" w:space="0" w:color="auto"/>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0.41</w:t>
            </w:r>
          </w:p>
        </w:tc>
        <w:tc>
          <w:tcPr>
            <w:tcW w:w="1080" w:type="dxa"/>
            <w:tcBorders>
              <w:lef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-0.0006</w:t>
            </w:r>
          </w:p>
        </w:tc>
        <w:tc>
          <w:tcPr>
            <w:tcW w:w="108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0.0004</w:t>
            </w:r>
          </w:p>
        </w:tc>
        <w:tc>
          <w:tcPr>
            <w:tcW w:w="90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-1.34</w:t>
            </w:r>
          </w:p>
        </w:tc>
        <w:tc>
          <w:tcPr>
            <w:tcW w:w="1080" w:type="dxa"/>
            <w:tcBorders>
              <w:righ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0.18</w:t>
            </w:r>
          </w:p>
        </w:tc>
      </w:tr>
      <w:tr w:rsidR="00667C29" w:rsidRPr="00121108" w:rsidTr="000537AE">
        <w:trPr>
          <w:trHeight w:val="315"/>
        </w:trPr>
        <w:tc>
          <w:tcPr>
            <w:tcW w:w="1125" w:type="dxa"/>
            <w:tcBorders>
              <w:top w:val="nil"/>
              <w:left w:val="single" w:sz="4" w:space="0" w:color="auto"/>
              <w:bottom w:val="nil"/>
              <w:right w:val="single" w:sz="4" w:space="0" w:color="auto"/>
            </w:tcBorders>
            <w:noWrap/>
            <w:vAlign w:val="bottom"/>
          </w:tcPr>
          <w:p w:rsidR="00667C29" w:rsidRPr="00121108" w:rsidRDefault="00667C29" w:rsidP="000537AE">
            <w:pPr>
              <w:rPr>
                <w:rFonts w:ascii="Arial" w:hAnsi="Arial" w:cs="Arial"/>
                <w:color w:val="000000"/>
                <w:sz w:val="20"/>
                <w:szCs w:val="20"/>
              </w:rPr>
            </w:pPr>
            <w:r w:rsidRPr="00121108">
              <w:rPr>
                <w:rFonts w:ascii="Arial" w:hAnsi="Arial" w:cs="Arial"/>
                <w:color w:val="000000"/>
                <w:sz w:val="20"/>
                <w:szCs w:val="20"/>
              </w:rPr>
              <w:t>RATR</w:t>
            </w:r>
          </w:p>
        </w:tc>
        <w:tc>
          <w:tcPr>
            <w:tcW w:w="1035" w:type="dxa"/>
            <w:tcBorders>
              <w:top w:val="nil"/>
              <w:left w:val="single" w:sz="4" w:space="0" w:color="auto"/>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-0.0007</w:t>
            </w:r>
          </w:p>
        </w:tc>
        <w:tc>
          <w:tcPr>
            <w:tcW w:w="108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0.0004</w:t>
            </w:r>
          </w:p>
        </w:tc>
        <w:tc>
          <w:tcPr>
            <w:tcW w:w="90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-1.70</w:t>
            </w:r>
          </w:p>
        </w:tc>
        <w:tc>
          <w:tcPr>
            <w:tcW w:w="1080" w:type="dxa"/>
            <w:tcBorders>
              <w:top w:val="nil"/>
              <w:left w:val="nil"/>
              <w:bottom w:val="nil"/>
              <w:right w:val="single" w:sz="4" w:space="0" w:color="auto"/>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0.09</w:t>
            </w:r>
          </w:p>
        </w:tc>
        <w:tc>
          <w:tcPr>
            <w:tcW w:w="1080" w:type="dxa"/>
            <w:tcBorders>
              <w:lef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-0.0005</w:t>
            </w:r>
          </w:p>
        </w:tc>
        <w:tc>
          <w:tcPr>
            <w:tcW w:w="108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0.0004</w:t>
            </w:r>
          </w:p>
        </w:tc>
        <w:tc>
          <w:tcPr>
            <w:tcW w:w="90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-1.16</w:t>
            </w:r>
          </w:p>
        </w:tc>
        <w:tc>
          <w:tcPr>
            <w:tcW w:w="1080" w:type="dxa"/>
            <w:tcBorders>
              <w:righ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0.25</w:t>
            </w:r>
          </w:p>
        </w:tc>
      </w:tr>
      <w:tr w:rsidR="00667C29" w:rsidRPr="00121108" w:rsidTr="000537AE">
        <w:trPr>
          <w:trHeight w:val="315"/>
        </w:trPr>
        <w:tc>
          <w:tcPr>
            <w:tcW w:w="1125" w:type="dxa"/>
            <w:tcBorders>
              <w:top w:val="nil"/>
              <w:left w:val="single" w:sz="4" w:space="0" w:color="auto"/>
              <w:bottom w:val="nil"/>
              <w:right w:val="single" w:sz="4" w:space="0" w:color="auto"/>
            </w:tcBorders>
            <w:noWrap/>
            <w:vAlign w:val="bottom"/>
          </w:tcPr>
          <w:p w:rsidR="00667C29" w:rsidRPr="00121108" w:rsidRDefault="00667C29" w:rsidP="000537AE">
            <w:pPr>
              <w:rPr>
                <w:rFonts w:ascii="Arial" w:hAnsi="Arial" w:cs="Arial"/>
                <w:color w:val="000000"/>
                <w:sz w:val="20"/>
                <w:szCs w:val="20"/>
              </w:rPr>
            </w:pPr>
            <w:r w:rsidRPr="00121108">
              <w:rPr>
                <w:rFonts w:ascii="Arial" w:hAnsi="Arial" w:cs="Arial"/>
                <w:color w:val="000000"/>
                <w:sz w:val="20"/>
                <w:szCs w:val="20"/>
              </w:rPr>
              <w:t>LCCG</w:t>
            </w:r>
          </w:p>
        </w:tc>
        <w:tc>
          <w:tcPr>
            <w:tcW w:w="1035" w:type="dxa"/>
            <w:tcBorders>
              <w:top w:val="nil"/>
              <w:left w:val="single" w:sz="4" w:space="0" w:color="auto"/>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-0.001</w:t>
            </w:r>
          </w:p>
        </w:tc>
        <w:tc>
          <w:tcPr>
            <w:tcW w:w="108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0.0006</w:t>
            </w:r>
          </w:p>
        </w:tc>
        <w:tc>
          <w:tcPr>
            <w:tcW w:w="90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-2.25</w:t>
            </w:r>
          </w:p>
        </w:tc>
        <w:tc>
          <w:tcPr>
            <w:tcW w:w="1080" w:type="dxa"/>
            <w:tcBorders>
              <w:top w:val="nil"/>
              <w:left w:val="nil"/>
              <w:bottom w:val="nil"/>
              <w:right w:val="single" w:sz="4" w:space="0" w:color="auto"/>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0.03</w:t>
            </w:r>
          </w:p>
        </w:tc>
        <w:tc>
          <w:tcPr>
            <w:tcW w:w="1080" w:type="dxa"/>
            <w:tcBorders>
              <w:lef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-0.001</w:t>
            </w:r>
          </w:p>
        </w:tc>
        <w:tc>
          <w:tcPr>
            <w:tcW w:w="108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0.0006</w:t>
            </w:r>
          </w:p>
        </w:tc>
        <w:tc>
          <w:tcPr>
            <w:tcW w:w="90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-1.70</w:t>
            </w:r>
          </w:p>
        </w:tc>
        <w:tc>
          <w:tcPr>
            <w:tcW w:w="1080" w:type="dxa"/>
            <w:tcBorders>
              <w:righ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0.09</w:t>
            </w:r>
          </w:p>
        </w:tc>
      </w:tr>
      <w:tr w:rsidR="00667C29" w:rsidRPr="00121108" w:rsidTr="000537AE">
        <w:trPr>
          <w:trHeight w:val="315"/>
        </w:trPr>
        <w:tc>
          <w:tcPr>
            <w:tcW w:w="1125" w:type="dxa"/>
            <w:tcBorders>
              <w:top w:val="nil"/>
              <w:left w:val="single" w:sz="4" w:space="0" w:color="auto"/>
              <w:bottom w:val="nil"/>
              <w:right w:val="single" w:sz="4" w:space="0" w:color="auto"/>
            </w:tcBorders>
            <w:noWrap/>
            <w:vAlign w:val="bottom"/>
          </w:tcPr>
          <w:p w:rsidR="00667C29" w:rsidRPr="00121108" w:rsidRDefault="00667C29" w:rsidP="000537AE">
            <w:pPr>
              <w:rPr>
                <w:rFonts w:ascii="Arial" w:hAnsi="Arial" w:cs="Arial"/>
                <w:color w:val="000000"/>
                <w:sz w:val="20"/>
                <w:szCs w:val="20"/>
              </w:rPr>
            </w:pPr>
            <w:r w:rsidRPr="00121108">
              <w:rPr>
                <w:rFonts w:ascii="Arial" w:hAnsi="Arial" w:cs="Arial"/>
                <w:color w:val="000000"/>
                <w:sz w:val="20"/>
                <w:szCs w:val="20"/>
              </w:rPr>
              <w:t>RCCG</w:t>
            </w:r>
          </w:p>
        </w:tc>
        <w:tc>
          <w:tcPr>
            <w:tcW w:w="1035" w:type="dxa"/>
            <w:tcBorders>
              <w:top w:val="nil"/>
              <w:left w:val="single" w:sz="4" w:space="0" w:color="auto"/>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-0.001</w:t>
            </w:r>
          </w:p>
        </w:tc>
        <w:tc>
          <w:tcPr>
            <w:tcW w:w="108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0.0006</w:t>
            </w:r>
          </w:p>
        </w:tc>
        <w:tc>
          <w:tcPr>
            <w:tcW w:w="90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-1.97</w:t>
            </w:r>
          </w:p>
        </w:tc>
        <w:tc>
          <w:tcPr>
            <w:tcW w:w="1080" w:type="dxa"/>
            <w:tcBorders>
              <w:top w:val="nil"/>
              <w:left w:val="nil"/>
              <w:bottom w:val="nil"/>
              <w:right w:val="single" w:sz="4" w:space="0" w:color="auto"/>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0.05</w:t>
            </w:r>
          </w:p>
        </w:tc>
        <w:tc>
          <w:tcPr>
            <w:tcW w:w="1080" w:type="dxa"/>
            <w:tcBorders>
              <w:lef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-0.001</w:t>
            </w:r>
          </w:p>
        </w:tc>
        <w:tc>
          <w:tcPr>
            <w:tcW w:w="108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0.0005</w:t>
            </w:r>
          </w:p>
        </w:tc>
        <w:tc>
          <w:tcPr>
            <w:tcW w:w="90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-2.10</w:t>
            </w:r>
          </w:p>
        </w:tc>
        <w:tc>
          <w:tcPr>
            <w:tcW w:w="1080" w:type="dxa"/>
            <w:tcBorders>
              <w:righ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0.04</w:t>
            </w:r>
          </w:p>
        </w:tc>
      </w:tr>
      <w:tr w:rsidR="00667C29" w:rsidRPr="00121108" w:rsidTr="000537AE">
        <w:trPr>
          <w:trHeight w:val="315"/>
        </w:trPr>
        <w:tc>
          <w:tcPr>
            <w:tcW w:w="1125" w:type="dxa"/>
            <w:tcBorders>
              <w:top w:val="nil"/>
              <w:left w:val="single" w:sz="4" w:space="0" w:color="auto"/>
              <w:bottom w:val="nil"/>
              <w:right w:val="single" w:sz="4" w:space="0" w:color="auto"/>
            </w:tcBorders>
            <w:noWrap/>
            <w:vAlign w:val="bottom"/>
          </w:tcPr>
          <w:p w:rsidR="00667C29" w:rsidRPr="00121108" w:rsidRDefault="00667C29" w:rsidP="000537AE">
            <w:pPr>
              <w:rPr>
                <w:rFonts w:ascii="Arial" w:hAnsi="Arial" w:cs="Arial"/>
                <w:color w:val="000000"/>
                <w:sz w:val="20"/>
                <w:szCs w:val="20"/>
              </w:rPr>
            </w:pPr>
            <w:r w:rsidRPr="00121108">
              <w:rPr>
                <w:rFonts w:ascii="Arial" w:hAnsi="Arial" w:cs="Arial"/>
                <w:color w:val="000000"/>
                <w:sz w:val="20"/>
                <w:szCs w:val="20"/>
              </w:rPr>
              <w:t>LUnc</w:t>
            </w:r>
          </w:p>
        </w:tc>
        <w:tc>
          <w:tcPr>
            <w:tcW w:w="1035" w:type="dxa"/>
            <w:tcBorders>
              <w:top w:val="nil"/>
              <w:left w:val="single" w:sz="4" w:space="0" w:color="auto"/>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-0.0007</w:t>
            </w:r>
          </w:p>
        </w:tc>
        <w:tc>
          <w:tcPr>
            <w:tcW w:w="108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0.0004</w:t>
            </w:r>
          </w:p>
        </w:tc>
        <w:tc>
          <w:tcPr>
            <w:tcW w:w="90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-1.72</w:t>
            </w:r>
          </w:p>
        </w:tc>
        <w:tc>
          <w:tcPr>
            <w:tcW w:w="1080" w:type="dxa"/>
            <w:tcBorders>
              <w:top w:val="nil"/>
              <w:left w:val="nil"/>
              <w:bottom w:val="nil"/>
              <w:right w:val="single" w:sz="4" w:space="0" w:color="auto"/>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0.08</w:t>
            </w:r>
          </w:p>
        </w:tc>
        <w:tc>
          <w:tcPr>
            <w:tcW w:w="1080" w:type="dxa"/>
            <w:tcBorders>
              <w:lef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-0.0009</w:t>
            </w:r>
          </w:p>
        </w:tc>
        <w:tc>
          <w:tcPr>
            <w:tcW w:w="108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0.0004</w:t>
            </w:r>
          </w:p>
        </w:tc>
        <w:tc>
          <w:tcPr>
            <w:tcW w:w="90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-1.15</w:t>
            </w:r>
          </w:p>
        </w:tc>
        <w:tc>
          <w:tcPr>
            <w:tcW w:w="1080" w:type="dxa"/>
            <w:tcBorders>
              <w:righ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0.03</w:t>
            </w:r>
          </w:p>
        </w:tc>
      </w:tr>
      <w:tr w:rsidR="00667C29" w:rsidRPr="00121108" w:rsidTr="000537AE">
        <w:trPr>
          <w:trHeight w:val="315"/>
        </w:trPr>
        <w:tc>
          <w:tcPr>
            <w:tcW w:w="1125" w:type="dxa"/>
            <w:tcBorders>
              <w:top w:val="nil"/>
              <w:left w:val="single" w:sz="4" w:space="0" w:color="auto"/>
              <w:bottom w:val="nil"/>
              <w:right w:val="single" w:sz="4" w:space="0" w:color="auto"/>
            </w:tcBorders>
            <w:noWrap/>
            <w:vAlign w:val="bottom"/>
          </w:tcPr>
          <w:p w:rsidR="00667C29" w:rsidRPr="00121108" w:rsidRDefault="00667C29" w:rsidP="000537AE">
            <w:pPr>
              <w:rPr>
                <w:rFonts w:ascii="Arial" w:hAnsi="Arial" w:cs="Arial"/>
                <w:color w:val="000000"/>
                <w:sz w:val="20"/>
                <w:szCs w:val="20"/>
              </w:rPr>
            </w:pPr>
            <w:r w:rsidRPr="00121108">
              <w:rPr>
                <w:rFonts w:ascii="Arial" w:hAnsi="Arial" w:cs="Arial"/>
                <w:color w:val="000000"/>
                <w:sz w:val="20"/>
                <w:szCs w:val="20"/>
              </w:rPr>
              <w:t>RUnc</w:t>
            </w:r>
          </w:p>
        </w:tc>
        <w:tc>
          <w:tcPr>
            <w:tcW w:w="1035" w:type="dxa"/>
            <w:tcBorders>
              <w:top w:val="nil"/>
              <w:left w:val="single" w:sz="4" w:space="0" w:color="auto"/>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-0.0008</w:t>
            </w:r>
          </w:p>
        </w:tc>
        <w:tc>
          <w:tcPr>
            <w:tcW w:w="108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0.0004</w:t>
            </w:r>
          </w:p>
        </w:tc>
        <w:tc>
          <w:tcPr>
            <w:tcW w:w="900" w:type="dxa"/>
            <w:tcBorders>
              <w:top w:val="nil"/>
              <w:left w:val="nil"/>
              <w:bottom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-2.10</w:t>
            </w:r>
          </w:p>
        </w:tc>
        <w:tc>
          <w:tcPr>
            <w:tcW w:w="1080" w:type="dxa"/>
            <w:tcBorders>
              <w:top w:val="nil"/>
              <w:left w:val="nil"/>
              <w:bottom w:val="nil"/>
              <w:right w:val="single" w:sz="4" w:space="0" w:color="auto"/>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0.04</w:t>
            </w:r>
          </w:p>
        </w:tc>
        <w:tc>
          <w:tcPr>
            <w:tcW w:w="1080" w:type="dxa"/>
            <w:tcBorders>
              <w:lef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-0.0007</w:t>
            </w:r>
          </w:p>
        </w:tc>
        <w:tc>
          <w:tcPr>
            <w:tcW w:w="108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0.0004</w:t>
            </w:r>
          </w:p>
        </w:tc>
        <w:tc>
          <w:tcPr>
            <w:tcW w:w="90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-1.64</w:t>
            </w:r>
          </w:p>
        </w:tc>
        <w:tc>
          <w:tcPr>
            <w:tcW w:w="1080" w:type="dxa"/>
            <w:tcBorders>
              <w:righ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0.10</w:t>
            </w:r>
          </w:p>
        </w:tc>
      </w:tr>
      <w:tr w:rsidR="00667C29" w:rsidRPr="00121108" w:rsidTr="000537AE">
        <w:trPr>
          <w:trHeight w:val="315"/>
        </w:trPr>
        <w:tc>
          <w:tcPr>
            <w:tcW w:w="1125" w:type="dxa"/>
            <w:tcBorders>
              <w:top w:val="nil"/>
              <w:left w:val="single" w:sz="4" w:space="0" w:color="auto"/>
              <w:right w:val="single" w:sz="4" w:space="0" w:color="auto"/>
            </w:tcBorders>
            <w:noWrap/>
            <w:vAlign w:val="bottom"/>
          </w:tcPr>
          <w:p w:rsidR="00667C29" w:rsidRPr="00121108" w:rsidRDefault="00667C29" w:rsidP="000537AE">
            <w:pPr>
              <w:rPr>
                <w:rFonts w:ascii="Arial" w:hAnsi="Arial" w:cs="Arial"/>
                <w:color w:val="000000"/>
                <w:sz w:val="20"/>
                <w:szCs w:val="20"/>
              </w:rPr>
            </w:pPr>
            <w:r w:rsidRPr="00121108">
              <w:rPr>
                <w:rFonts w:ascii="Arial" w:hAnsi="Arial" w:cs="Arial"/>
                <w:color w:val="000000"/>
                <w:sz w:val="20"/>
                <w:szCs w:val="20"/>
              </w:rPr>
              <w:t>LILF</w:t>
            </w:r>
          </w:p>
        </w:tc>
        <w:tc>
          <w:tcPr>
            <w:tcW w:w="1035" w:type="dxa"/>
            <w:tcBorders>
              <w:top w:val="nil"/>
              <w:left w:val="single" w:sz="4" w:space="0" w:color="auto"/>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0.0003</w:t>
            </w:r>
          </w:p>
        </w:tc>
        <w:tc>
          <w:tcPr>
            <w:tcW w:w="1080" w:type="dxa"/>
            <w:tcBorders>
              <w:top w:val="nil"/>
              <w:left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0.0006</w:t>
            </w:r>
          </w:p>
        </w:tc>
        <w:tc>
          <w:tcPr>
            <w:tcW w:w="900" w:type="dxa"/>
            <w:tcBorders>
              <w:top w:val="nil"/>
              <w:left w:val="nil"/>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0.47</w:t>
            </w:r>
          </w:p>
        </w:tc>
        <w:tc>
          <w:tcPr>
            <w:tcW w:w="1080" w:type="dxa"/>
            <w:tcBorders>
              <w:top w:val="nil"/>
              <w:left w:val="nil"/>
              <w:right w:val="single" w:sz="4" w:space="0" w:color="auto"/>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0.64</w:t>
            </w:r>
          </w:p>
        </w:tc>
        <w:tc>
          <w:tcPr>
            <w:tcW w:w="1080" w:type="dxa"/>
            <w:tcBorders>
              <w:lef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4 x 10-5</w:t>
            </w:r>
          </w:p>
        </w:tc>
        <w:tc>
          <w:tcPr>
            <w:tcW w:w="108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0.0006</w:t>
            </w:r>
          </w:p>
        </w:tc>
        <w:tc>
          <w:tcPr>
            <w:tcW w:w="900" w:type="dxa"/>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0.07</w:t>
            </w:r>
          </w:p>
        </w:tc>
        <w:tc>
          <w:tcPr>
            <w:tcW w:w="1080" w:type="dxa"/>
            <w:tcBorders>
              <w:righ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0.95</w:t>
            </w:r>
          </w:p>
        </w:tc>
      </w:tr>
      <w:tr w:rsidR="00667C29" w:rsidRPr="00121108" w:rsidTr="000537AE">
        <w:trPr>
          <w:trHeight w:val="315"/>
        </w:trPr>
        <w:tc>
          <w:tcPr>
            <w:tcW w:w="1125" w:type="dxa"/>
            <w:tcBorders>
              <w:top w:val="nil"/>
              <w:left w:val="single" w:sz="4" w:space="0" w:color="auto"/>
              <w:bottom w:val="single" w:sz="4" w:space="0" w:color="auto"/>
              <w:right w:val="single" w:sz="4" w:space="0" w:color="auto"/>
            </w:tcBorders>
            <w:noWrap/>
            <w:vAlign w:val="bottom"/>
          </w:tcPr>
          <w:p w:rsidR="00667C29" w:rsidRPr="00121108" w:rsidRDefault="00667C29" w:rsidP="000537AE">
            <w:pPr>
              <w:rPr>
                <w:rFonts w:ascii="Arial" w:hAnsi="Arial" w:cs="Arial"/>
                <w:color w:val="000000"/>
                <w:sz w:val="20"/>
                <w:szCs w:val="20"/>
              </w:rPr>
            </w:pPr>
            <w:r w:rsidRPr="00121108">
              <w:rPr>
                <w:rFonts w:ascii="Arial" w:hAnsi="Arial" w:cs="Arial"/>
                <w:color w:val="000000"/>
                <w:sz w:val="20"/>
                <w:szCs w:val="20"/>
              </w:rPr>
              <w:t>RILF</w:t>
            </w:r>
          </w:p>
        </w:tc>
        <w:tc>
          <w:tcPr>
            <w:tcW w:w="1035" w:type="dxa"/>
            <w:tcBorders>
              <w:top w:val="nil"/>
              <w:left w:val="single" w:sz="4" w:space="0" w:color="auto"/>
              <w:bottom w:val="single" w:sz="4" w:space="0" w:color="auto"/>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0.0001</w:t>
            </w:r>
          </w:p>
        </w:tc>
        <w:tc>
          <w:tcPr>
            <w:tcW w:w="1080" w:type="dxa"/>
            <w:tcBorders>
              <w:top w:val="nil"/>
              <w:left w:val="nil"/>
              <w:bottom w:val="single" w:sz="4" w:space="0" w:color="auto"/>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0.0006</w:t>
            </w:r>
          </w:p>
        </w:tc>
        <w:tc>
          <w:tcPr>
            <w:tcW w:w="900" w:type="dxa"/>
            <w:tcBorders>
              <w:top w:val="nil"/>
              <w:left w:val="nil"/>
              <w:bottom w:val="single" w:sz="4" w:space="0" w:color="auto"/>
              <w:right w:val="nil"/>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0.22</w:t>
            </w:r>
          </w:p>
        </w:tc>
        <w:tc>
          <w:tcPr>
            <w:tcW w:w="1080" w:type="dxa"/>
            <w:tcBorders>
              <w:top w:val="nil"/>
              <w:left w:val="nil"/>
              <w:bottom w:val="single" w:sz="4" w:space="0" w:color="auto"/>
              <w:right w:val="single" w:sz="4" w:space="0" w:color="auto"/>
            </w:tcBorders>
            <w:noWrap/>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0.83</w:t>
            </w:r>
          </w:p>
        </w:tc>
        <w:tc>
          <w:tcPr>
            <w:tcW w:w="1080" w:type="dxa"/>
            <w:tcBorders>
              <w:left w:val="single" w:sz="4" w:space="0" w:color="auto"/>
              <w:bottom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-0.0006</w:t>
            </w:r>
          </w:p>
        </w:tc>
        <w:tc>
          <w:tcPr>
            <w:tcW w:w="1080" w:type="dxa"/>
            <w:tcBorders>
              <w:bottom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0.0006</w:t>
            </w:r>
          </w:p>
        </w:tc>
        <w:tc>
          <w:tcPr>
            <w:tcW w:w="900" w:type="dxa"/>
            <w:tcBorders>
              <w:bottom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-1.15</w:t>
            </w:r>
          </w:p>
        </w:tc>
        <w:tc>
          <w:tcPr>
            <w:tcW w:w="1080" w:type="dxa"/>
            <w:tcBorders>
              <w:bottom w:val="single" w:sz="4" w:space="0" w:color="auto"/>
              <w:right w:val="single" w:sz="4" w:space="0" w:color="auto"/>
            </w:tcBorders>
            <w:vAlign w:val="bottom"/>
          </w:tcPr>
          <w:p w:rsidR="00667C29" w:rsidRPr="00121108" w:rsidRDefault="00667C29" w:rsidP="000537AE">
            <w:pPr>
              <w:jc w:val="center"/>
              <w:rPr>
                <w:rFonts w:ascii="Arial" w:hAnsi="Arial" w:cs="Arial"/>
                <w:color w:val="000000"/>
                <w:sz w:val="20"/>
                <w:szCs w:val="20"/>
              </w:rPr>
            </w:pPr>
            <w:r w:rsidRPr="00121108">
              <w:rPr>
                <w:rFonts w:ascii="Arial" w:hAnsi="Arial" w:cs="Arial"/>
                <w:color w:val="000000"/>
                <w:sz w:val="20"/>
                <w:szCs w:val="20"/>
              </w:rPr>
              <w:t>0.25</w:t>
            </w:r>
          </w:p>
        </w:tc>
      </w:tr>
    </w:tbl>
    <w:p w:rsidR="00667C29" w:rsidRPr="00121108" w:rsidRDefault="00667C29" w:rsidP="00842B82">
      <w:pPr>
        <w:rPr>
          <w:rFonts w:ascii="Arial" w:hAnsi="Arial" w:cs="Arial"/>
          <w:sz w:val="20"/>
          <w:szCs w:val="20"/>
        </w:rPr>
      </w:pPr>
    </w:p>
    <w:p w:rsidR="00667C29" w:rsidRDefault="00667C29" w:rsidP="00842B82">
      <w:pPr>
        <w:rPr>
          <w:rFonts w:ascii="Arial" w:hAnsi="Arial" w:cs="Arial"/>
          <w:sz w:val="20"/>
          <w:szCs w:val="20"/>
        </w:rPr>
      </w:pPr>
      <w:r w:rsidRPr="00121108">
        <w:rPr>
          <w:rFonts w:ascii="Arial" w:hAnsi="Arial" w:cs="Arial"/>
          <w:sz w:val="20"/>
          <w:szCs w:val="20"/>
        </w:rPr>
        <w:t>L = left, R = right, Arc = arcuate fasciculus, ATR = anterior thalamic radiation, CCG = cingulum cingulate gyrus, Unc = uncinate fasciculus and ILF = inferior longitudinal fasciculus. None of the findings were significant at P</w:t>
      </w:r>
      <w:r w:rsidRPr="00121108">
        <w:rPr>
          <w:rFonts w:ascii="Arial" w:hAnsi="Arial" w:cs="Arial"/>
          <w:sz w:val="20"/>
          <w:szCs w:val="20"/>
          <w:vertAlign w:val="subscript"/>
        </w:rPr>
        <w:t>FDR</w:t>
      </w:r>
      <w:r w:rsidRPr="00121108">
        <w:rPr>
          <w:rFonts w:ascii="Arial" w:hAnsi="Arial" w:cs="Arial"/>
          <w:sz w:val="20"/>
          <w:szCs w:val="20"/>
        </w:rPr>
        <w:t xml:space="preserve"> &lt; 0.05.</w:t>
      </w:r>
    </w:p>
    <w:p w:rsidR="00667C29" w:rsidRDefault="00667C29"/>
    <w:p w:rsidR="00667C29" w:rsidRDefault="00667C29">
      <w:r>
        <w:br w:type="page"/>
      </w:r>
    </w:p>
    <w:p w:rsidR="00667C29" w:rsidRPr="00175E1D" w:rsidRDefault="00667C29">
      <w:pPr>
        <w:rPr>
          <w:b/>
        </w:rPr>
      </w:pPr>
      <w:r w:rsidRPr="00175E1D">
        <w:rPr>
          <w:b/>
        </w:rPr>
        <w:t xml:space="preserve">Supplementary Table </w:t>
      </w:r>
      <w:r>
        <w:rPr>
          <w:b/>
        </w:rPr>
        <w:t>S</w:t>
      </w:r>
      <w:r w:rsidRPr="00175E1D">
        <w:rPr>
          <w:b/>
        </w:rPr>
        <w:t>2: Changes in model fit between depression and fractional anisotropy before and after inclusion of neuroticism in the model</w:t>
      </w:r>
    </w:p>
    <w:p w:rsidR="00667C29" w:rsidRDefault="00667C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2"/>
        <w:gridCol w:w="1999"/>
        <w:gridCol w:w="2268"/>
        <w:gridCol w:w="1984"/>
        <w:gridCol w:w="2268"/>
        <w:gridCol w:w="3295"/>
      </w:tblGrid>
      <w:tr w:rsidR="00667C29" w:rsidRPr="00A34ED0" w:rsidTr="00A77438">
        <w:trPr>
          <w:trHeight w:val="431"/>
        </w:trPr>
        <w:tc>
          <w:tcPr>
            <w:tcW w:w="2362" w:type="dxa"/>
          </w:tcPr>
          <w:p w:rsidR="00667C29" w:rsidRPr="00A77438" w:rsidRDefault="00667C29">
            <w:pPr>
              <w:rPr>
                <w:b/>
              </w:rPr>
            </w:pPr>
          </w:p>
        </w:tc>
        <w:tc>
          <w:tcPr>
            <w:tcW w:w="4267" w:type="dxa"/>
            <w:gridSpan w:val="2"/>
          </w:tcPr>
          <w:p w:rsidR="00667C29" w:rsidRPr="00A77438" w:rsidRDefault="00667C29" w:rsidP="00A77438">
            <w:pPr>
              <w:jc w:val="center"/>
              <w:rPr>
                <w:b/>
              </w:rPr>
            </w:pPr>
            <w:r w:rsidRPr="00A77438">
              <w:rPr>
                <w:b/>
              </w:rPr>
              <w:t>Before inclusion of neuroticism</w:t>
            </w:r>
          </w:p>
        </w:tc>
        <w:tc>
          <w:tcPr>
            <w:tcW w:w="4252" w:type="dxa"/>
            <w:gridSpan w:val="2"/>
          </w:tcPr>
          <w:p w:rsidR="00667C29" w:rsidRPr="00A77438" w:rsidRDefault="00667C29" w:rsidP="00A77438">
            <w:pPr>
              <w:jc w:val="center"/>
              <w:rPr>
                <w:b/>
              </w:rPr>
            </w:pPr>
            <w:r w:rsidRPr="00A77438">
              <w:rPr>
                <w:b/>
              </w:rPr>
              <w:t>After inclusion of neuroticism</w:t>
            </w:r>
          </w:p>
        </w:tc>
        <w:tc>
          <w:tcPr>
            <w:tcW w:w="3295" w:type="dxa"/>
          </w:tcPr>
          <w:p w:rsidR="00667C29" w:rsidRPr="00A77438" w:rsidRDefault="00667C29">
            <w:pPr>
              <w:rPr>
                <w:b/>
              </w:rPr>
            </w:pPr>
            <w:r w:rsidRPr="00A77438">
              <w:rPr>
                <w:b/>
              </w:rPr>
              <w:t>Test for improved model fit</w:t>
            </w:r>
          </w:p>
        </w:tc>
      </w:tr>
      <w:tr w:rsidR="00667C29" w:rsidTr="00A77438">
        <w:tc>
          <w:tcPr>
            <w:tcW w:w="2362" w:type="dxa"/>
          </w:tcPr>
          <w:p w:rsidR="00667C29" w:rsidRDefault="00667C29">
            <w:r>
              <w:t>Left uncinate</w:t>
            </w:r>
          </w:p>
        </w:tc>
        <w:tc>
          <w:tcPr>
            <w:tcW w:w="1999" w:type="dxa"/>
          </w:tcPr>
          <w:p w:rsidR="00667C29" w:rsidRDefault="00667C29">
            <w:r>
              <w:t>beta =  -0.16</w:t>
            </w:r>
          </w:p>
        </w:tc>
        <w:tc>
          <w:tcPr>
            <w:tcW w:w="2268" w:type="dxa"/>
          </w:tcPr>
          <w:p w:rsidR="00667C29" w:rsidRDefault="00667C29">
            <w:r>
              <w:t>p &lt; 0.001, R</w:t>
            </w:r>
            <w:r w:rsidRPr="00A77438">
              <w:rPr>
                <w:vertAlign w:val="superscript"/>
              </w:rPr>
              <w:t>2</w:t>
            </w:r>
            <w:r>
              <w:t xml:space="preserve"> = 0.03</w:t>
            </w:r>
          </w:p>
        </w:tc>
        <w:tc>
          <w:tcPr>
            <w:tcW w:w="1984" w:type="dxa"/>
          </w:tcPr>
          <w:p w:rsidR="00667C29" w:rsidRDefault="00667C29">
            <w:r>
              <w:t>beta =  -0.12</w:t>
            </w:r>
          </w:p>
        </w:tc>
        <w:tc>
          <w:tcPr>
            <w:tcW w:w="2268" w:type="dxa"/>
          </w:tcPr>
          <w:p w:rsidR="00667C29" w:rsidRDefault="00667C29">
            <w:r>
              <w:t>p = 0.004, R</w:t>
            </w:r>
            <w:r w:rsidRPr="00A77438">
              <w:rPr>
                <w:vertAlign w:val="superscript"/>
              </w:rPr>
              <w:t>2</w:t>
            </w:r>
            <w:r>
              <w:t xml:space="preserve"> = 0.15</w:t>
            </w:r>
          </w:p>
        </w:tc>
        <w:tc>
          <w:tcPr>
            <w:tcW w:w="3295" w:type="dxa"/>
          </w:tcPr>
          <w:p w:rsidR="00667C29" w:rsidRDefault="00667C29">
            <w:r>
              <w:t>F = 73.4, p &lt; 1x10</w:t>
            </w:r>
            <w:r w:rsidRPr="00A77438">
              <w:rPr>
                <w:vertAlign w:val="superscript"/>
              </w:rPr>
              <w:t>-6</w:t>
            </w:r>
          </w:p>
        </w:tc>
      </w:tr>
      <w:tr w:rsidR="00667C29" w:rsidTr="00A77438">
        <w:tc>
          <w:tcPr>
            <w:tcW w:w="2362" w:type="dxa"/>
          </w:tcPr>
          <w:p w:rsidR="00667C29" w:rsidRDefault="00667C29">
            <w:r>
              <w:t>Right uncinate</w:t>
            </w:r>
          </w:p>
        </w:tc>
        <w:tc>
          <w:tcPr>
            <w:tcW w:w="1999" w:type="dxa"/>
          </w:tcPr>
          <w:p w:rsidR="00667C29" w:rsidRDefault="00667C29">
            <w:r>
              <w:t>beta =  -0.16</w:t>
            </w:r>
          </w:p>
        </w:tc>
        <w:tc>
          <w:tcPr>
            <w:tcW w:w="2268" w:type="dxa"/>
          </w:tcPr>
          <w:p w:rsidR="00667C29" w:rsidRDefault="00667C29">
            <w:r>
              <w:t>p &lt; 0.001, R</w:t>
            </w:r>
            <w:r w:rsidRPr="00A77438">
              <w:rPr>
                <w:vertAlign w:val="superscript"/>
              </w:rPr>
              <w:t>2</w:t>
            </w:r>
            <w:r>
              <w:t xml:space="preserve"> = 0.03</w:t>
            </w:r>
          </w:p>
        </w:tc>
        <w:tc>
          <w:tcPr>
            <w:tcW w:w="1984" w:type="dxa"/>
          </w:tcPr>
          <w:p w:rsidR="00667C29" w:rsidRDefault="00667C29">
            <w:r>
              <w:t>beta =  -0.14</w:t>
            </w:r>
          </w:p>
        </w:tc>
        <w:tc>
          <w:tcPr>
            <w:tcW w:w="2268" w:type="dxa"/>
          </w:tcPr>
          <w:p w:rsidR="00667C29" w:rsidRDefault="00667C29">
            <w:r>
              <w:t>p &lt; 0.001, R</w:t>
            </w:r>
            <w:r w:rsidRPr="00A77438">
              <w:rPr>
                <w:vertAlign w:val="superscript"/>
              </w:rPr>
              <w:t>2</w:t>
            </w:r>
            <w:r>
              <w:t xml:space="preserve"> = 0.15</w:t>
            </w:r>
          </w:p>
        </w:tc>
        <w:tc>
          <w:tcPr>
            <w:tcW w:w="3295" w:type="dxa"/>
          </w:tcPr>
          <w:p w:rsidR="00667C29" w:rsidRDefault="00667C29">
            <w:r>
              <w:t>F = 78.5, p &lt; 1x10</w:t>
            </w:r>
            <w:r w:rsidRPr="00A77438">
              <w:rPr>
                <w:vertAlign w:val="superscript"/>
              </w:rPr>
              <w:t>-6</w:t>
            </w:r>
          </w:p>
        </w:tc>
      </w:tr>
      <w:tr w:rsidR="00667C29" w:rsidRPr="00A34ED0" w:rsidTr="00A77438">
        <w:trPr>
          <w:trHeight w:val="388"/>
        </w:trPr>
        <w:tc>
          <w:tcPr>
            <w:tcW w:w="2362" w:type="dxa"/>
          </w:tcPr>
          <w:p w:rsidR="00667C29" w:rsidRPr="00A77438" w:rsidRDefault="00667C29">
            <w:pPr>
              <w:rPr>
                <w:b/>
              </w:rPr>
            </w:pPr>
          </w:p>
        </w:tc>
        <w:tc>
          <w:tcPr>
            <w:tcW w:w="4267" w:type="dxa"/>
            <w:gridSpan w:val="2"/>
          </w:tcPr>
          <w:p w:rsidR="00667C29" w:rsidRPr="00A77438" w:rsidRDefault="00667C29" w:rsidP="00A77438">
            <w:pPr>
              <w:jc w:val="center"/>
              <w:rPr>
                <w:b/>
              </w:rPr>
            </w:pPr>
            <w:r w:rsidRPr="00A77438">
              <w:rPr>
                <w:b/>
              </w:rPr>
              <w:t>Before inclusion of extraversion</w:t>
            </w:r>
          </w:p>
        </w:tc>
        <w:tc>
          <w:tcPr>
            <w:tcW w:w="4252" w:type="dxa"/>
            <w:gridSpan w:val="2"/>
          </w:tcPr>
          <w:p w:rsidR="00667C29" w:rsidRPr="00A77438" w:rsidRDefault="00667C29" w:rsidP="00A77438">
            <w:pPr>
              <w:jc w:val="center"/>
              <w:rPr>
                <w:b/>
              </w:rPr>
            </w:pPr>
            <w:r w:rsidRPr="00A77438">
              <w:rPr>
                <w:b/>
              </w:rPr>
              <w:t>After inclusion of extraversion</w:t>
            </w:r>
          </w:p>
        </w:tc>
        <w:tc>
          <w:tcPr>
            <w:tcW w:w="3295" w:type="dxa"/>
          </w:tcPr>
          <w:p w:rsidR="00667C29" w:rsidRPr="00A77438" w:rsidRDefault="00667C29">
            <w:pPr>
              <w:rPr>
                <w:b/>
              </w:rPr>
            </w:pPr>
            <w:r w:rsidRPr="00A77438">
              <w:rPr>
                <w:b/>
              </w:rPr>
              <w:t>Test for improved model fit</w:t>
            </w:r>
          </w:p>
        </w:tc>
      </w:tr>
      <w:tr w:rsidR="00667C29" w:rsidTr="00A77438">
        <w:tc>
          <w:tcPr>
            <w:tcW w:w="2362" w:type="dxa"/>
          </w:tcPr>
          <w:p w:rsidR="00667C29" w:rsidRDefault="00667C29">
            <w:r>
              <w:t>Right uncinate</w:t>
            </w:r>
          </w:p>
        </w:tc>
        <w:tc>
          <w:tcPr>
            <w:tcW w:w="1999" w:type="dxa"/>
          </w:tcPr>
          <w:p w:rsidR="00667C29" w:rsidRDefault="00667C29">
            <w:r>
              <w:t>beta =  -0.16</w:t>
            </w:r>
          </w:p>
        </w:tc>
        <w:tc>
          <w:tcPr>
            <w:tcW w:w="2268" w:type="dxa"/>
          </w:tcPr>
          <w:p w:rsidR="00667C29" w:rsidRDefault="00667C29">
            <w:r>
              <w:t>p &lt; 0.001, R2 = 0.03</w:t>
            </w:r>
          </w:p>
        </w:tc>
        <w:tc>
          <w:tcPr>
            <w:tcW w:w="1984" w:type="dxa"/>
          </w:tcPr>
          <w:p w:rsidR="00667C29" w:rsidRDefault="00667C29">
            <w:r>
              <w:t>beta =  -0.13</w:t>
            </w:r>
          </w:p>
        </w:tc>
        <w:tc>
          <w:tcPr>
            <w:tcW w:w="2268" w:type="dxa"/>
          </w:tcPr>
          <w:p w:rsidR="00667C29" w:rsidRDefault="00667C29" w:rsidP="00A34ED0">
            <w:r>
              <w:t>p = 0.002, R</w:t>
            </w:r>
            <w:r w:rsidRPr="00A77438">
              <w:rPr>
                <w:vertAlign w:val="superscript"/>
              </w:rPr>
              <w:t>2</w:t>
            </w:r>
            <w:r>
              <w:t xml:space="preserve"> = 0.14</w:t>
            </w:r>
          </w:p>
        </w:tc>
        <w:tc>
          <w:tcPr>
            <w:tcW w:w="3295" w:type="dxa"/>
          </w:tcPr>
          <w:p w:rsidR="00667C29" w:rsidRDefault="00667C29" w:rsidP="00A34ED0">
            <w:r>
              <w:t>F = 75.3, p &lt; 1x10</w:t>
            </w:r>
            <w:r w:rsidRPr="00A77438">
              <w:rPr>
                <w:vertAlign w:val="superscript"/>
              </w:rPr>
              <w:t>-6</w:t>
            </w:r>
            <w:r>
              <w:t xml:space="preserve"> </w:t>
            </w:r>
          </w:p>
        </w:tc>
      </w:tr>
    </w:tbl>
    <w:p w:rsidR="00667C29" w:rsidRDefault="00667C29"/>
    <w:p w:rsidR="00667C29" w:rsidRDefault="00667C29">
      <w:r>
        <w:t>*standardized betas given on identically sized samples with complete data on each measure. Values differ slightly from those given earlier because of necessity to compare model fit using two equally sized samples with complete data.</w:t>
      </w:r>
      <w:bookmarkStart w:id="0" w:name="_GoBack"/>
      <w:bookmarkEnd w:id="0"/>
    </w:p>
    <w:sectPr w:rsidR="00667C29" w:rsidSect="00842B82">
      <w:pgSz w:w="16840" w:h="11900"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01CA"/>
    <w:rsid w:val="000537AE"/>
    <w:rsid w:val="00121108"/>
    <w:rsid w:val="00165ABA"/>
    <w:rsid w:val="00172952"/>
    <w:rsid w:val="00175E1D"/>
    <w:rsid w:val="001F6722"/>
    <w:rsid w:val="00270E6D"/>
    <w:rsid w:val="002D03F6"/>
    <w:rsid w:val="002E5C12"/>
    <w:rsid w:val="003B7510"/>
    <w:rsid w:val="003C28EC"/>
    <w:rsid w:val="00667C29"/>
    <w:rsid w:val="006B73E3"/>
    <w:rsid w:val="00710356"/>
    <w:rsid w:val="007644E5"/>
    <w:rsid w:val="00842B82"/>
    <w:rsid w:val="00880F3E"/>
    <w:rsid w:val="008C3E4C"/>
    <w:rsid w:val="00902E21"/>
    <w:rsid w:val="00906512"/>
    <w:rsid w:val="009427DB"/>
    <w:rsid w:val="00984C09"/>
    <w:rsid w:val="00997587"/>
    <w:rsid w:val="009A1E7B"/>
    <w:rsid w:val="00A019BE"/>
    <w:rsid w:val="00A04BCE"/>
    <w:rsid w:val="00A34ED0"/>
    <w:rsid w:val="00A45CBE"/>
    <w:rsid w:val="00A77438"/>
    <w:rsid w:val="00AF01CA"/>
    <w:rsid w:val="00B25142"/>
    <w:rsid w:val="00BA2EC0"/>
    <w:rsid w:val="00C81B59"/>
    <w:rsid w:val="00C8233F"/>
    <w:rsid w:val="00C90EA0"/>
    <w:rsid w:val="00C945EE"/>
    <w:rsid w:val="00CC4EB2"/>
    <w:rsid w:val="00D554F5"/>
    <w:rsid w:val="00D60AB5"/>
    <w:rsid w:val="00DA4DB3"/>
    <w:rsid w:val="00DB2AF3"/>
    <w:rsid w:val="00DC79EC"/>
    <w:rsid w:val="00EF0676"/>
    <w:rsid w:val="00FC7596"/>
    <w:rsid w:val="00FF4CA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1CA"/>
    <w:rPr>
      <w:rFonts w:cs="Cambria"/>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AF01CA"/>
    <w:rPr>
      <w:rFonts w:cs="Times New Roman"/>
      <w:sz w:val="18"/>
    </w:rPr>
  </w:style>
  <w:style w:type="paragraph" w:styleId="CommentText">
    <w:name w:val="annotation text"/>
    <w:basedOn w:val="Normal"/>
    <w:link w:val="CommentTextChar"/>
    <w:uiPriority w:val="99"/>
    <w:semiHidden/>
    <w:rsid w:val="00AF01CA"/>
  </w:style>
  <w:style w:type="character" w:customStyle="1" w:styleId="CommentTextChar">
    <w:name w:val="Comment Text Char"/>
    <w:basedOn w:val="DefaultParagraphFont"/>
    <w:link w:val="CommentText"/>
    <w:uiPriority w:val="99"/>
    <w:semiHidden/>
    <w:locked/>
    <w:rsid w:val="00AF01CA"/>
    <w:rPr>
      <w:rFonts w:ascii="Cambria" w:eastAsia="MS ??" w:hAnsi="Cambria" w:cs="Cambria"/>
    </w:rPr>
  </w:style>
  <w:style w:type="paragraph" w:styleId="BalloonText">
    <w:name w:val="Balloon Text"/>
    <w:basedOn w:val="Normal"/>
    <w:link w:val="BalloonTextChar"/>
    <w:uiPriority w:val="99"/>
    <w:semiHidden/>
    <w:rsid w:val="00AF01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F01CA"/>
    <w:rPr>
      <w:rFonts w:ascii="Lucida Grande" w:eastAsia="MS ??" w:hAnsi="Lucida Grande" w:cs="Lucida Grande"/>
      <w:sz w:val="18"/>
      <w:szCs w:val="18"/>
    </w:rPr>
  </w:style>
  <w:style w:type="table" w:styleId="TableGrid">
    <w:name w:val="Table Grid"/>
    <w:basedOn w:val="TableNormal"/>
    <w:uiPriority w:val="99"/>
    <w:rsid w:val="00DA4D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934</Words>
  <Characters>5324</Characters>
  <Application>Microsoft Office Outlook</Application>
  <DocSecurity>0</DocSecurity>
  <Lines>0</Lines>
  <Paragraphs>0</Paragraphs>
  <ScaleCrop>false</ScaleCrop>
  <Company>University of Edinburgh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dc:title>
  <dc:subject/>
  <dc:creator>Andrew McIntosh</dc:creator>
  <cp:keywords/>
  <dc:description/>
  <cp:lastModifiedBy>Dave Starling</cp:lastModifiedBy>
  <cp:revision>2</cp:revision>
  <cp:lastPrinted>2012-05-22T21:28:00Z</cp:lastPrinted>
  <dcterms:created xsi:type="dcterms:W3CDTF">2013-04-30T12:03:00Z</dcterms:created>
  <dcterms:modified xsi:type="dcterms:W3CDTF">2013-04-30T12:03:00Z</dcterms:modified>
</cp:coreProperties>
</file>