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536D9" w14:textId="711E00F3" w:rsidR="00A06D33" w:rsidRDefault="004F1D53" w:rsidP="004F1D53">
      <w:pPr>
        <w:rPr>
          <w:b/>
        </w:rPr>
      </w:pPr>
      <w:r>
        <w:rPr>
          <w:b/>
        </w:rPr>
        <w:t>SUPPLEMENTARY ONLINE APPENDIX</w:t>
      </w:r>
    </w:p>
    <w:p w14:paraId="693618EB" w14:textId="77777777" w:rsidR="00A06D33" w:rsidRDefault="00A06D33"/>
    <w:p w14:paraId="5B66D366" w14:textId="77777777" w:rsidR="00A06D33" w:rsidRDefault="00BA55A1">
      <w:pPr>
        <w:rPr>
          <w:b/>
        </w:rPr>
      </w:pPr>
      <w:r>
        <w:rPr>
          <w:b/>
        </w:rPr>
        <w:t>Algorithm used to simulate one incongruent trial from the model</w:t>
      </w:r>
    </w:p>
    <w:p w14:paraId="12C8DCB4" w14:textId="77777777" w:rsidR="00A06D33" w:rsidRDefault="00A06D33">
      <w:pPr>
        <w:rPr>
          <w:u w:val="single"/>
        </w:rPr>
      </w:pPr>
    </w:p>
    <w:p w14:paraId="3EC7A767" w14:textId="77777777" w:rsidR="00A06D33" w:rsidRPr="004F1D53" w:rsidRDefault="00BA55A1">
      <w:pPr>
        <w:ind w:left="720"/>
        <w:rPr>
          <w:rFonts w:cs="Times New Roman"/>
        </w:rPr>
      </w:pPr>
      <w:r w:rsidRPr="004F1D53">
        <w:rPr>
          <w:rFonts w:cs="Times New Roman"/>
        </w:rPr>
        <w:t>Sample RT</w:t>
      </w:r>
      <w:r w:rsidRPr="004F1D53">
        <w:rPr>
          <w:rFonts w:cs="Times New Roman"/>
          <w:vertAlign w:val="subscript"/>
        </w:rPr>
        <w:t>pre</w:t>
      </w:r>
      <w:r w:rsidRPr="004F1D53">
        <w:rPr>
          <w:rFonts w:cs="Times New Roman"/>
        </w:rPr>
        <w:t xml:space="preserve"> ~ InvGauss(v</w:t>
      </w:r>
      <w:r w:rsidRPr="004F1D53">
        <w:rPr>
          <w:rFonts w:cs="Times New Roman"/>
          <w:vertAlign w:val="subscript"/>
        </w:rPr>
        <w:t>pre</w:t>
      </w:r>
      <w:r w:rsidRPr="004F1D53">
        <w:rPr>
          <w:rFonts w:cs="Times New Roman"/>
        </w:rPr>
        <w:t>, a) + t</w:t>
      </w:r>
    </w:p>
    <w:p w14:paraId="0C6DF53C" w14:textId="77777777" w:rsidR="00A06D33" w:rsidRPr="004F1D53" w:rsidRDefault="00BA55A1">
      <w:pPr>
        <w:ind w:left="720"/>
        <w:rPr>
          <w:rFonts w:cs="Times New Roman"/>
        </w:rPr>
      </w:pPr>
      <w:r w:rsidRPr="004F1D53">
        <w:rPr>
          <w:rFonts w:cs="Times New Roman"/>
        </w:rPr>
        <w:t>Sample RT</w:t>
      </w:r>
      <w:r w:rsidRPr="004F1D53">
        <w:rPr>
          <w:rFonts w:cs="Times New Roman"/>
          <w:vertAlign w:val="subscript"/>
        </w:rPr>
        <w:t>inhib</w:t>
      </w:r>
      <w:r w:rsidRPr="004F1D53">
        <w:rPr>
          <w:rFonts w:cs="Times New Roman"/>
        </w:rPr>
        <w:t xml:space="preserve"> ~ InvGauss(v</w:t>
      </w:r>
      <w:r w:rsidRPr="004F1D53">
        <w:rPr>
          <w:rFonts w:cs="Times New Roman"/>
          <w:vertAlign w:val="subscript"/>
        </w:rPr>
        <w:t xml:space="preserve">inhib, </w:t>
      </w:r>
      <w:r w:rsidRPr="004F1D53">
        <w:rPr>
          <w:rFonts w:cs="Times New Roman"/>
        </w:rPr>
        <w:t>a) + t</w:t>
      </w:r>
    </w:p>
    <w:p w14:paraId="7165B7F7" w14:textId="77777777" w:rsidR="00A06D33" w:rsidRPr="004F1D53" w:rsidRDefault="00BA55A1">
      <w:pPr>
        <w:ind w:left="720"/>
        <w:rPr>
          <w:rFonts w:cs="Times New Roman"/>
        </w:rPr>
      </w:pPr>
      <w:r w:rsidRPr="004F1D53">
        <w:rPr>
          <w:rFonts w:cs="Times New Roman"/>
        </w:rPr>
        <w:t>Sample RT</w:t>
      </w:r>
      <w:r w:rsidRPr="004F1D53">
        <w:rPr>
          <w:rFonts w:cs="Times New Roman"/>
          <w:vertAlign w:val="subscript"/>
        </w:rPr>
        <w:t>exec</w:t>
      </w:r>
      <w:r w:rsidRPr="004F1D53">
        <w:rPr>
          <w:rFonts w:cs="Times New Roman"/>
        </w:rPr>
        <w:t xml:space="preserve"> ~ InvGauss(v</w:t>
      </w:r>
      <w:r w:rsidRPr="004F1D53">
        <w:rPr>
          <w:rFonts w:cs="Times New Roman"/>
          <w:vertAlign w:val="subscript"/>
        </w:rPr>
        <w:t>exec</w:t>
      </w:r>
      <w:r w:rsidRPr="004F1D53">
        <w:rPr>
          <w:rFonts w:cs="Times New Roman"/>
        </w:rPr>
        <w:t>, a) + t + t</w:t>
      </w:r>
      <w:r w:rsidRPr="004F1D53">
        <w:rPr>
          <w:rFonts w:cs="Times New Roman"/>
          <w:vertAlign w:val="subscript"/>
        </w:rPr>
        <w:t>exec</w:t>
      </w:r>
    </w:p>
    <w:p w14:paraId="664F6F45" w14:textId="77777777" w:rsidR="00A06D33" w:rsidRPr="004F1D53" w:rsidRDefault="00A06D33">
      <w:pPr>
        <w:ind w:left="720"/>
        <w:rPr>
          <w:rFonts w:cs="Times New Roman"/>
        </w:rPr>
      </w:pPr>
    </w:p>
    <w:p w14:paraId="106CA3AE" w14:textId="77777777" w:rsidR="00A06D33" w:rsidRPr="004F1D53" w:rsidRDefault="00BA55A1">
      <w:pPr>
        <w:ind w:left="720"/>
        <w:rPr>
          <w:rFonts w:cs="Times New Roman"/>
        </w:rPr>
      </w:pPr>
      <w:r w:rsidRPr="004F1D53">
        <w:rPr>
          <w:rFonts w:cs="Times New Roman"/>
        </w:rPr>
        <w:t>if RT</w:t>
      </w:r>
      <w:r w:rsidRPr="004F1D53">
        <w:rPr>
          <w:rFonts w:cs="Times New Roman"/>
          <w:vertAlign w:val="subscript"/>
        </w:rPr>
        <w:t>inhib</w:t>
      </w:r>
      <w:r w:rsidRPr="004F1D53">
        <w:rPr>
          <w:rFonts w:cs="Times New Roman"/>
        </w:rPr>
        <w:t xml:space="preserve"> &lt; RT</w:t>
      </w:r>
      <w:r w:rsidRPr="004F1D53">
        <w:rPr>
          <w:rFonts w:cs="Times New Roman"/>
          <w:vertAlign w:val="subscript"/>
        </w:rPr>
        <w:t>pre</w:t>
      </w:r>
      <w:r w:rsidRPr="004F1D53">
        <w:rPr>
          <w:rFonts w:cs="Times New Roman"/>
        </w:rPr>
        <w:t>:</w:t>
      </w:r>
    </w:p>
    <w:p w14:paraId="32CFF61F" w14:textId="77777777" w:rsidR="00A06D33" w:rsidRPr="004F1D53" w:rsidRDefault="00BA55A1">
      <w:pPr>
        <w:ind w:left="720"/>
        <w:rPr>
          <w:rFonts w:cs="Times New Roman"/>
        </w:rPr>
      </w:pPr>
      <w:r w:rsidRPr="004F1D53">
        <w:rPr>
          <w:rFonts w:cs="Times New Roman"/>
        </w:rPr>
        <w:t xml:space="preserve">    RT</w:t>
      </w:r>
      <w:r w:rsidRPr="004F1D53">
        <w:rPr>
          <w:rFonts w:cs="Times New Roman"/>
          <w:vertAlign w:val="subscript"/>
        </w:rPr>
        <w:t>pre</w:t>
      </w:r>
      <w:r w:rsidRPr="004F1D53">
        <w:rPr>
          <w:rFonts w:cs="Times New Roman"/>
        </w:rPr>
        <w:t xml:space="preserve"> = inf</w:t>
      </w:r>
    </w:p>
    <w:p w14:paraId="6F21C7AB" w14:textId="77777777" w:rsidR="00A06D33" w:rsidRPr="004F1D53" w:rsidRDefault="00BA55A1">
      <w:pPr>
        <w:ind w:left="720"/>
        <w:rPr>
          <w:rFonts w:cs="Times New Roman"/>
        </w:rPr>
      </w:pPr>
      <w:r w:rsidRPr="004F1D53">
        <w:rPr>
          <w:rFonts w:cs="Times New Roman"/>
        </w:rPr>
        <w:t>if RT</w:t>
      </w:r>
      <w:r w:rsidRPr="004F1D53">
        <w:rPr>
          <w:rFonts w:cs="Times New Roman"/>
          <w:vertAlign w:val="subscript"/>
        </w:rPr>
        <w:t>pre</w:t>
      </w:r>
      <w:r w:rsidRPr="004F1D53">
        <w:rPr>
          <w:rFonts w:cs="Times New Roman"/>
        </w:rPr>
        <w:t xml:space="preserve"> &lt; RT</w:t>
      </w:r>
      <w:r w:rsidRPr="004F1D53">
        <w:rPr>
          <w:rFonts w:cs="Times New Roman"/>
          <w:vertAlign w:val="subscript"/>
        </w:rPr>
        <w:t>exec</w:t>
      </w:r>
      <w:r w:rsidRPr="004F1D53">
        <w:rPr>
          <w:rFonts w:cs="Times New Roman"/>
        </w:rPr>
        <w:t>:</w:t>
      </w:r>
    </w:p>
    <w:p w14:paraId="7DF5E51A" w14:textId="77777777" w:rsidR="00A06D33" w:rsidRPr="004F1D53" w:rsidRDefault="00BA55A1">
      <w:pPr>
        <w:ind w:left="720"/>
        <w:rPr>
          <w:rFonts w:cs="Times New Roman"/>
        </w:rPr>
      </w:pPr>
      <w:r w:rsidRPr="004F1D53">
        <w:rPr>
          <w:rFonts w:cs="Times New Roman"/>
        </w:rPr>
        <w:t xml:space="preserve">    error = true</w:t>
      </w:r>
    </w:p>
    <w:p w14:paraId="5D630B8F" w14:textId="77777777" w:rsidR="00A06D33" w:rsidRPr="004F1D53" w:rsidRDefault="00BA55A1">
      <w:pPr>
        <w:ind w:left="720"/>
        <w:rPr>
          <w:rFonts w:cs="Times New Roman"/>
        </w:rPr>
      </w:pPr>
      <w:r w:rsidRPr="004F1D53">
        <w:rPr>
          <w:rFonts w:cs="Times New Roman"/>
        </w:rPr>
        <w:t xml:space="preserve">    RT = RT</w:t>
      </w:r>
      <w:r w:rsidRPr="004F1D53">
        <w:rPr>
          <w:rFonts w:cs="Times New Roman"/>
          <w:vertAlign w:val="subscript"/>
        </w:rPr>
        <w:t>pre</w:t>
      </w:r>
      <w:bookmarkStart w:id="0" w:name="_GoBack"/>
      <w:bookmarkEnd w:id="0"/>
    </w:p>
    <w:p w14:paraId="3BBF4331" w14:textId="77777777" w:rsidR="00A06D33" w:rsidRPr="004F1D53" w:rsidRDefault="00BA55A1">
      <w:pPr>
        <w:ind w:left="720"/>
        <w:rPr>
          <w:rFonts w:cs="Times New Roman"/>
        </w:rPr>
      </w:pPr>
      <w:r w:rsidRPr="004F1D53">
        <w:rPr>
          <w:rFonts w:cs="Times New Roman"/>
        </w:rPr>
        <w:t>else:</w:t>
      </w:r>
    </w:p>
    <w:p w14:paraId="33818B43" w14:textId="77777777" w:rsidR="00A06D33" w:rsidRPr="004F1D53" w:rsidRDefault="00BA55A1">
      <w:pPr>
        <w:ind w:left="720"/>
        <w:rPr>
          <w:rFonts w:cs="Times New Roman"/>
        </w:rPr>
      </w:pPr>
      <w:r w:rsidRPr="004F1D53">
        <w:rPr>
          <w:rFonts w:cs="Times New Roman"/>
        </w:rPr>
        <w:t xml:space="preserve">    error = false</w:t>
      </w:r>
    </w:p>
    <w:p w14:paraId="0BC868BA" w14:textId="77777777" w:rsidR="00A06D33" w:rsidRPr="004F1D53" w:rsidRDefault="00BA55A1">
      <w:pPr>
        <w:ind w:left="720"/>
        <w:rPr>
          <w:rFonts w:cs="Times New Roman"/>
        </w:rPr>
      </w:pPr>
      <w:r w:rsidRPr="004F1D53">
        <w:rPr>
          <w:rFonts w:cs="Times New Roman"/>
        </w:rPr>
        <w:t xml:space="preserve">    RT = RT</w:t>
      </w:r>
      <w:r w:rsidRPr="004F1D53">
        <w:rPr>
          <w:rFonts w:cs="Times New Roman"/>
          <w:vertAlign w:val="subscript"/>
        </w:rPr>
        <w:t>exec</w:t>
      </w:r>
    </w:p>
    <w:p w14:paraId="226663D1" w14:textId="77777777" w:rsidR="00A06D33" w:rsidRPr="004F1D53" w:rsidRDefault="00A06D33">
      <w:pPr>
        <w:ind w:left="720"/>
        <w:rPr>
          <w:rFonts w:cs="Times New Roman"/>
        </w:rPr>
      </w:pPr>
    </w:p>
    <w:p w14:paraId="4D0FFDE6" w14:textId="77777777" w:rsidR="00A06D33" w:rsidRPr="004F1D53" w:rsidRDefault="00BA55A1">
      <w:pPr>
        <w:ind w:left="720"/>
        <w:rPr>
          <w:rFonts w:cs="Times New Roman"/>
        </w:rPr>
      </w:pPr>
      <w:r w:rsidRPr="004F1D53">
        <w:rPr>
          <w:rFonts w:cs="Times New Roman"/>
        </w:rPr>
        <w:t>Output: error, RT</w:t>
      </w:r>
    </w:p>
    <w:p w14:paraId="798C4A80" w14:textId="77777777" w:rsidR="00A06D33" w:rsidRDefault="00A06D33">
      <w:pPr>
        <w:rPr>
          <w:rFonts w:ascii="Andale Mono" w:hAnsi="Andale Mono"/>
        </w:rPr>
      </w:pPr>
    </w:p>
    <w:p w14:paraId="16130A90" w14:textId="77777777" w:rsidR="00A06D33" w:rsidRDefault="00BA55A1">
      <w:pPr>
        <w:spacing w:line="480" w:lineRule="auto"/>
      </w:pPr>
      <w:r>
        <w:t>InvGaussian(µ, lam) is the first-passage-time distribution for a Wiener diffusion process with drift µ and a single upper threshold lam. “t” is a constant corresponding to non-decision time (Ratcliff &amp; McKoon, 2008). “t</w:t>
      </w:r>
      <w:r>
        <w:rPr>
          <w:vertAlign w:val="subscript"/>
        </w:rPr>
        <w:t>exec</w:t>
      </w:r>
      <w:r>
        <w:t>” is a second constant that captures the time needed to implement additional processing on incongruent versus congruent trials (i.e., respond to the central arrow, not the flankers) (Wiecki &amp; Frank, 2013). By running this algorithm 10000 times for each parameter setting and using kernel density estimation on the simulated RTs, we approximated a likelihood function. Congruent trials were fit using only the prepotent accumulator. The parameters “a”, “t” and “v</w:t>
      </w:r>
      <w:r>
        <w:rPr>
          <w:vertAlign w:val="subscript"/>
        </w:rPr>
        <w:t>pre</w:t>
      </w:r>
      <w:r>
        <w:t>” are thus constrained by congruent as well as incongruent trials while the parameters “v</w:t>
      </w:r>
      <w:r>
        <w:rPr>
          <w:vertAlign w:val="subscript"/>
        </w:rPr>
        <w:t>stop</w:t>
      </w:r>
      <w:r>
        <w:t>”, “v</w:t>
      </w:r>
      <w:r>
        <w:rPr>
          <w:vertAlign w:val="subscript"/>
        </w:rPr>
        <w:t>exec</w:t>
      </w:r>
      <w:r>
        <w:t>”, and “t</w:t>
      </w:r>
      <w:r>
        <w:rPr>
          <w:vertAlign w:val="subscript"/>
        </w:rPr>
        <w:t>exec</w:t>
      </w:r>
      <w:r>
        <w:t>” are only constrained by the latter.</w:t>
      </w:r>
    </w:p>
    <w:p w14:paraId="7388E5BD" w14:textId="77777777" w:rsidR="00A06D33" w:rsidRDefault="00BA55A1">
      <w:pPr>
        <w:spacing w:line="480" w:lineRule="auto"/>
        <w:rPr>
          <w:b/>
        </w:rPr>
      </w:pPr>
      <w:r>
        <w:rPr>
          <w:b/>
        </w:rPr>
        <w:t>Congruency sequence effects</w:t>
      </w:r>
    </w:p>
    <w:p w14:paraId="65E28309" w14:textId="77777777" w:rsidR="00A06D33" w:rsidRDefault="00BA55A1">
      <w:pPr>
        <w:spacing w:line="480" w:lineRule="auto"/>
        <w:ind w:firstLine="720"/>
      </w:pPr>
      <w:r>
        <w:t xml:space="preserve">The deployment of cognitive control in the flanker task can have consequences for performance on the next trial, a phenomenon evident in congruency sequence effects (Egner, 2007). Congruency sequence effects typically correspond to higher accuracy and faster RT for </w:t>
      </w:r>
      <w:r>
        <w:lastRenderedPageBreak/>
        <w:t>incongruent trials immediately preceded by incongruent trials, relative to incongruent trials immediately preceded by congruent trials; this may reflect a “carry-over” of cognitive control elicited by one incongruent trial to the trial that follows it. There is evidence that congruency sequence effects are sensitive to depressive symptoms (Holmes &amp; Pizzagalli, 2007), thus we examined them. We computed the congruency sequence effect as [%Correct</w:t>
      </w:r>
      <w:r>
        <w:rPr>
          <w:vertAlign w:val="subscript"/>
        </w:rPr>
        <w:t xml:space="preserve"> Incongruent trials following correct incongruent trials </w:t>
      </w:r>
      <w:r>
        <w:t>- %Correct</w:t>
      </w:r>
      <w:r>
        <w:rPr>
          <w:vertAlign w:val="subscript"/>
        </w:rPr>
        <w:t xml:space="preserve"> Incongruent trials following correct congruent trials</w:t>
      </w:r>
      <w:r>
        <w:t>] and [Mean RT</w:t>
      </w:r>
      <w:r>
        <w:rPr>
          <w:vertAlign w:val="subscript"/>
        </w:rPr>
        <w:t xml:space="preserve">Incongruent trials following correct congruent trials </w:t>
      </w:r>
      <w:r>
        <w:t>– Mean RT</w:t>
      </w:r>
      <w:r>
        <w:rPr>
          <w:vertAlign w:val="subscript"/>
        </w:rPr>
        <w:t>Incongruent trials following correct incongruent trials</w:t>
      </w:r>
      <w:r>
        <w:t>]. Higher values suggest more robust or more sustained recruitment of cognitive control in response to incongruent stimuli. Analyses were restricted to incongruent trials preceded by correct responses in order to dissociate sequence effects from post-error adjustments.</w:t>
      </w:r>
    </w:p>
    <w:p w14:paraId="3DC9E861" w14:textId="77777777" w:rsidR="00A06D33" w:rsidRDefault="00BA55A1">
      <w:pPr>
        <w:spacing w:line="480" w:lineRule="auto"/>
        <w:ind w:firstLine="720"/>
      </w:pPr>
      <w:r>
        <w:t>As shown in Table S1, the congruency sequence effect on accuracy was positive in both groups (</w:t>
      </w:r>
      <w:r>
        <w:rPr>
          <w:i/>
        </w:rPr>
        <w:t>ts</w:t>
      </w:r>
      <w:r>
        <w:t xml:space="preserve"> &gt; 4.13, </w:t>
      </w:r>
      <w:r>
        <w:rPr>
          <w:i/>
        </w:rPr>
        <w:t>p</w:t>
      </w:r>
      <w:r>
        <w:t xml:space="preserve">s &lt; 0.001 for one-sample </w:t>
      </w:r>
      <w:r>
        <w:rPr>
          <w:i/>
        </w:rPr>
        <w:t>t</w:t>
      </w:r>
      <w:r>
        <w:t xml:space="preserve">-tests against zero). However, a between-group </w:t>
      </w:r>
      <w:r>
        <w:rPr>
          <w:i/>
        </w:rPr>
        <w:t>t</w:t>
      </w:r>
      <w:r>
        <w:t>-test did not approach significance</w:t>
      </w:r>
      <w:r w:rsidR="00385756">
        <w:t xml:space="preserve">, </w:t>
      </w:r>
      <w:r w:rsidR="00385756">
        <w:rPr>
          <w:i/>
        </w:rPr>
        <w:t>t</w:t>
      </w:r>
      <w:r w:rsidR="00385756">
        <w:t xml:space="preserve">(127) &lt; 1, </w:t>
      </w:r>
      <w:r w:rsidR="00385756">
        <w:rPr>
          <w:i/>
        </w:rPr>
        <w:t>p</w:t>
      </w:r>
      <w:r w:rsidR="00385756">
        <w:t xml:space="preserve"> = 0.70</w:t>
      </w:r>
      <w:r>
        <w:t>. The congruency sequence effect on RT was not significantly different from zero in either group (</w:t>
      </w:r>
      <w:r>
        <w:rPr>
          <w:i/>
        </w:rPr>
        <w:t>ts</w:t>
      </w:r>
      <w:r>
        <w:t xml:space="preserve"> &lt; 1.75, </w:t>
      </w:r>
      <w:r>
        <w:rPr>
          <w:i/>
        </w:rPr>
        <w:t>p</w:t>
      </w:r>
      <w:r>
        <w:t>s &gt; 0.09), and again no group difference was observed</w:t>
      </w:r>
      <w:r w:rsidR="00385756">
        <w:t xml:space="preserve">, </w:t>
      </w:r>
      <w:r w:rsidR="00385756">
        <w:rPr>
          <w:i/>
        </w:rPr>
        <w:t>t</w:t>
      </w:r>
      <w:r w:rsidR="00385756">
        <w:t xml:space="preserve">(127) = -1.39, </w:t>
      </w:r>
      <w:r w:rsidR="00385756">
        <w:rPr>
          <w:i/>
        </w:rPr>
        <w:t>p</w:t>
      </w:r>
      <w:r w:rsidR="00385756">
        <w:t xml:space="preserve"> = 0.17</w:t>
      </w:r>
      <w:r>
        <w:t xml:space="preserve">. Thus, we found evidence of a congruency sequence effect on accuracy but not RT, and </w:t>
      </w:r>
      <w:r w:rsidR="00385756">
        <w:t>n</w:t>
      </w:r>
      <w:r>
        <w:t>either effect was influenced by depression.</w:t>
      </w:r>
    </w:p>
    <w:p w14:paraId="05E4B19A" w14:textId="77777777" w:rsidR="00A06D33" w:rsidRDefault="00BA55A1">
      <w:pPr>
        <w:rPr>
          <w:b/>
        </w:rPr>
      </w:pPr>
      <w:r>
        <w:rPr>
          <w:b/>
        </w:rPr>
        <w:t>Post-error behavioral adjustments</w:t>
      </w:r>
    </w:p>
    <w:p w14:paraId="317E04B0" w14:textId="77777777" w:rsidR="00A06D33" w:rsidRDefault="00A06D33"/>
    <w:p w14:paraId="4A86A010" w14:textId="77777777" w:rsidR="00A06D33" w:rsidRDefault="00BA55A1">
      <w:pPr>
        <w:spacing w:line="480" w:lineRule="auto"/>
        <w:ind w:firstLine="720"/>
      </w:pPr>
      <w:r>
        <w:t>Healthy controls typically slow down and increase their accuracy on post-error relative to post-correct trials (Dutilh et al., 2012), but this phenomenon appears to be weaker in depressed participants, who may instead display a “catastrophic” response to errors (e.g., Beats et al., 1996; Holmes &amp; Pizzagalli, 2008). On the basis of this prior work, we assessed group differences in post-error behavioral adjustments.</w:t>
      </w:r>
    </w:p>
    <w:p w14:paraId="29B774A2" w14:textId="77777777" w:rsidR="00A06D33" w:rsidRDefault="00BA55A1">
      <w:pPr>
        <w:spacing w:line="480" w:lineRule="auto"/>
        <w:ind w:firstLine="720"/>
      </w:pPr>
      <w:r>
        <w:lastRenderedPageBreak/>
        <w:t>Post-error adjustments were computed as [%Correct</w:t>
      </w:r>
      <w:r>
        <w:rPr>
          <w:vertAlign w:val="subscript"/>
        </w:rPr>
        <w:t xml:space="preserve"> Trials following incorrect incongruent trials </w:t>
      </w:r>
      <w:r>
        <w:t>- %Correct</w:t>
      </w:r>
      <w:r>
        <w:rPr>
          <w:vertAlign w:val="subscript"/>
        </w:rPr>
        <w:t xml:space="preserve"> Trials following correct incongruent trials</w:t>
      </w:r>
      <w:r>
        <w:t>] and [Mean RT</w:t>
      </w:r>
      <w:r>
        <w:rPr>
          <w:vertAlign w:val="subscript"/>
        </w:rPr>
        <w:t xml:space="preserve">Trials following incorrect incongruent trials </w:t>
      </w:r>
      <w:r>
        <w:t>– Mean RT</w:t>
      </w:r>
      <w:r>
        <w:rPr>
          <w:vertAlign w:val="subscript"/>
        </w:rPr>
        <w:t>Trials following correct incongruent trials</w:t>
      </w:r>
      <w:r>
        <w:t>]. Higher values indicate more robust recruitment of cognitive control following erroneous versus correct responses. Analyses were restricted to trials preceded by incongruent stimuli in order to dissociate post-error adjustments from congruency sequence effects. Finally, electrophysiological research suggests that at least six errors are required to reliably detect markers of error commission (Olvet &amp; Hajcak, 2009). Thus, we enforced a threshold of six errors on incongruent trials for analysis of post-error adjustments. Consequently, the post-error analysis was restricted to data from 81 depressed and 36 healthy participants.</w:t>
      </w:r>
    </w:p>
    <w:p w14:paraId="2F8E3A65" w14:textId="1FFE30C2" w:rsidR="00CA1DD5" w:rsidRDefault="00BA55A1" w:rsidP="009C63F4">
      <w:pPr>
        <w:spacing w:line="480" w:lineRule="auto"/>
        <w:ind w:firstLine="720"/>
      </w:pPr>
      <w:r>
        <w:t>As shown in Table S1, the post-error effects on accuracy were small and did not differ significantly from zero in either group (</w:t>
      </w:r>
      <w:r>
        <w:rPr>
          <w:i/>
        </w:rPr>
        <w:t>t</w:t>
      </w:r>
      <w:r>
        <w:t xml:space="preserve">s &lt; 1, </w:t>
      </w:r>
      <w:r>
        <w:rPr>
          <w:i/>
        </w:rPr>
        <w:t>p</w:t>
      </w:r>
      <w:r>
        <w:t xml:space="preserve"> &gt; 0.32). By contrast, the post-error effect on RT was significantly different from zero in the depressed participants, </w:t>
      </w:r>
      <w:r>
        <w:rPr>
          <w:i/>
        </w:rPr>
        <w:t>t</w:t>
      </w:r>
      <w:r>
        <w:t xml:space="preserve">(80) = 2.78, </w:t>
      </w:r>
      <w:r>
        <w:rPr>
          <w:i/>
        </w:rPr>
        <w:t>p</w:t>
      </w:r>
      <w:r>
        <w:t xml:space="preserve"> = 0.006, but not the controls, </w:t>
      </w:r>
      <w:r>
        <w:rPr>
          <w:i/>
        </w:rPr>
        <w:t>t</w:t>
      </w:r>
      <w:r>
        <w:t xml:space="preserve">(35) = 1.33, </w:t>
      </w:r>
      <w:r>
        <w:rPr>
          <w:i/>
        </w:rPr>
        <w:t>p</w:t>
      </w:r>
      <w:r>
        <w:t xml:space="preserve"> = 0.19. However, between-group </w:t>
      </w:r>
      <w:r>
        <w:rPr>
          <w:i/>
        </w:rPr>
        <w:t>t</w:t>
      </w:r>
      <w:r>
        <w:t>-tests did not approach significance for accuracy or RT (</w:t>
      </w:r>
      <w:r w:rsidR="00385756">
        <w:rPr>
          <w:i/>
        </w:rPr>
        <w:t>t</w:t>
      </w:r>
      <w:r w:rsidR="00385756">
        <w:t xml:space="preserve">(127) &lt; 1.20, </w:t>
      </w:r>
      <w:r w:rsidR="00385756">
        <w:rPr>
          <w:i/>
        </w:rPr>
        <w:t>p</w:t>
      </w:r>
      <w:r w:rsidR="00385756">
        <w:t xml:space="preserve"> &gt; 0.23 in both cases</w:t>
      </w:r>
      <w:r>
        <w:t>). Thus, we found no evidence of a group difference in post-error behavioral adjustments.</w:t>
      </w:r>
      <w:r w:rsidR="00CA1DD5">
        <w:br w:type="page"/>
      </w:r>
    </w:p>
    <w:p w14:paraId="1B5F7CEF" w14:textId="77777777" w:rsidR="00CA1DD5" w:rsidRDefault="00CA1DD5" w:rsidP="00CA1DD5">
      <w:pPr>
        <w:rPr>
          <w:i/>
        </w:rPr>
      </w:pPr>
      <w:r>
        <w:lastRenderedPageBreak/>
        <w:t xml:space="preserve">Table S1. </w:t>
      </w:r>
      <w:r>
        <w:rPr>
          <w:i/>
        </w:rPr>
        <w:t xml:space="preserve">Descriptive data </w:t>
      </w:r>
      <w:r>
        <w:t>(mean±SD)</w:t>
      </w:r>
      <w:r>
        <w:rPr>
          <w:i/>
        </w:rPr>
        <w:t xml:space="preserve"> for congruency sequence effects and post-error adjustments</w:t>
      </w:r>
    </w:p>
    <w:p w14:paraId="3948A62E" w14:textId="77777777" w:rsidR="00CA1DD5" w:rsidRDefault="00CA1DD5" w:rsidP="00CA1DD5"/>
    <w:tbl>
      <w:tblPr>
        <w:tblW w:w="6163" w:type="dxa"/>
        <w:tblBorders>
          <w:top w:val="single" w:sz="8" w:space="0" w:color="00000A"/>
          <w:bottom w:val="single" w:sz="4" w:space="0" w:color="00000A"/>
          <w:insideH w:val="single" w:sz="4" w:space="0" w:color="00000A"/>
        </w:tblBorders>
        <w:tblLook w:val="04A0" w:firstRow="1" w:lastRow="0" w:firstColumn="1" w:lastColumn="0" w:noHBand="0" w:noVBand="1"/>
      </w:tblPr>
      <w:tblGrid>
        <w:gridCol w:w="2051"/>
        <w:gridCol w:w="2052"/>
        <w:gridCol w:w="2060"/>
      </w:tblGrid>
      <w:tr w:rsidR="00CA1DD5" w14:paraId="0E36C050" w14:textId="77777777" w:rsidTr="0020016E">
        <w:tc>
          <w:tcPr>
            <w:tcW w:w="2051" w:type="dxa"/>
            <w:tcBorders>
              <w:top w:val="single" w:sz="8" w:space="0" w:color="00000A"/>
              <w:bottom w:val="single" w:sz="4" w:space="0" w:color="00000A"/>
            </w:tcBorders>
            <w:shd w:val="clear" w:color="auto" w:fill="FFFFFF"/>
          </w:tcPr>
          <w:p w14:paraId="331C05E2" w14:textId="77777777" w:rsidR="00CA1DD5" w:rsidRDefault="00CA1DD5" w:rsidP="0020016E">
            <w:pPr>
              <w:jc w:val="center"/>
            </w:pPr>
          </w:p>
        </w:tc>
        <w:tc>
          <w:tcPr>
            <w:tcW w:w="2052" w:type="dxa"/>
            <w:tcBorders>
              <w:top w:val="single" w:sz="8" w:space="0" w:color="00000A"/>
              <w:bottom w:val="single" w:sz="4" w:space="0" w:color="00000A"/>
            </w:tcBorders>
            <w:shd w:val="clear" w:color="auto" w:fill="FFFFFF"/>
          </w:tcPr>
          <w:p w14:paraId="551A7A67" w14:textId="77777777" w:rsidR="00CA1DD5" w:rsidRDefault="00CA1DD5" w:rsidP="0020016E">
            <w:pPr>
              <w:jc w:val="center"/>
            </w:pPr>
            <w:r>
              <w:t>Depressed</w:t>
            </w:r>
          </w:p>
        </w:tc>
        <w:tc>
          <w:tcPr>
            <w:tcW w:w="2060" w:type="dxa"/>
            <w:tcBorders>
              <w:top w:val="single" w:sz="8" w:space="0" w:color="00000A"/>
              <w:bottom w:val="single" w:sz="4" w:space="0" w:color="00000A"/>
            </w:tcBorders>
            <w:shd w:val="clear" w:color="auto" w:fill="FFFFFF"/>
          </w:tcPr>
          <w:p w14:paraId="73D6B04F" w14:textId="77777777" w:rsidR="00CA1DD5" w:rsidRDefault="00CA1DD5" w:rsidP="0020016E">
            <w:pPr>
              <w:jc w:val="center"/>
            </w:pPr>
            <w:r>
              <w:t>Healthy</w:t>
            </w:r>
          </w:p>
        </w:tc>
      </w:tr>
      <w:tr w:rsidR="00CA1DD5" w14:paraId="79136E28" w14:textId="77777777" w:rsidTr="0020016E">
        <w:tc>
          <w:tcPr>
            <w:tcW w:w="2051" w:type="dxa"/>
            <w:tcBorders>
              <w:top w:val="single" w:sz="4" w:space="0" w:color="00000A"/>
              <w:bottom w:val="single" w:sz="4" w:space="0" w:color="00000A"/>
            </w:tcBorders>
            <w:shd w:val="clear" w:color="auto" w:fill="FFFFFF"/>
          </w:tcPr>
          <w:p w14:paraId="657C690B" w14:textId="77777777" w:rsidR="00CA1DD5" w:rsidRDefault="00CA1DD5" w:rsidP="0020016E">
            <w:pPr>
              <w:jc w:val="center"/>
            </w:pPr>
          </w:p>
        </w:tc>
        <w:tc>
          <w:tcPr>
            <w:tcW w:w="4112" w:type="dxa"/>
            <w:gridSpan w:val="2"/>
            <w:tcBorders>
              <w:top w:val="single" w:sz="4" w:space="0" w:color="00000A"/>
              <w:bottom w:val="single" w:sz="4" w:space="0" w:color="00000A"/>
            </w:tcBorders>
            <w:shd w:val="clear" w:color="auto" w:fill="FFFFFF"/>
          </w:tcPr>
          <w:p w14:paraId="70D6BCBC" w14:textId="77777777" w:rsidR="00CA1DD5" w:rsidRDefault="00CA1DD5" w:rsidP="0020016E">
            <w:pPr>
              <w:jc w:val="center"/>
            </w:pPr>
          </w:p>
        </w:tc>
      </w:tr>
      <w:tr w:rsidR="00CA1DD5" w14:paraId="6258A3F4" w14:textId="77777777" w:rsidTr="0020016E">
        <w:tc>
          <w:tcPr>
            <w:tcW w:w="2051" w:type="dxa"/>
            <w:tcBorders>
              <w:top w:val="single" w:sz="4" w:space="0" w:color="00000A"/>
              <w:bottom w:val="single" w:sz="4" w:space="0" w:color="00000A"/>
            </w:tcBorders>
            <w:shd w:val="clear" w:color="auto" w:fill="FFFFFF"/>
          </w:tcPr>
          <w:p w14:paraId="7975EA17" w14:textId="77777777" w:rsidR="00CA1DD5" w:rsidRDefault="00CA1DD5" w:rsidP="0020016E">
            <w:pPr>
              <w:jc w:val="center"/>
            </w:pPr>
          </w:p>
        </w:tc>
        <w:tc>
          <w:tcPr>
            <w:tcW w:w="4112" w:type="dxa"/>
            <w:gridSpan w:val="2"/>
            <w:tcBorders>
              <w:top w:val="single" w:sz="4" w:space="0" w:color="00000A"/>
              <w:bottom w:val="single" w:sz="4" w:space="0" w:color="00000A"/>
            </w:tcBorders>
            <w:shd w:val="clear" w:color="auto" w:fill="FFFFFF"/>
          </w:tcPr>
          <w:p w14:paraId="3BA27469" w14:textId="77777777" w:rsidR="00CA1DD5" w:rsidRDefault="00CA1DD5" w:rsidP="0020016E">
            <w:pPr>
              <w:jc w:val="center"/>
            </w:pPr>
            <w:r>
              <w:t>Congruency sequence effects</w:t>
            </w:r>
          </w:p>
        </w:tc>
      </w:tr>
      <w:tr w:rsidR="00CA1DD5" w14:paraId="5E6412D1" w14:textId="77777777" w:rsidTr="0020016E">
        <w:tc>
          <w:tcPr>
            <w:tcW w:w="2051" w:type="dxa"/>
            <w:tcBorders>
              <w:top w:val="single" w:sz="4" w:space="0" w:color="00000A"/>
              <w:bottom w:val="single" w:sz="4" w:space="0" w:color="00000A"/>
            </w:tcBorders>
            <w:shd w:val="clear" w:color="auto" w:fill="FFFFFF"/>
          </w:tcPr>
          <w:p w14:paraId="7D96B03D" w14:textId="77777777" w:rsidR="00CA1DD5" w:rsidRDefault="00CA1DD5" w:rsidP="0020016E">
            <w:pPr>
              <w:jc w:val="center"/>
            </w:pPr>
            <w:r>
              <w:t>Accuracy</w:t>
            </w:r>
          </w:p>
        </w:tc>
        <w:tc>
          <w:tcPr>
            <w:tcW w:w="2052" w:type="dxa"/>
            <w:tcBorders>
              <w:top w:val="single" w:sz="4" w:space="0" w:color="00000A"/>
              <w:bottom w:val="single" w:sz="4" w:space="0" w:color="00000A"/>
            </w:tcBorders>
            <w:shd w:val="clear" w:color="auto" w:fill="FFFFFF"/>
          </w:tcPr>
          <w:p w14:paraId="18F403E2" w14:textId="77777777" w:rsidR="00CA1DD5" w:rsidRDefault="00CA1DD5" w:rsidP="0020016E">
            <w:pPr>
              <w:jc w:val="center"/>
            </w:pPr>
            <w:r>
              <w:t>0.06±0.12</w:t>
            </w:r>
          </w:p>
        </w:tc>
        <w:tc>
          <w:tcPr>
            <w:tcW w:w="2060" w:type="dxa"/>
            <w:tcBorders>
              <w:top w:val="single" w:sz="4" w:space="0" w:color="00000A"/>
              <w:bottom w:val="single" w:sz="4" w:space="0" w:color="00000A"/>
            </w:tcBorders>
            <w:shd w:val="clear" w:color="auto" w:fill="FFFFFF"/>
          </w:tcPr>
          <w:p w14:paraId="6445A1FB" w14:textId="77777777" w:rsidR="00CA1DD5" w:rsidRDefault="00CA1DD5" w:rsidP="0020016E">
            <w:pPr>
              <w:jc w:val="center"/>
            </w:pPr>
            <w:r>
              <w:t>0.07±0.10</w:t>
            </w:r>
          </w:p>
        </w:tc>
      </w:tr>
      <w:tr w:rsidR="00CA1DD5" w14:paraId="1F16B655" w14:textId="77777777" w:rsidTr="0020016E">
        <w:tc>
          <w:tcPr>
            <w:tcW w:w="2051" w:type="dxa"/>
            <w:tcBorders>
              <w:top w:val="single" w:sz="4" w:space="0" w:color="00000A"/>
              <w:bottom w:val="single" w:sz="4" w:space="0" w:color="00000A"/>
            </w:tcBorders>
            <w:shd w:val="clear" w:color="auto" w:fill="FFFFFF"/>
          </w:tcPr>
          <w:p w14:paraId="4032C6B3" w14:textId="77777777" w:rsidR="00CA1DD5" w:rsidRDefault="00CA1DD5" w:rsidP="0020016E">
            <w:pPr>
              <w:jc w:val="center"/>
            </w:pPr>
            <w:r>
              <w:t>RT</w:t>
            </w:r>
          </w:p>
        </w:tc>
        <w:tc>
          <w:tcPr>
            <w:tcW w:w="2052" w:type="dxa"/>
            <w:tcBorders>
              <w:top w:val="single" w:sz="4" w:space="0" w:color="00000A"/>
              <w:bottom w:val="single" w:sz="4" w:space="0" w:color="00000A"/>
            </w:tcBorders>
            <w:shd w:val="clear" w:color="auto" w:fill="FFFFFF"/>
          </w:tcPr>
          <w:p w14:paraId="76FD94A5" w14:textId="77777777" w:rsidR="00CA1DD5" w:rsidRDefault="00CA1DD5" w:rsidP="0020016E">
            <w:pPr>
              <w:jc w:val="center"/>
            </w:pPr>
            <w:r>
              <w:t>-0.64±20.00</w:t>
            </w:r>
          </w:p>
        </w:tc>
        <w:tc>
          <w:tcPr>
            <w:tcW w:w="2060" w:type="dxa"/>
            <w:tcBorders>
              <w:top w:val="single" w:sz="4" w:space="0" w:color="00000A"/>
              <w:bottom w:val="single" w:sz="4" w:space="0" w:color="00000A"/>
            </w:tcBorders>
            <w:shd w:val="clear" w:color="auto" w:fill="FFFFFF"/>
          </w:tcPr>
          <w:p w14:paraId="793C730D" w14:textId="77777777" w:rsidR="00CA1DD5" w:rsidRDefault="00CA1DD5" w:rsidP="0020016E">
            <w:pPr>
              <w:jc w:val="center"/>
            </w:pPr>
            <w:r>
              <w:t>-6.18±22.00</w:t>
            </w:r>
          </w:p>
        </w:tc>
      </w:tr>
      <w:tr w:rsidR="00CA1DD5" w14:paraId="57F462AD" w14:textId="77777777" w:rsidTr="0020016E">
        <w:tc>
          <w:tcPr>
            <w:tcW w:w="2051" w:type="dxa"/>
            <w:tcBorders>
              <w:top w:val="single" w:sz="4" w:space="0" w:color="00000A"/>
              <w:bottom w:val="single" w:sz="4" w:space="0" w:color="00000A"/>
            </w:tcBorders>
            <w:shd w:val="clear" w:color="auto" w:fill="FFFFFF"/>
          </w:tcPr>
          <w:p w14:paraId="455D910D" w14:textId="77777777" w:rsidR="00CA1DD5" w:rsidRDefault="00CA1DD5" w:rsidP="0020016E">
            <w:pPr>
              <w:jc w:val="center"/>
            </w:pPr>
          </w:p>
        </w:tc>
        <w:tc>
          <w:tcPr>
            <w:tcW w:w="2052" w:type="dxa"/>
            <w:tcBorders>
              <w:top w:val="single" w:sz="4" w:space="0" w:color="00000A"/>
              <w:bottom w:val="single" w:sz="4" w:space="0" w:color="00000A"/>
            </w:tcBorders>
            <w:shd w:val="clear" w:color="auto" w:fill="FFFFFF"/>
          </w:tcPr>
          <w:p w14:paraId="31928613" w14:textId="77777777" w:rsidR="00CA1DD5" w:rsidRDefault="00CA1DD5" w:rsidP="0020016E">
            <w:pPr>
              <w:jc w:val="center"/>
            </w:pPr>
          </w:p>
        </w:tc>
        <w:tc>
          <w:tcPr>
            <w:tcW w:w="2060" w:type="dxa"/>
            <w:tcBorders>
              <w:top w:val="single" w:sz="4" w:space="0" w:color="00000A"/>
              <w:bottom w:val="single" w:sz="4" w:space="0" w:color="00000A"/>
            </w:tcBorders>
            <w:shd w:val="clear" w:color="auto" w:fill="FFFFFF"/>
          </w:tcPr>
          <w:p w14:paraId="5D2E6563" w14:textId="77777777" w:rsidR="00CA1DD5" w:rsidRDefault="00CA1DD5" w:rsidP="0020016E">
            <w:pPr>
              <w:jc w:val="center"/>
            </w:pPr>
          </w:p>
        </w:tc>
      </w:tr>
      <w:tr w:rsidR="00CA1DD5" w14:paraId="3DD1E4B1" w14:textId="77777777" w:rsidTr="0020016E">
        <w:tc>
          <w:tcPr>
            <w:tcW w:w="2051" w:type="dxa"/>
            <w:tcBorders>
              <w:top w:val="single" w:sz="4" w:space="0" w:color="00000A"/>
              <w:bottom w:val="single" w:sz="4" w:space="0" w:color="00000A"/>
            </w:tcBorders>
            <w:shd w:val="clear" w:color="auto" w:fill="FFFFFF"/>
          </w:tcPr>
          <w:p w14:paraId="557A6D46" w14:textId="77777777" w:rsidR="00CA1DD5" w:rsidRDefault="00CA1DD5" w:rsidP="0020016E">
            <w:pPr>
              <w:jc w:val="center"/>
            </w:pPr>
          </w:p>
        </w:tc>
        <w:tc>
          <w:tcPr>
            <w:tcW w:w="4112" w:type="dxa"/>
            <w:gridSpan w:val="2"/>
            <w:tcBorders>
              <w:top w:val="single" w:sz="4" w:space="0" w:color="00000A"/>
              <w:bottom w:val="single" w:sz="4" w:space="0" w:color="00000A"/>
            </w:tcBorders>
            <w:shd w:val="clear" w:color="auto" w:fill="FFFFFF"/>
          </w:tcPr>
          <w:p w14:paraId="54BEFBE2" w14:textId="77777777" w:rsidR="00CA1DD5" w:rsidRDefault="00CA1DD5" w:rsidP="0020016E">
            <w:pPr>
              <w:jc w:val="center"/>
            </w:pPr>
            <w:r>
              <w:t>Post-error adjustments</w:t>
            </w:r>
          </w:p>
        </w:tc>
      </w:tr>
      <w:tr w:rsidR="00CA1DD5" w14:paraId="34639388" w14:textId="77777777" w:rsidTr="0020016E">
        <w:tc>
          <w:tcPr>
            <w:tcW w:w="2051" w:type="dxa"/>
            <w:tcBorders>
              <w:top w:val="single" w:sz="4" w:space="0" w:color="00000A"/>
              <w:bottom w:val="single" w:sz="4" w:space="0" w:color="00000A"/>
            </w:tcBorders>
            <w:shd w:val="clear" w:color="auto" w:fill="FFFFFF"/>
          </w:tcPr>
          <w:p w14:paraId="383F411A" w14:textId="77777777" w:rsidR="00CA1DD5" w:rsidRDefault="00CA1DD5" w:rsidP="0020016E">
            <w:pPr>
              <w:jc w:val="center"/>
            </w:pPr>
            <w:r>
              <w:t>Accuracy</w:t>
            </w:r>
          </w:p>
        </w:tc>
        <w:tc>
          <w:tcPr>
            <w:tcW w:w="2052" w:type="dxa"/>
            <w:tcBorders>
              <w:top w:val="single" w:sz="4" w:space="0" w:color="00000A"/>
              <w:bottom w:val="single" w:sz="4" w:space="0" w:color="00000A"/>
            </w:tcBorders>
            <w:shd w:val="clear" w:color="auto" w:fill="FFFFFF"/>
          </w:tcPr>
          <w:p w14:paraId="6DB16460" w14:textId="77777777" w:rsidR="00CA1DD5" w:rsidRDefault="00CA1DD5" w:rsidP="0020016E">
            <w:pPr>
              <w:jc w:val="center"/>
            </w:pPr>
            <w:r>
              <w:t>0.00±0.04</w:t>
            </w:r>
          </w:p>
        </w:tc>
        <w:tc>
          <w:tcPr>
            <w:tcW w:w="2060" w:type="dxa"/>
            <w:tcBorders>
              <w:top w:val="single" w:sz="4" w:space="0" w:color="00000A"/>
              <w:bottom w:val="single" w:sz="4" w:space="0" w:color="00000A"/>
            </w:tcBorders>
            <w:shd w:val="clear" w:color="auto" w:fill="FFFFFF"/>
          </w:tcPr>
          <w:p w14:paraId="4964A039" w14:textId="77777777" w:rsidR="00CA1DD5" w:rsidRDefault="00CA1DD5" w:rsidP="0020016E">
            <w:pPr>
              <w:jc w:val="center"/>
            </w:pPr>
            <w:r>
              <w:t>0.01±0.04</w:t>
            </w:r>
          </w:p>
        </w:tc>
      </w:tr>
      <w:tr w:rsidR="00CA1DD5" w14:paraId="1512FAAB" w14:textId="77777777" w:rsidTr="0020016E">
        <w:tc>
          <w:tcPr>
            <w:tcW w:w="2051" w:type="dxa"/>
            <w:tcBorders>
              <w:top w:val="single" w:sz="4" w:space="0" w:color="00000A"/>
              <w:bottom w:val="single" w:sz="8" w:space="0" w:color="00000A"/>
            </w:tcBorders>
            <w:shd w:val="clear" w:color="auto" w:fill="FFFFFF"/>
          </w:tcPr>
          <w:p w14:paraId="6B1FA6AA" w14:textId="77777777" w:rsidR="00CA1DD5" w:rsidRDefault="00CA1DD5" w:rsidP="0020016E">
            <w:pPr>
              <w:jc w:val="center"/>
            </w:pPr>
            <w:r>
              <w:t>RT</w:t>
            </w:r>
          </w:p>
        </w:tc>
        <w:tc>
          <w:tcPr>
            <w:tcW w:w="2052" w:type="dxa"/>
            <w:tcBorders>
              <w:top w:val="single" w:sz="4" w:space="0" w:color="00000A"/>
              <w:bottom w:val="single" w:sz="8" w:space="0" w:color="00000A"/>
            </w:tcBorders>
            <w:shd w:val="clear" w:color="auto" w:fill="FFFFFF"/>
          </w:tcPr>
          <w:p w14:paraId="3849B4EE" w14:textId="77777777" w:rsidR="00CA1DD5" w:rsidRDefault="00CA1DD5" w:rsidP="0020016E">
            <w:pPr>
              <w:jc w:val="center"/>
            </w:pPr>
            <w:r>
              <w:t>9.13±29.62</w:t>
            </w:r>
          </w:p>
        </w:tc>
        <w:tc>
          <w:tcPr>
            <w:tcW w:w="2060" w:type="dxa"/>
            <w:tcBorders>
              <w:top w:val="single" w:sz="4" w:space="0" w:color="00000A"/>
              <w:bottom w:val="single" w:sz="8" w:space="0" w:color="00000A"/>
            </w:tcBorders>
            <w:shd w:val="clear" w:color="auto" w:fill="FFFFFF"/>
          </w:tcPr>
          <w:p w14:paraId="7EAEDAF6" w14:textId="77777777" w:rsidR="00CA1DD5" w:rsidRDefault="00CA1DD5" w:rsidP="0020016E">
            <w:pPr>
              <w:jc w:val="center"/>
            </w:pPr>
            <w:r>
              <w:t>4.75±21.48</w:t>
            </w:r>
          </w:p>
        </w:tc>
      </w:tr>
    </w:tbl>
    <w:p w14:paraId="142729CC" w14:textId="77777777" w:rsidR="00CA1DD5" w:rsidRDefault="00CA1DD5" w:rsidP="00CA1DD5">
      <w:pPr>
        <w:spacing w:line="480" w:lineRule="auto"/>
        <w:ind w:firstLine="720"/>
      </w:pPr>
    </w:p>
    <w:p w14:paraId="3CA26778" w14:textId="77777777" w:rsidR="00085682" w:rsidRDefault="00085682">
      <w:pPr>
        <w:suppressAutoHyphens w:val="0"/>
      </w:pPr>
      <w:r>
        <w:br w:type="page"/>
      </w:r>
    </w:p>
    <w:p w14:paraId="3609C362" w14:textId="4B6AF53F" w:rsidR="003D1202" w:rsidRDefault="006760CF" w:rsidP="006760CF">
      <w:pPr>
        <w:spacing w:line="480" w:lineRule="auto"/>
        <w:rPr>
          <w:b/>
        </w:rPr>
      </w:pPr>
      <w:r>
        <w:rPr>
          <w:b/>
        </w:rPr>
        <w:lastRenderedPageBreak/>
        <w:t>Figure S1. Distribution of executive control and prepotent drift rate parameters</w:t>
      </w:r>
    </w:p>
    <w:p w14:paraId="6A2BA537" w14:textId="48139BA0" w:rsidR="006760CF" w:rsidRDefault="006760CF" w:rsidP="006760CF">
      <w:pPr>
        <w:spacing w:line="480" w:lineRule="auto"/>
        <w:rPr>
          <w:b/>
        </w:rPr>
      </w:pPr>
      <w:r w:rsidRPr="00EA19DE">
        <w:rPr>
          <w:b/>
          <w:noProof/>
          <w:lang w:val="en-GB" w:eastAsia="en-GB"/>
        </w:rPr>
        <w:drawing>
          <wp:inline distT="0" distB="0" distL="0" distR="0" wp14:anchorId="01562588" wp14:editId="2ABC0BEF">
            <wp:extent cx="2924175" cy="2009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vexec_dist.png"/>
                    <pic:cNvPicPr/>
                  </pic:nvPicPr>
                  <pic:blipFill>
                    <a:blip r:embed="rId6">
                      <a:extLst>
                        <a:ext uri="{28A0092B-C50C-407E-A947-70E740481C1C}">
                          <a14:useLocalDpi xmlns:a14="http://schemas.microsoft.com/office/drawing/2010/main" val="0"/>
                        </a:ext>
                      </a:extLst>
                    </a:blip>
                    <a:stretch>
                      <a:fillRect/>
                    </a:stretch>
                  </pic:blipFill>
                  <pic:spPr>
                    <a:xfrm>
                      <a:off x="0" y="0"/>
                      <a:ext cx="2924175" cy="2009775"/>
                    </a:xfrm>
                    <a:prstGeom prst="rect">
                      <a:avLst/>
                    </a:prstGeom>
                  </pic:spPr>
                </pic:pic>
              </a:graphicData>
            </a:graphic>
          </wp:inline>
        </w:drawing>
      </w:r>
      <w:r w:rsidRPr="00EA19DE">
        <w:rPr>
          <w:b/>
          <w:noProof/>
          <w:lang w:val="en-GB" w:eastAsia="en-GB"/>
        </w:rPr>
        <w:drawing>
          <wp:inline distT="0" distB="0" distL="0" distR="0" wp14:anchorId="33461DDF" wp14:editId="76E51803">
            <wp:extent cx="2924175" cy="2009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vpre_dist.png"/>
                    <pic:cNvPicPr/>
                  </pic:nvPicPr>
                  <pic:blipFill>
                    <a:blip r:embed="rId7">
                      <a:extLst>
                        <a:ext uri="{28A0092B-C50C-407E-A947-70E740481C1C}">
                          <a14:useLocalDpi xmlns:a14="http://schemas.microsoft.com/office/drawing/2010/main" val="0"/>
                        </a:ext>
                      </a:extLst>
                    </a:blip>
                    <a:stretch>
                      <a:fillRect/>
                    </a:stretch>
                  </pic:blipFill>
                  <pic:spPr>
                    <a:xfrm>
                      <a:off x="0" y="0"/>
                      <a:ext cx="2924175" cy="2009775"/>
                    </a:xfrm>
                    <a:prstGeom prst="rect">
                      <a:avLst/>
                    </a:prstGeom>
                  </pic:spPr>
                </pic:pic>
              </a:graphicData>
            </a:graphic>
          </wp:inline>
        </w:drawing>
      </w:r>
    </w:p>
    <w:p w14:paraId="2F994AB6" w14:textId="56200ADE" w:rsidR="00A06D33" w:rsidRDefault="00A06D33">
      <w:pPr>
        <w:ind w:firstLine="720"/>
      </w:pPr>
    </w:p>
    <w:p w14:paraId="505711B2" w14:textId="77777777" w:rsidR="00A06D33" w:rsidRDefault="00BA55A1">
      <w:r>
        <w:br w:type="page"/>
      </w:r>
    </w:p>
    <w:p w14:paraId="374EC6D6" w14:textId="77777777" w:rsidR="00A06D33" w:rsidRDefault="00BA55A1">
      <w:pPr>
        <w:spacing w:line="480" w:lineRule="auto"/>
        <w:ind w:firstLine="720"/>
        <w:jc w:val="center"/>
        <w:rPr>
          <w:b/>
        </w:rPr>
      </w:pPr>
      <w:r>
        <w:rPr>
          <w:b/>
        </w:rPr>
        <w:lastRenderedPageBreak/>
        <w:t>References</w:t>
      </w:r>
    </w:p>
    <w:p w14:paraId="642ECC2B" w14:textId="77777777" w:rsidR="00A06D33" w:rsidRDefault="00BA55A1">
      <w:pPr>
        <w:spacing w:line="480" w:lineRule="auto"/>
        <w:ind w:left="720" w:hanging="720"/>
      </w:pPr>
      <w:r>
        <w:rPr>
          <w:rFonts w:cs="Times New Roman"/>
          <w:b/>
          <w:bCs/>
        </w:rPr>
        <w:t>Beats BC</w:t>
      </w:r>
      <w:r>
        <w:rPr>
          <w:rFonts w:cs="Times New Roman"/>
          <w:bCs/>
        </w:rPr>
        <w:t xml:space="preserve">, </w:t>
      </w:r>
      <w:r>
        <w:rPr>
          <w:rFonts w:cs="Times New Roman"/>
          <w:b/>
          <w:bCs/>
        </w:rPr>
        <w:t>Sahakian BJ</w:t>
      </w:r>
      <w:r>
        <w:rPr>
          <w:rFonts w:cs="Times New Roman"/>
          <w:bCs/>
        </w:rPr>
        <w:t xml:space="preserve">, </w:t>
      </w:r>
      <w:r>
        <w:rPr>
          <w:rFonts w:cs="Times New Roman"/>
          <w:b/>
          <w:bCs/>
        </w:rPr>
        <w:t>Levy R</w:t>
      </w:r>
      <w:r>
        <w:rPr>
          <w:rFonts w:cs="Times New Roman"/>
          <w:bCs/>
        </w:rPr>
        <w:t xml:space="preserve"> (1996). Cognitive performance in tests sensitive to frontal lobe dysfunction in the elderly depressed. </w:t>
      </w:r>
      <w:r>
        <w:rPr>
          <w:rFonts w:cs="Times New Roman"/>
          <w:bCs/>
          <w:i/>
        </w:rPr>
        <w:t>Psychological Medicine</w:t>
      </w:r>
      <w:r>
        <w:rPr>
          <w:rFonts w:cs="Times New Roman"/>
          <w:bCs/>
        </w:rPr>
        <w:t xml:space="preserve"> </w:t>
      </w:r>
      <w:r>
        <w:rPr>
          <w:rFonts w:cs="Times New Roman"/>
          <w:b/>
          <w:bCs/>
        </w:rPr>
        <w:t>26</w:t>
      </w:r>
      <w:r>
        <w:rPr>
          <w:rFonts w:cs="Times New Roman"/>
          <w:bCs/>
        </w:rPr>
        <w:t>, 591-603.</w:t>
      </w:r>
    </w:p>
    <w:p w14:paraId="725B71F3" w14:textId="77777777" w:rsidR="00A06D33" w:rsidRDefault="00BA55A1">
      <w:pPr>
        <w:spacing w:line="480" w:lineRule="auto"/>
        <w:ind w:left="720" w:hanging="720"/>
      </w:pPr>
      <w:r>
        <w:rPr>
          <w:b/>
        </w:rPr>
        <w:t>Egner T</w:t>
      </w:r>
      <w:r>
        <w:t xml:space="preserve"> (2007). Congruency sequence effects and cognitive control. </w:t>
      </w:r>
      <w:r>
        <w:rPr>
          <w:i/>
        </w:rPr>
        <w:t>Cognitive, Affective and Behavioral Neuroscience</w:t>
      </w:r>
      <w:r>
        <w:t xml:space="preserve"> </w:t>
      </w:r>
      <w:r>
        <w:rPr>
          <w:b/>
        </w:rPr>
        <w:t>7</w:t>
      </w:r>
      <w:r>
        <w:t>, 380-390.</w:t>
      </w:r>
    </w:p>
    <w:p w14:paraId="392F596F" w14:textId="77777777" w:rsidR="00A06D33" w:rsidRDefault="00BA55A1">
      <w:pPr>
        <w:spacing w:line="480" w:lineRule="auto"/>
        <w:ind w:left="720" w:hanging="720"/>
      </w:pPr>
      <w:r>
        <w:rPr>
          <w:b/>
        </w:rPr>
        <w:t>Holmes AJ</w:t>
      </w:r>
      <w:r>
        <w:t xml:space="preserve">, </w:t>
      </w:r>
      <w:r>
        <w:rPr>
          <w:b/>
        </w:rPr>
        <w:t>Pizzagalli DA</w:t>
      </w:r>
      <w:r>
        <w:t xml:space="preserve"> (2007). Task feedback effects on conflict monitoring and executive control: Relationship to subclinical measures of depression. </w:t>
      </w:r>
      <w:r>
        <w:rPr>
          <w:i/>
          <w:iCs/>
        </w:rPr>
        <w:t>Emotion </w:t>
      </w:r>
      <w:r>
        <w:rPr>
          <w:b/>
        </w:rPr>
        <w:t>7</w:t>
      </w:r>
      <w:r>
        <w:t>, 68-76.</w:t>
      </w:r>
    </w:p>
    <w:p w14:paraId="6886CF5D" w14:textId="77777777" w:rsidR="00A06D33" w:rsidRDefault="00BA55A1">
      <w:pPr>
        <w:spacing w:line="480" w:lineRule="auto"/>
        <w:ind w:left="720" w:hanging="720"/>
      </w:pPr>
      <w:r>
        <w:rPr>
          <w:b/>
        </w:rPr>
        <w:t>Holmes AJ</w:t>
      </w:r>
      <w:r>
        <w:t xml:space="preserve">, </w:t>
      </w:r>
      <w:r>
        <w:rPr>
          <w:b/>
        </w:rPr>
        <w:t>Pizzagalli DA</w:t>
      </w:r>
      <w:r>
        <w:t xml:space="preserve"> (2008). Response conflict and frontocingulate dysfunction in unmedicated participants with Major Depression. </w:t>
      </w:r>
      <w:r>
        <w:rPr>
          <w:i/>
          <w:iCs/>
        </w:rPr>
        <w:t>Neuropsychologia</w:t>
      </w:r>
      <w:r>
        <w:t xml:space="preserve"> </w:t>
      </w:r>
      <w:r>
        <w:rPr>
          <w:b/>
        </w:rPr>
        <w:t>46</w:t>
      </w:r>
      <w:r>
        <w:t>, 2904-2913.</w:t>
      </w:r>
    </w:p>
    <w:p w14:paraId="16CE0D09" w14:textId="77777777" w:rsidR="00A06D33" w:rsidRDefault="00BA55A1">
      <w:pPr>
        <w:spacing w:line="480" w:lineRule="auto"/>
        <w:ind w:left="720" w:hanging="720"/>
      </w:pPr>
      <w:r>
        <w:rPr>
          <w:b/>
        </w:rPr>
        <w:t xml:space="preserve">Olvet DM, Hajcak G </w:t>
      </w:r>
      <w:r>
        <w:t xml:space="preserve">(2009). The stability of error-related brain activity with increasing trials. </w:t>
      </w:r>
      <w:r>
        <w:rPr>
          <w:i/>
        </w:rPr>
        <w:t>Psychophysiology</w:t>
      </w:r>
      <w:r>
        <w:t xml:space="preserve"> </w:t>
      </w:r>
      <w:r>
        <w:rPr>
          <w:b/>
        </w:rPr>
        <w:t>46</w:t>
      </w:r>
      <w:r>
        <w:t>, 957-961.</w:t>
      </w:r>
    </w:p>
    <w:p w14:paraId="79D6DB79" w14:textId="77777777" w:rsidR="00A06D33" w:rsidRDefault="00BA55A1">
      <w:pPr>
        <w:spacing w:line="480" w:lineRule="auto"/>
        <w:ind w:left="720" w:hanging="720"/>
      </w:pPr>
      <w:r>
        <w:rPr>
          <w:b/>
        </w:rPr>
        <w:t>Ratcliff R, McKoon G</w:t>
      </w:r>
      <w:r>
        <w:t xml:space="preserve"> (2008). The diffusion decision model: theory and data for two-choice decision tasks. </w:t>
      </w:r>
      <w:r>
        <w:rPr>
          <w:i/>
        </w:rPr>
        <w:t>Neural Computation</w:t>
      </w:r>
      <w:r>
        <w:t xml:space="preserve"> </w:t>
      </w:r>
      <w:r>
        <w:rPr>
          <w:b/>
        </w:rPr>
        <w:t>20</w:t>
      </w:r>
      <w:r>
        <w:t>, 873-922.</w:t>
      </w:r>
    </w:p>
    <w:p w14:paraId="42AE9C8E" w14:textId="77777777" w:rsidR="00A06D33" w:rsidRDefault="00BA55A1">
      <w:pPr>
        <w:spacing w:line="480" w:lineRule="auto"/>
        <w:ind w:left="720" w:hanging="720"/>
      </w:pPr>
      <w:r>
        <w:rPr>
          <w:b/>
          <w:bCs/>
        </w:rPr>
        <w:t>Wiecki TV, Frank MJ</w:t>
      </w:r>
      <w:r>
        <w:t xml:space="preserve"> (2013). A computational model of inhibitory control in frontal cortex and basal ganglia. </w:t>
      </w:r>
      <w:r>
        <w:rPr>
          <w:i/>
          <w:iCs/>
        </w:rPr>
        <w:t>Psychological Review</w:t>
      </w:r>
      <w:r>
        <w:t xml:space="preserve"> </w:t>
      </w:r>
      <w:r>
        <w:rPr>
          <w:b/>
          <w:bCs/>
        </w:rPr>
        <w:t>120</w:t>
      </w:r>
      <w:r>
        <w:t>, 329-355.</w:t>
      </w:r>
    </w:p>
    <w:p w14:paraId="3FB8C722" w14:textId="77777777" w:rsidR="00A06D33" w:rsidRDefault="00A06D33">
      <w:pPr>
        <w:spacing w:line="480" w:lineRule="auto"/>
        <w:ind w:left="720" w:hanging="720"/>
      </w:pPr>
    </w:p>
    <w:p w14:paraId="2EBC2B22" w14:textId="77777777" w:rsidR="00A06D33" w:rsidRDefault="00A06D33">
      <w:pPr>
        <w:spacing w:line="480" w:lineRule="auto"/>
        <w:ind w:left="720" w:hanging="720"/>
      </w:pPr>
    </w:p>
    <w:p w14:paraId="03CF91A5" w14:textId="77777777" w:rsidR="00A06D33" w:rsidRDefault="00A06D33">
      <w:pPr>
        <w:spacing w:line="480" w:lineRule="auto"/>
        <w:ind w:left="720" w:hanging="720"/>
      </w:pPr>
    </w:p>
    <w:p w14:paraId="4D1315B2" w14:textId="77777777" w:rsidR="00A06D33" w:rsidRDefault="00A06D33">
      <w:pPr>
        <w:spacing w:line="480" w:lineRule="auto"/>
        <w:ind w:left="720" w:hanging="720"/>
      </w:pPr>
    </w:p>
    <w:p w14:paraId="703434B0" w14:textId="77777777" w:rsidR="00A06D33" w:rsidRDefault="00A06D33">
      <w:pPr>
        <w:pStyle w:val="Footer"/>
      </w:pPr>
    </w:p>
    <w:sectPr w:rsidR="00A06D33">
      <w:footerReference w:type="default" r:id="rId8"/>
      <w:pgSz w:w="12240" w:h="15840"/>
      <w:pgMar w:top="1440" w:right="1440" w:bottom="1440" w:left="1440"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9BB39" w14:textId="77777777" w:rsidR="00EF2B01" w:rsidRDefault="00EF2B01">
      <w:r>
        <w:separator/>
      </w:r>
    </w:p>
  </w:endnote>
  <w:endnote w:type="continuationSeparator" w:id="0">
    <w:p w14:paraId="39508D0D" w14:textId="77777777" w:rsidR="00EF2B01" w:rsidRDefault="00EF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ndale Mono">
    <w:altName w:val="MV Bol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5B45B" w14:textId="77777777" w:rsidR="00085682" w:rsidRDefault="00085682">
    <w:pPr>
      <w:pStyle w:val="Footer"/>
      <w:ind w:right="360"/>
    </w:pPr>
    <w:r>
      <w:rPr>
        <w:noProof/>
        <w:lang w:val="en-GB" w:eastAsia="en-GB"/>
      </w:rPr>
      <mc:AlternateContent>
        <mc:Choice Requires="wps">
          <w:drawing>
            <wp:anchor distT="0" distB="0" distL="0" distR="0" simplePos="0" relativeHeight="6" behindDoc="1" locked="0" layoutInCell="1" allowOverlap="1" wp14:anchorId="51E95127" wp14:editId="7EDB3974">
              <wp:simplePos x="0" y="0"/>
              <wp:positionH relativeFrom="margin">
                <wp:align>right</wp:align>
              </wp:positionH>
              <wp:positionV relativeFrom="paragraph">
                <wp:posOffset>635</wp:posOffset>
              </wp:positionV>
              <wp:extent cx="768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3B3813BF" w14:textId="77777777" w:rsidR="00085682" w:rsidRDefault="00085682">
                          <w:pPr>
                            <w:pStyle w:val="Footer"/>
                          </w:pPr>
                          <w:r>
                            <w:fldChar w:fldCharType="begin"/>
                          </w:r>
                          <w:r>
                            <w:instrText>PAGE</w:instrText>
                          </w:r>
                          <w:r>
                            <w:fldChar w:fldCharType="separate"/>
                          </w:r>
                          <w:r w:rsidR="004F1D53">
                            <w:rPr>
                              <w:noProof/>
                            </w:rPr>
                            <w:t>1</w:t>
                          </w:r>
                          <w:r>
                            <w:fldChar w:fldCharType="end"/>
                          </w:r>
                        </w:p>
                      </w:txbxContent>
                    </wps:txbx>
                    <wps:bodyPr lIns="0" tIns="0" rIns="0" bIns="0" anchor="t">
                      <a:spAutoFit/>
                    </wps:bodyPr>
                  </wps:wsp>
                </a:graphicData>
              </a:graphic>
            </wp:anchor>
          </w:drawing>
        </mc:Choice>
        <mc:Fallback>
          <w:pict>
            <v:shapetype w14:anchorId="51E95127" id="_x0000_t202" coordsize="21600,21600" o:spt="202" path="m,l,21600r21600,l21600,xe">
              <v:stroke joinstyle="miter"/>
              <v:path gradientshapeok="t" o:connecttype="rect"/>
            </v:shapetype>
            <v:shape id="Frame1" o:spid="_x0000_s1026" type="#_x0000_t202" style="position:absolute;margin-left:-45.15pt;margin-top:.05pt;width:6.05pt;height:13.8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" stroked="f">
              <v:fill opacity="0"/>
              <v:textbox style="mso-fit-shape-to-text:t" inset="0,0,0,0">
                <w:txbxContent>
                  <w:p w14:paraId="3B3813BF" w14:textId="77777777" w:rsidR="00085682" w:rsidRDefault="00085682">
                    <w:pPr>
                      <w:pStyle w:val="Footer"/>
                    </w:pPr>
                    <w:r>
                      <w:fldChar w:fldCharType="begin"/>
                    </w:r>
                    <w:r>
                      <w:instrText>PAGE</w:instrText>
                    </w:r>
                    <w:r>
                      <w:fldChar w:fldCharType="separate"/>
                    </w:r>
                    <w:r w:rsidR="004F1D53">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0032D" w14:textId="77777777" w:rsidR="00EF2B01" w:rsidRDefault="00EF2B01">
      <w:r>
        <w:separator/>
      </w:r>
    </w:p>
  </w:footnote>
  <w:footnote w:type="continuationSeparator" w:id="0">
    <w:p w14:paraId="0033AAB2" w14:textId="77777777" w:rsidR="00EF2B01" w:rsidRDefault="00EF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33"/>
    <w:rsid w:val="00085682"/>
    <w:rsid w:val="001A2905"/>
    <w:rsid w:val="002C3564"/>
    <w:rsid w:val="00385756"/>
    <w:rsid w:val="003D1202"/>
    <w:rsid w:val="004F1D53"/>
    <w:rsid w:val="00557BFB"/>
    <w:rsid w:val="006760CF"/>
    <w:rsid w:val="0080599D"/>
    <w:rsid w:val="009C63F4"/>
    <w:rsid w:val="00A06D33"/>
    <w:rsid w:val="00BA55A1"/>
    <w:rsid w:val="00CA1DD5"/>
    <w:rsid w:val="00EA19DE"/>
    <w:rsid w:val="00EF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D73C7"/>
  <w15:docId w15:val="{4DCE713B-58F0-4658-B42A-EA918205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9CB"/>
    <w:pPr>
      <w:suppressAutoHyphens/>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0320F4"/>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764F"/>
    <w:rPr>
      <w:sz w:val="18"/>
      <w:szCs w:val="18"/>
    </w:rPr>
  </w:style>
  <w:style w:type="character" w:customStyle="1" w:styleId="CommentTextChar">
    <w:name w:val="Comment Text Char"/>
    <w:basedOn w:val="DefaultParagraphFont"/>
    <w:link w:val="CommentText"/>
    <w:uiPriority w:val="99"/>
    <w:semiHidden/>
    <w:rsid w:val="00F0764F"/>
    <w:rPr>
      <w:rFonts w:ascii="Times New Roman" w:hAnsi="Times New Roman"/>
    </w:rPr>
  </w:style>
  <w:style w:type="character" w:customStyle="1" w:styleId="CommentSubjectChar">
    <w:name w:val="Comment Subject Char"/>
    <w:basedOn w:val="CommentTextChar"/>
    <w:link w:val="CommentSubject"/>
    <w:uiPriority w:val="99"/>
    <w:semiHidden/>
    <w:rsid w:val="00F0764F"/>
    <w:rPr>
      <w:rFonts w:ascii="Times New Roman" w:hAnsi="Times New Roman"/>
      <w:b/>
      <w:bCs/>
      <w:sz w:val="20"/>
      <w:szCs w:val="20"/>
    </w:rPr>
  </w:style>
  <w:style w:type="character" w:customStyle="1" w:styleId="FooterChar">
    <w:name w:val="Footer Char"/>
    <w:basedOn w:val="DefaultParagraphFont"/>
    <w:link w:val="Footer"/>
    <w:uiPriority w:val="99"/>
    <w:rsid w:val="00216172"/>
    <w:rPr>
      <w:rFonts w:ascii="Times New Roman" w:hAnsi="Times New Roman"/>
    </w:rPr>
  </w:style>
  <w:style w:type="character" w:styleId="PageNumber">
    <w:name w:val="page number"/>
    <w:basedOn w:val="DefaultParagraphFont"/>
    <w:uiPriority w:val="99"/>
    <w:semiHidden/>
    <w:unhideWhenUsed/>
    <w:rsid w:val="00216172"/>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link w:val="BalloonTextChar"/>
    <w:uiPriority w:val="99"/>
    <w:semiHidden/>
    <w:unhideWhenUsed/>
    <w:rsid w:val="000320F4"/>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F0764F"/>
  </w:style>
  <w:style w:type="paragraph" w:styleId="CommentSubject">
    <w:name w:val="annotation subject"/>
    <w:basedOn w:val="CommentText"/>
    <w:link w:val="CommentSubjectChar"/>
    <w:uiPriority w:val="99"/>
    <w:semiHidden/>
    <w:unhideWhenUsed/>
    <w:rsid w:val="00F0764F"/>
    <w:rPr>
      <w:b/>
      <w:bCs/>
      <w:sz w:val="20"/>
      <w:szCs w:val="20"/>
    </w:rPr>
  </w:style>
  <w:style w:type="paragraph" w:styleId="Footer">
    <w:name w:val="footer"/>
    <w:basedOn w:val="Normal"/>
    <w:link w:val="FooterChar"/>
    <w:uiPriority w:val="99"/>
    <w:unhideWhenUsed/>
    <w:rsid w:val="00216172"/>
    <w:pPr>
      <w:tabs>
        <w:tab w:val="center" w:pos="4320"/>
        <w:tab w:val="right" w:pos="8640"/>
      </w:tabs>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Dillon</dc:creator>
  <cp:lastModifiedBy>User</cp:lastModifiedBy>
  <cp:revision>11</cp:revision>
  <cp:lastPrinted>2014-12-11T20:24:00Z</cp:lastPrinted>
  <dcterms:created xsi:type="dcterms:W3CDTF">2014-12-17T00:26:00Z</dcterms:created>
  <dcterms:modified xsi:type="dcterms:W3CDTF">2015-02-04T11:13:00Z</dcterms:modified>
  <dc:language>en-US</dc:language>
</cp:coreProperties>
</file>