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84" w:rsidRPr="006A2E14" w:rsidRDefault="008F3184" w:rsidP="008F3184">
      <w:pPr>
        <w:spacing w:after="200" w:line="240" w:lineRule="auto"/>
        <w:contextualSpacing w:val="0"/>
        <w:jc w:val="left"/>
        <w:rPr>
          <w:rFonts w:eastAsiaTheme="minorEastAsia"/>
          <w:b/>
          <w:color w:val="auto"/>
          <w:lang w:eastAsia="nl-NL"/>
        </w:rPr>
      </w:pPr>
      <w:r w:rsidRPr="006A2E14">
        <w:rPr>
          <w:rFonts w:eastAsiaTheme="minorEastAsia"/>
          <w:b/>
          <w:color w:val="auto"/>
          <w:lang w:eastAsia="nl-NL"/>
        </w:rPr>
        <w:t xml:space="preserve">Table S1. Confounding effects of psychological and social factors on life events and mood episode onset </w:t>
      </w:r>
    </w:p>
    <w:tbl>
      <w:tblPr>
        <w:tblStyle w:val="Lichtearcering13"/>
        <w:tblpPr w:leftFromText="141" w:rightFromText="141" w:vertAnchor="text" w:horzAnchor="margin" w:tblpY="62"/>
        <w:tblW w:w="8778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669"/>
        <w:gridCol w:w="3515"/>
        <w:gridCol w:w="1313"/>
        <w:gridCol w:w="1269"/>
        <w:gridCol w:w="1012"/>
      </w:tblGrid>
      <w:tr w:rsidR="008F3184" w:rsidRPr="006A2E14" w:rsidTr="00432402">
        <w:trPr>
          <w:cnfStyle w:val="100000000000"/>
        </w:trPr>
        <w:tc>
          <w:tcPr>
            <w:cnfStyle w:val="001000000000"/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184" w:rsidRPr="006A2E14" w:rsidRDefault="008F3184" w:rsidP="00432402">
            <w:pPr>
              <w:spacing w:line="240" w:lineRule="auto"/>
              <w:ind w:firstLine="708"/>
              <w:contextualSpacing w:val="0"/>
              <w:jc w:val="left"/>
              <w:cnfStyle w:val="100000000000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1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coefficient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100000000000"/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exp coef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1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i/>
                <w:color w:val="000000" w:themeColor="text1" w:themeShade="BF"/>
                <w:lang w:val="nl-NL"/>
              </w:rPr>
              <w:t>p</w:t>
            </w:r>
          </w:p>
        </w:tc>
      </w:tr>
      <w:tr w:rsidR="008F3184" w:rsidRPr="006A2E14" w:rsidTr="00432402">
        <w:trPr>
          <w:cnfStyle w:val="000000100000"/>
          <w:trHeight w:val="284"/>
        </w:trPr>
        <w:tc>
          <w:tcPr>
            <w:cnfStyle w:val="001000000000"/>
            <w:tcW w:w="16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 xml:space="preserve">Baseline 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1.14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</w:tc>
      </w:tr>
      <w:tr w:rsidR="008F3184" w:rsidRPr="006A2E14" w:rsidTr="00432402">
        <w:trPr>
          <w:trHeight w:val="92"/>
        </w:trPr>
        <w:tc>
          <w:tcPr>
            <w:cnfStyle w:val="001000000000"/>
            <w:tcW w:w="1669" w:type="dxa"/>
            <w:tcBorders>
              <w:top w:val="single" w:sz="18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Temperament</w:t>
            </w:r>
          </w:p>
        </w:tc>
        <w:tc>
          <w:tcPr>
            <w:tcW w:w="35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10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</w:tr>
      <w:tr w:rsidR="008F3184" w:rsidRPr="006A2E14" w:rsidTr="00432402">
        <w:trPr>
          <w:cnfStyle w:val="000000100000"/>
          <w:trHeight w:val="92"/>
        </w:trPr>
        <w:tc>
          <w:tcPr>
            <w:cnfStyle w:val="001000000000"/>
            <w:tcW w:w="1669" w:type="dxa"/>
            <w:tcBorders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Novelty seeking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.124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1.13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1.07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.24</w:t>
            </w:r>
          </w:p>
        </w:tc>
      </w:tr>
      <w:tr w:rsidR="008F3184" w:rsidRPr="006A2E14" w:rsidTr="00432402">
        <w:trPr>
          <w:trHeight w:val="213"/>
        </w:trPr>
        <w:tc>
          <w:tcPr>
            <w:cnfStyle w:val="001000000000"/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Harm avoidance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.127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1.14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</w:tc>
      </w:tr>
      <w:tr w:rsidR="008F3184" w:rsidRPr="006A2E14" w:rsidTr="00432402">
        <w:trPr>
          <w:cnfStyle w:val="000000100000"/>
          <w:trHeight w:val="305"/>
        </w:trPr>
        <w:tc>
          <w:tcPr>
            <w:cnfStyle w:val="001000000000"/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Reward dependence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.133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1.14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1.07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.20</w:t>
            </w:r>
          </w:p>
        </w:tc>
      </w:tr>
      <w:tr w:rsidR="008F3184" w:rsidRPr="006A2E14" w:rsidTr="00432402">
        <w:trPr>
          <w:trHeight w:val="504"/>
        </w:trPr>
        <w:tc>
          <w:tcPr>
            <w:cnfStyle w:val="001000000000"/>
            <w:tcW w:w="16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Persistence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.126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1.13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.46</w:t>
            </w:r>
          </w:p>
        </w:tc>
      </w:tr>
      <w:tr w:rsidR="008F3184" w:rsidRPr="006A2E14" w:rsidTr="00432402">
        <w:trPr>
          <w:cnfStyle w:val="000000100000"/>
          <w:trHeight w:val="132"/>
        </w:trPr>
        <w:tc>
          <w:tcPr>
            <w:cnfStyle w:val="001000000000"/>
            <w:tcW w:w="1669" w:type="dxa"/>
            <w:tcBorders>
              <w:top w:val="single" w:sz="18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Coping</w:t>
            </w:r>
          </w:p>
        </w:tc>
        <w:tc>
          <w:tcPr>
            <w:tcW w:w="35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10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</w:tr>
      <w:tr w:rsidR="008F3184" w:rsidRPr="006A2E14" w:rsidTr="00432402">
        <w:trPr>
          <w:trHeight w:val="203"/>
        </w:trPr>
        <w:tc>
          <w:tcPr>
            <w:cnfStyle w:val="001000000000"/>
            <w:tcW w:w="1669" w:type="dxa"/>
            <w:tcBorders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Active tackling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.215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-.065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1.24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.93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.09</w:t>
            </w:r>
          </w:p>
        </w:tc>
      </w:tr>
      <w:tr w:rsidR="008F3184" w:rsidRPr="006A2E14" w:rsidTr="00432402">
        <w:trPr>
          <w:cnfStyle w:val="000000100000"/>
          <w:trHeight w:val="172"/>
        </w:trPr>
        <w:tc>
          <w:tcPr>
            <w:cnfStyle w:val="001000000000"/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Palliative response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.215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1.24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.15</w:t>
            </w:r>
          </w:p>
        </w:tc>
      </w:tr>
      <w:tr w:rsidR="008F3184" w:rsidRPr="006A2E14" w:rsidTr="00432402">
        <w:trPr>
          <w:trHeight w:val="172"/>
        </w:trPr>
        <w:tc>
          <w:tcPr>
            <w:cnfStyle w:val="001000000000"/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Avoidance and passive expectancy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.221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-.013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1.24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.986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.76</w:t>
            </w:r>
          </w:p>
        </w:tc>
      </w:tr>
      <w:tr w:rsidR="008F3184" w:rsidRPr="006A2E14" w:rsidTr="00432402">
        <w:trPr>
          <w:cnfStyle w:val="000000100000"/>
          <w:trHeight w:val="172"/>
        </w:trPr>
        <w:tc>
          <w:tcPr>
            <w:cnfStyle w:val="001000000000"/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Seeking social support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.209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1.23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1.04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.28</w:t>
            </w:r>
          </w:p>
        </w:tc>
      </w:tr>
      <w:tr w:rsidR="008F3184" w:rsidRPr="006A2E14" w:rsidTr="00432402">
        <w:trPr>
          <w:trHeight w:val="172"/>
        </w:trPr>
        <w:tc>
          <w:tcPr>
            <w:cnfStyle w:val="001000000000"/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b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Passive reacting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.196</w:t>
            </w:r>
            <w:r w:rsidRPr="006A2E14">
              <w:rPr>
                <w:rFonts w:eastAsiaTheme="minorEastAsia"/>
                <w:color w:val="000000" w:themeColor="text1" w:themeShade="BF"/>
                <w:sz w:val="20"/>
                <w:vertAlign w:val="superscript"/>
                <w:lang w:val="en-GB"/>
              </w:rPr>
              <w:t>*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.209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1.22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1.23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&lt;.001</w:t>
            </w:r>
          </w:p>
        </w:tc>
      </w:tr>
      <w:tr w:rsidR="008F3184" w:rsidRPr="006A2E14" w:rsidTr="00432402">
        <w:trPr>
          <w:cnfStyle w:val="000000100000"/>
          <w:trHeight w:val="172"/>
        </w:trPr>
        <w:tc>
          <w:tcPr>
            <w:cnfStyle w:val="001000000000"/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Expression of emotion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.215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1.24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1.14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.16</w:t>
            </w:r>
          </w:p>
        </w:tc>
      </w:tr>
      <w:tr w:rsidR="008F3184" w:rsidRPr="006A2E14" w:rsidTr="00432402">
        <w:trPr>
          <w:trHeight w:val="172"/>
        </w:trPr>
        <w:tc>
          <w:tcPr>
            <w:cnfStyle w:val="001000000000"/>
            <w:tcW w:w="16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Reassuring thoughts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.222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-.037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1.25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.964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.40</w:t>
            </w:r>
          </w:p>
        </w:tc>
      </w:tr>
      <w:tr w:rsidR="008F3184" w:rsidRPr="006A2E14" w:rsidTr="00432402">
        <w:trPr>
          <w:cnfStyle w:val="000000100000"/>
          <w:trHeight w:val="172"/>
        </w:trPr>
        <w:tc>
          <w:tcPr>
            <w:cnfStyle w:val="001000000000"/>
            <w:tcW w:w="521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 xml:space="preserve">Parental rearing 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10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</w:tr>
      <w:tr w:rsidR="008F3184" w:rsidRPr="006A2E14" w:rsidTr="00432402">
        <w:trPr>
          <w:trHeight w:val="132"/>
        </w:trPr>
        <w:tc>
          <w:tcPr>
            <w:cnfStyle w:val="001000000000"/>
            <w:tcW w:w="1669" w:type="dxa"/>
            <w:tcBorders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Rejection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.124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.252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1.13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1.29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&lt;.001</w:t>
            </w:r>
          </w:p>
        </w:tc>
      </w:tr>
      <w:tr w:rsidR="008F3184" w:rsidRPr="006A2E14" w:rsidTr="00432402">
        <w:trPr>
          <w:cnfStyle w:val="000000100000"/>
          <w:trHeight w:val="203"/>
        </w:trPr>
        <w:tc>
          <w:tcPr>
            <w:cnfStyle w:val="001000000000"/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 xml:space="preserve">Emotional warmth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.126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-.121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1.13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.886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</w:tc>
      </w:tr>
      <w:tr w:rsidR="008F3184" w:rsidRPr="006A2E14" w:rsidTr="00432402">
        <w:trPr>
          <w:trHeight w:val="172"/>
        </w:trPr>
        <w:tc>
          <w:tcPr>
            <w:cnfStyle w:val="001000000000"/>
            <w:tcW w:w="16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Protection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.121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1.13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1.02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.60</w:t>
            </w:r>
          </w:p>
        </w:tc>
      </w:tr>
    </w:tbl>
    <w:p w:rsidR="008F3184" w:rsidRPr="006A2E14" w:rsidRDefault="008F3184" w:rsidP="008F3184">
      <w:pPr>
        <w:spacing w:line="240" w:lineRule="auto"/>
        <w:contextualSpacing w:val="0"/>
        <w:jc w:val="left"/>
        <w:rPr>
          <w:rFonts w:eastAsiaTheme="minorEastAsia"/>
          <w:color w:val="auto"/>
          <w:sz w:val="20"/>
          <w:szCs w:val="20"/>
          <w:lang w:val="en-GB" w:eastAsia="nl-NL"/>
        </w:rPr>
      </w:pPr>
      <w:r w:rsidRPr="006A2E14">
        <w:rPr>
          <w:rFonts w:eastAsiaTheme="minorEastAsia"/>
          <w:color w:val="auto"/>
          <w:sz w:val="20"/>
          <w:szCs w:val="20"/>
          <w:vertAlign w:val="superscript"/>
          <w:lang w:val="en-GB" w:eastAsia="nl-NL"/>
        </w:rPr>
        <w:t>1</w:t>
      </w:r>
      <w:r w:rsidRPr="006A2E14">
        <w:rPr>
          <w:rFonts w:eastAsiaTheme="minorEastAsia"/>
          <w:color w:val="auto"/>
          <w:sz w:val="20"/>
          <w:szCs w:val="20"/>
          <w:lang w:val="en-GB" w:eastAsia="nl-NL"/>
        </w:rPr>
        <w:t>CL:  cumulative life event load including all severe events under model III (50% decay model)</w:t>
      </w:r>
    </w:p>
    <w:p w:rsidR="008F3184" w:rsidRPr="006A2E14" w:rsidRDefault="008F3184" w:rsidP="008F3184">
      <w:pPr>
        <w:spacing w:line="240" w:lineRule="auto"/>
        <w:contextualSpacing w:val="0"/>
        <w:jc w:val="left"/>
        <w:rPr>
          <w:rFonts w:eastAsiaTheme="minorEastAsia"/>
          <w:color w:val="auto"/>
          <w:sz w:val="20"/>
          <w:szCs w:val="20"/>
          <w:lang w:val="en-GB" w:eastAsia="nl-NL"/>
        </w:rPr>
      </w:pPr>
      <w:r w:rsidRPr="006A2E14">
        <w:rPr>
          <w:rFonts w:eastAsiaTheme="minorEastAsia"/>
          <w:color w:val="auto"/>
          <w:sz w:val="20"/>
          <w:szCs w:val="20"/>
          <w:lang w:val="en-GB" w:eastAsia="nl-NL"/>
        </w:rPr>
        <w:t>² Exponentiated coefficients, representing the hazard ratio</w:t>
      </w:r>
    </w:p>
    <w:p w:rsidR="008F3184" w:rsidRPr="006A2E14" w:rsidRDefault="008F3184" w:rsidP="008F3184">
      <w:pPr>
        <w:spacing w:line="240" w:lineRule="auto"/>
        <w:contextualSpacing w:val="0"/>
        <w:jc w:val="left"/>
        <w:rPr>
          <w:rFonts w:eastAsiaTheme="minorEastAsia"/>
          <w:color w:val="auto"/>
          <w:sz w:val="20"/>
          <w:vertAlign w:val="superscript"/>
          <w:lang w:val="en-GB" w:eastAsia="nl-NL"/>
        </w:rPr>
      </w:pPr>
      <w:r w:rsidRPr="006A2E14">
        <w:rPr>
          <w:rFonts w:eastAsiaTheme="minorEastAsia"/>
          <w:color w:val="auto"/>
          <w:sz w:val="20"/>
          <w:szCs w:val="20"/>
          <w:lang w:val="en-GB" w:eastAsia="nl-NL"/>
        </w:rPr>
        <w:t>* main effect is significant &amp; coefficient for life events changes &gt;10%; &lt;.114 or &gt;.140</w:t>
      </w:r>
      <w:r w:rsidRPr="006A2E14">
        <w:rPr>
          <w:rFonts w:eastAsiaTheme="minorEastAsia"/>
          <w:color w:val="auto"/>
          <w:sz w:val="20"/>
          <w:lang w:val="en-GB" w:eastAsia="nl-NL"/>
        </w:rPr>
        <w:br w:type="textWrapping" w:clear="all"/>
      </w:r>
    </w:p>
    <w:p w:rsidR="008F3184" w:rsidRPr="006A2E14" w:rsidRDefault="008F3184" w:rsidP="008F3184">
      <w:pPr>
        <w:spacing w:after="200" w:line="276" w:lineRule="auto"/>
        <w:contextualSpacing w:val="0"/>
        <w:jc w:val="left"/>
        <w:rPr>
          <w:rFonts w:eastAsiaTheme="minorEastAsia"/>
          <w:color w:val="auto"/>
          <w:sz w:val="20"/>
          <w:szCs w:val="20"/>
          <w:lang w:val="en-GB" w:eastAsia="nl-NL"/>
        </w:rPr>
      </w:pPr>
      <w:r w:rsidRPr="006A2E14">
        <w:rPr>
          <w:rFonts w:eastAsiaTheme="minorEastAsia"/>
          <w:color w:val="auto"/>
          <w:sz w:val="20"/>
          <w:szCs w:val="20"/>
          <w:lang w:val="en-GB" w:eastAsia="nl-NL"/>
        </w:rPr>
        <w:br w:type="page"/>
      </w:r>
    </w:p>
    <w:p w:rsidR="008F3184" w:rsidRPr="006A2E14" w:rsidRDefault="008F3184" w:rsidP="008F3184">
      <w:pPr>
        <w:spacing w:after="200" w:line="276" w:lineRule="auto"/>
        <w:contextualSpacing w:val="0"/>
        <w:jc w:val="left"/>
        <w:rPr>
          <w:rFonts w:eastAsiaTheme="minorEastAsia"/>
          <w:b/>
          <w:color w:val="auto"/>
          <w:lang w:eastAsia="nl-NL"/>
        </w:rPr>
      </w:pPr>
      <w:r w:rsidRPr="006A2E14">
        <w:rPr>
          <w:rFonts w:eastAsiaTheme="minorEastAsia"/>
          <w:b/>
          <w:color w:val="auto"/>
          <w:lang w:eastAsia="nl-NL"/>
        </w:rPr>
        <w:lastRenderedPageBreak/>
        <w:t xml:space="preserve">Table S2. Confounding effects of psychological and social factors on life events and mood episodes recurrence </w:t>
      </w:r>
    </w:p>
    <w:tbl>
      <w:tblPr>
        <w:tblStyle w:val="Lichtearcering13"/>
        <w:tblpPr w:leftFromText="141" w:rightFromText="141" w:vertAnchor="text" w:horzAnchor="margin" w:tblpY="62"/>
        <w:tblW w:w="9257" w:type="dxa"/>
        <w:tblBorders>
          <w:top w:val="none" w:sz="0" w:space="0" w:color="auto"/>
          <w:bottom w:val="none" w:sz="0" w:space="0" w:color="auto"/>
        </w:tblBorders>
        <w:tblLayout w:type="fixed"/>
        <w:tblLook w:val="04A0"/>
      </w:tblPr>
      <w:tblGrid>
        <w:gridCol w:w="1760"/>
        <w:gridCol w:w="3886"/>
        <w:gridCol w:w="1345"/>
        <w:gridCol w:w="1196"/>
        <w:gridCol w:w="1070"/>
      </w:tblGrid>
      <w:tr w:rsidR="008F3184" w:rsidRPr="006A2E14" w:rsidTr="00432402">
        <w:trPr>
          <w:cnfStyle w:val="100000000000"/>
          <w:trHeight w:val="235"/>
        </w:trPr>
        <w:tc>
          <w:tcPr>
            <w:cnfStyle w:val="001000000000"/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184" w:rsidRPr="006A2E14" w:rsidRDefault="008F3184" w:rsidP="00432402">
            <w:pPr>
              <w:spacing w:line="240" w:lineRule="auto"/>
              <w:ind w:firstLine="708"/>
              <w:contextualSpacing w:val="0"/>
              <w:jc w:val="left"/>
              <w:cnfStyle w:val="100000000000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1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coefficient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100000000000"/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exp coef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>c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1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i/>
                <w:color w:val="000000" w:themeColor="text1" w:themeShade="BF"/>
                <w:lang w:val="nl-NL"/>
              </w:rPr>
              <w:t>p</w:t>
            </w:r>
          </w:p>
        </w:tc>
      </w:tr>
      <w:tr w:rsidR="008F3184" w:rsidRPr="006A2E14" w:rsidTr="00432402">
        <w:trPr>
          <w:cnfStyle w:val="000000100000"/>
          <w:trHeight w:val="234"/>
        </w:trPr>
        <w:tc>
          <w:tcPr>
            <w:cnfStyle w:val="001000000000"/>
            <w:tcW w:w="17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Baseline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 xml:space="preserve">model 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>a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Previous episodes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>b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.078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.181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1.08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1.20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&lt;.001</w:t>
            </w:r>
          </w:p>
        </w:tc>
      </w:tr>
      <w:tr w:rsidR="008F3184" w:rsidRPr="006A2E14" w:rsidTr="00432402">
        <w:trPr>
          <w:trHeight w:val="234"/>
        </w:trPr>
        <w:tc>
          <w:tcPr>
            <w:cnfStyle w:val="001000000000"/>
            <w:tcW w:w="1760" w:type="dxa"/>
            <w:tcBorders>
              <w:top w:val="single" w:sz="18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Temperament</w:t>
            </w:r>
          </w:p>
        </w:tc>
        <w:tc>
          <w:tcPr>
            <w:tcW w:w="3885" w:type="dxa"/>
            <w:tcBorders>
              <w:top w:val="single" w:sz="18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13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11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10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</w:p>
        </w:tc>
      </w:tr>
      <w:tr w:rsidR="008F3184" w:rsidRPr="006A2E14" w:rsidTr="00432402">
        <w:trPr>
          <w:cnfStyle w:val="000000100000"/>
          <w:trHeight w:val="76"/>
        </w:trPr>
        <w:tc>
          <w:tcPr>
            <w:cnfStyle w:val="001000000000"/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Novelty seeking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.077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.195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.060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1.08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1.22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1.06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.30</w:t>
            </w:r>
          </w:p>
        </w:tc>
      </w:tr>
      <w:tr w:rsidR="008F3184" w:rsidRPr="006A2E14" w:rsidTr="00432402">
        <w:trPr>
          <w:trHeight w:val="76"/>
        </w:trPr>
        <w:tc>
          <w:tcPr>
            <w:cnfStyle w:val="001000000000"/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b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</w:rPr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</w:rPr>
              <w:t>Harm avoidance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.059*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.167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.084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1.06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1.18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1.09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.08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&lt;.05</w:t>
            </w:r>
          </w:p>
        </w:tc>
      </w:tr>
      <w:tr w:rsidR="008F3184" w:rsidRPr="006A2E14" w:rsidTr="00432402">
        <w:trPr>
          <w:cnfStyle w:val="000000100000"/>
          <w:trHeight w:val="175"/>
        </w:trPr>
        <w:tc>
          <w:tcPr>
            <w:cnfStyle w:val="001000000000"/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b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Reward dependence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.078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.178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b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.028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1.08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1.20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b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1.03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b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.60</w:t>
            </w:r>
          </w:p>
        </w:tc>
      </w:tr>
      <w:tr w:rsidR="008F3184" w:rsidRPr="006A2E14" w:rsidTr="00432402">
        <w:trPr>
          <w:trHeight w:val="252"/>
        </w:trPr>
        <w:tc>
          <w:tcPr>
            <w:cnfStyle w:val="001000000000"/>
            <w:tcW w:w="17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Persistence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.081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.183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.059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1.20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.11</w:t>
            </w:r>
          </w:p>
        </w:tc>
      </w:tr>
      <w:tr w:rsidR="008F3184" w:rsidRPr="006A2E14" w:rsidTr="00432402">
        <w:trPr>
          <w:cnfStyle w:val="000000100000"/>
          <w:trHeight w:val="416"/>
        </w:trPr>
        <w:tc>
          <w:tcPr>
            <w:cnfStyle w:val="001000000000"/>
            <w:tcW w:w="1760" w:type="dxa"/>
            <w:tcBorders>
              <w:top w:val="single" w:sz="18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Coping</w:t>
            </w:r>
          </w:p>
        </w:tc>
        <w:tc>
          <w:tcPr>
            <w:tcW w:w="38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13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11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10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</w:tr>
      <w:tr w:rsidR="008F3184" w:rsidRPr="006A2E14" w:rsidTr="00432402">
        <w:trPr>
          <w:trHeight w:val="109"/>
        </w:trPr>
        <w:tc>
          <w:tcPr>
            <w:cnfStyle w:val="001000000000"/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Active tackling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.085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.181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- .027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1.19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.97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.43</w:t>
            </w:r>
          </w:p>
        </w:tc>
      </w:tr>
      <w:tr w:rsidR="008F3184" w:rsidRPr="006A2E14" w:rsidTr="00432402">
        <w:trPr>
          <w:cnfStyle w:val="000000100000"/>
          <w:trHeight w:val="167"/>
        </w:trPr>
        <w:tc>
          <w:tcPr>
            <w:cnfStyle w:val="001000000000"/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Palliative response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.082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.176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.022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1.09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1.19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1.02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.47</w:t>
            </w:r>
          </w:p>
        </w:tc>
      </w:tr>
      <w:tr w:rsidR="008F3184" w:rsidRPr="006A2E14" w:rsidTr="00432402">
        <w:trPr>
          <w:trHeight w:val="142"/>
        </w:trPr>
        <w:tc>
          <w:tcPr>
            <w:cnfStyle w:val="001000000000"/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Avoidance and passive expectancy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.085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.177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-.006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1.09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1.19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.99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.86</w:t>
            </w:r>
          </w:p>
        </w:tc>
      </w:tr>
      <w:tr w:rsidR="008F3184" w:rsidRPr="006A2E14" w:rsidTr="00432402">
        <w:trPr>
          <w:cnfStyle w:val="000000100000"/>
          <w:trHeight w:val="142"/>
        </w:trPr>
        <w:tc>
          <w:tcPr>
            <w:cnfStyle w:val="001000000000"/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Seeking social support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.081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.177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.044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1.19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.31</w:t>
            </w:r>
          </w:p>
        </w:tc>
      </w:tr>
      <w:tr w:rsidR="008F3184" w:rsidRPr="006A2E14" w:rsidTr="00432402">
        <w:trPr>
          <w:trHeight w:val="142"/>
        </w:trPr>
        <w:tc>
          <w:tcPr>
            <w:cnfStyle w:val="001000000000"/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b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</w:rPr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</w:rPr>
              <w:t>Passive reacting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.057*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.169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.162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1.06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1.18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1.18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.12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&lt;.001</w:t>
            </w:r>
          </w:p>
        </w:tc>
      </w:tr>
      <w:tr w:rsidR="008F3184" w:rsidRPr="006A2E14" w:rsidTr="00432402">
        <w:trPr>
          <w:cnfStyle w:val="000000100000"/>
          <w:trHeight w:val="142"/>
        </w:trPr>
        <w:tc>
          <w:tcPr>
            <w:cnfStyle w:val="001000000000"/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b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Expression of emotion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.079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.179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b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.153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1.20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b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1.17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b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.11</w:t>
            </w:r>
          </w:p>
        </w:tc>
      </w:tr>
      <w:tr w:rsidR="008F3184" w:rsidRPr="006A2E14" w:rsidTr="00432402">
        <w:trPr>
          <w:trHeight w:val="142"/>
        </w:trPr>
        <w:tc>
          <w:tcPr>
            <w:cnfStyle w:val="001000000000"/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Reassuring thoughts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.086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.178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-.02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1.09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1.20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.98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>.63</w:t>
            </w:r>
          </w:p>
        </w:tc>
      </w:tr>
      <w:tr w:rsidR="008F3184" w:rsidRPr="006A2E14" w:rsidTr="00432402">
        <w:trPr>
          <w:cnfStyle w:val="000000100000"/>
          <w:trHeight w:val="225"/>
        </w:trPr>
        <w:tc>
          <w:tcPr>
            <w:cnfStyle w:val="001000000000"/>
            <w:tcW w:w="56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  <w:lang w:val="nl-NL"/>
              </w:rPr>
              <w:t xml:space="preserve">Parental rearing 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</w:p>
        </w:tc>
      </w:tr>
      <w:tr w:rsidR="008F3184" w:rsidRPr="006A2E14" w:rsidTr="00432402">
        <w:trPr>
          <w:trHeight w:val="142"/>
        </w:trPr>
        <w:tc>
          <w:tcPr>
            <w:cnfStyle w:val="001000000000"/>
            <w:tcW w:w="1760" w:type="dxa"/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b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</w:rPr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Rejection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.069*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.171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.151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1.07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1.19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1.16</w:t>
            </w:r>
          </w:p>
        </w:tc>
        <w:tc>
          <w:tcPr>
            <w:tcW w:w="1070" w:type="dxa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&lt;.05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&lt;.001</w:t>
            </w:r>
          </w:p>
        </w:tc>
      </w:tr>
      <w:tr w:rsidR="008F3184" w:rsidRPr="006A2E14" w:rsidTr="00432402">
        <w:trPr>
          <w:cnfStyle w:val="000000100000"/>
          <w:trHeight w:val="109"/>
        </w:trPr>
        <w:tc>
          <w:tcPr>
            <w:cnfStyle w:val="001000000000"/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  <w:vertAlign w:val="superscript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CL</w:t>
            </w:r>
            <w:r w:rsidRPr="006A2E14">
              <w:rPr>
                <w:rFonts w:eastAsiaTheme="minorEastAsia"/>
                <w:color w:val="000000" w:themeColor="text1" w:themeShade="BF"/>
                <w:vertAlign w:val="superscript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lastRenderedPageBreak/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b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 xml:space="preserve">Emotional warmth 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lastRenderedPageBreak/>
              <w:t>.071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lastRenderedPageBreak/>
              <w:t>.185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-.062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lastRenderedPageBreak/>
              <w:t>1.07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lastRenderedPageBreak/>
              <w:t>1.20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.93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lastRenderedPageBreak/>
              <w:t>.056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lastRenderedPageBreak/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1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color w:val="000000" w:themeColor="text1" w:themeShade="BF"/>
              </w:rPr>
              <w:t>.16</w:t>
            </w:r>
          </w:p>
        </w:tc>
      </w:tr>
      <w:tr w:rsidR="008F3184" w:rsidRPr="006A2E14" w:rsidTr="00432402">
        <w:trPr>
          <w:trHeight w:val="167"/>
        </w:trPr>
        <w:tc>
          <w:tcPr>
            <w:cnfStyle w:val="001000000000"/>
            <w:tcW w:w="17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rPr>
                <w:rFonts w:eastAsiaTheme="minorEastAsia"/>
                <w:color w:val="000000" w:themeColor="text1" w:themeShade="BF"/>
                <w:lang w:val="nl-NL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vertAlign w:val="superscript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CL</w:t>
            </w:r>
            <w:r w:rsidRPr="006A2E14">
              <w:rPr>
                <w:rFonts w:eastAsiaTheme="minorEastAsia"/>
                <w:b/>
                <w:color w:val="000000" w:themeColor="text1" w:themeShade="BF"/>
                <w:vertAlign w:val="superscript"/>
                <w:lang w:val="nl-NL"/>
              </w:rPr>
              <w:t xml:space="preserve"> 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</w:rPr>
              <w:t>Previous episodes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Protection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.066*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.182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.073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1.07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1.20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1.08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.056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b/>
                <w:color w:val="000000" w:themeColor="text1" w:themeShade="BF"/>
                <w:lang w:val="nl-NL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&lt;.001</w:t>
            </w:r>
          </w:p>
          <w:p w:rsidR="008F3184" w:rsidRPr="006A2E14" w:rsidRDefault="008F3184" w:rsidP="00432402">
            <w:pPr>
              <w:spacing w:line="240" w:lineRule="auto"/>
              <w:contextualSpacing w:val="0"/>
              <w:jc w:val="left"/>
              <w:cnfStyle w:val="000000000000"/>
              <w:rPr>
                <w:rFonts w:eastAsiaTheme="minorEastAsia"/>
                <w:color w:val="000000" w:themeColor="text1" w:themeShade="BF"/>
              </w:rPr>
            </w:pPr>
            <w:r w:rsidRPr="006A2E14">
              <w:rPr>
                <w:rFonts w:eastAsiaTheme="minorEastAsia"/>
                <w:b/>
                <w:color w:val="000000" w:themeColor="text1" w:themeShade="BF"/>
                <w:lang w:val="nl-NL"/>
              </w:rPr>
              <w:t>&lt;.05</w:t>
            </w:r>
          </w:p>
        </w:tc>
      </w:tr>
    </w:tbl>
    <w:p w:rsidR="008F3184" w:rsidRPr="006A2E14" w:rsidRDefault="008F3184" w:rsidP="008F3184">
      <w:pPr>
        <w:spacing w:line="240" w:lineRule="auto"/>
        <w:contextualSpacing w:val="0"/>
        <w:jc w:val="left"/>
        <w:rPr>
          <w:rFonts w:eastAsiaTheme="minorEastAsia"/>
          <w:color w:val="auto"/>
          <w:sz w:val="20"/>
          <w:szCs w:val="18"/>
          <w:lang w:val="en-GB" w:eastAsia="nl-NL"/>
        </w:rPr>
      </w:pPr>
    </w:p>
    <w:p w:rsidR="008F3184" w:rsidRPr="006A2E14" w:rsidRDefault="008F3184" w:rsidP="008F3184">
      <w:pPr>
        <w:spacing w:line="240" w:lineRule="auto"/>
        <w:contextualSpacing w:val="0"/>
        <w:jc w:val="left"/>
        <w:rPr>
          <w:rFonts w:eastAsiaTheme="minorEastAsia"/>
          <w:color w:val="auto"/>
          <w:sz w:val="20"/>
          <w:szCs w:val="20"/>
          <w:lang w:val="en-GB" w:eastAsia="nl-NL"/>
        </w:rPr>
      </w:pPr>
      <w:r w:rsidRPr="006A2E14">
        <w:rPr>
          <w:rFonts w:eastAsiaTheme="minorEastAsia"/>
          <w:color w:val="auto"/>
          <w:sz w:val="20"/>
          <w:szCs w:val="20"/>
          <w:vertAlign w:val="superscript"/>
          <w:lang w:val="en-GB" w:eastAsia="nl-NL"/>
        </w:rPr>
        <w:t>a</w:t>
      </w:r>
      <w:r w:rsidRPr="006A2E14">
        <w:rPr>
          <w:rFonts w:eastAsiaTheme="minorEastAsia"/>
          <w:color w:val="auto"/>
          <w:sz w:val="20"/>
          <w:szCs w:val="20"/>
          <w:lang w:val="en-GB" w:eastAsia="nl-NL"/>
        </w:rPr>
        <w:t xml:space="preserve"> CL; cumulative load including all severe events under the 50% decay model between episodes</w:t>
      </w:r>
    </w:p>
    <w:p w:rsidR="008F3184" w:rsidRPr="006A2E14" w:rsidRDefault="008F3184" w:rsidP="008F3184">
      <w:pPr>
        <w:spacing w:line="240" w:lineRule="auto"/>
        <w:contextualSpacing w:val="0"/>
        <w:jc w:val="left"/>
        <w:rPr>
          <w:rFonts w:eastAsiaTheme="minorEastAsia"/>
          <w:color w:val="auto"/>
          <w:sz w:val="20"/>
          <w:szCs w:val="20"/>
          <w:lang w:val="en-GB" w:eastAsia="nl-NL"/>
        </w:rPr>
      </w:pPr>
      <w:r w:rsidRPr="006A2E14">
        <w:rPr>
          <w:rFonts w:eastAsiaTheme="minorEastAsia"/>
          <w:color w:val="auto"/>
          <w:sz w:val="20"/>
          <w:szCs w:val="20"/>
          <w:vertAlign w:val="superscript"/>
          <w:lang w:val="en-GB" w:eastAsia="nl-NL"/>
        </w:rPr>
        <w:t xml:space="preserve">b </w:t>
      </w:r>
      <w:r w:rsidRPr="006A2E14">
        <w:rPr>
          <w:rFonts w:eastAsiaTheme="minorEastAsia"/>
          <w:color w:val="auto"/>
          <w:sz w:val="20"/>
          <w:szCs w:val="20"/>
          <w:lang w:val="en-GB" w:eastAsia="nl-NL"/>
        </w:rPr>
        <w:t>previous episodes = number of previous episoded</w:t>
      </w:r>
    </w:p>
    <w:p w:rsidR="008F3184" w:rsidRPr="006A2E14" w:rsidRDefault="008F3184" w:rsidP="008F3184">
      <w:pPr>
        <w:spacing w:line="240" w:lineRule="auto"/>
        <w:contextualSpacing w:val="0"/>
        <w:jc w:val="left"/>
        <w:rPr>
          <w:rFonts w:eastAsiaTheme="minorEastAsia"/>
          <w:color w:val="auto"/>
          <w:sz w:val="20"/>
          <w:szCs w:val="20"/>
          <w:lang w:val="en-GB" w:eastAsia="nl-NL"/>
        </w:rPr>
      </w:pPr>
      <w:r w:rsidRPr="006A2E14">
        <w:rPr>
          <w:rFonts w:eastAsiaTheme="minorEastAsia"/>
          <w:color w:val="auto"/>
          <w:sz w:val="20"/>
          <w:szCs w:val="20"/>
          <w:vertAlign w:val="superscript"/>
          <w:lang w:val="en-GB" w:eastAsia="nl-NL"/>
        </w:rPr>
        <w:t xml:space="preserve">c </w:t>
      </w:r>
      <w:r w:rsidRPr="006A2E14">
        <w:rPr>
          <w:rFonts w:eastAsiaTheme="minorEastAsia"/>
          <w:color w:val="auto"/>
          <w:sz w:val="20"/>
          <w:szCs w:val="20"/>
          <w:lang w:val="en-GB" w:eastAsia="nl-NL"/>
        </w:rPr>
        <w:t>Exponentiated coefficients, representing the hazard ratio</w:t>
      </w:r>
    </w:p>
    <w:p w:rsidR="008F3184" w:rsidRPr="006A2E14" w:rsidRDefault="008F3184" w:rsidP="008F3184">
      <w:pPr>
        <w:spacing w:line="240" w:lineRule="auto"/>
        <w:contextualSpacing w:val="0"/>
        <w:jc w:val="left"/>
        <w:rPr>
          <w:rFonts w:eastAsiaTheme="minorEastAsia" w:cstheme="minorBidi"/>
          <w:color w:val="auto"/>
          <w:sz w:val="20"/>
          <w:szCs w:val="20"/>
          <w:lang w:val="en-GB" w:eastAsia="nl-NL"/>
        </w:rPr>
      </w:pPr>
      <w:r w:rsidRPr="006A2E14">
        <w:rPr>
          <w:rFonts w:eastAsiaTheme="minorEastAsia"/>
          <w:color w:val="auto"/>
          <w:sz w:val="20"/>
          <w:szCs w:val="20"/>
          <w:lang w:val="en-GB" w:eastAsia="nl-NL"/>
        </w:rPr>
        <w:t>* main effect is significant &amp; coefficient for life events changes &gt;10%; &lt;.0702 or &gt;.0858</w:t>
      </w:r>
      <w:r w:rsidRPr="006A2E14">
        <w:rPr>
          <w:rFonts w:eastAsiaTheme="minorEastAsia"/>
          <w:color w:val="auto"/>
          <w:sz w:val="20"/>
          <w:szCs w:val="20"/>
          <w:lang w:val="en-GB" w:eastAsia="nl-NL"/>
        </w:rPr>
        <w:br w:type="textWrapping" w:clear="all"/>
      </w:r>
    </w:p>
    <w:p w:rsidR="008F3184" w:rsidRPr="00655539" w:rsidRDefault="008F3184" w:rsidP="008F3184">
      <w:pPr>
        <w:jc w:val="center"/>
        <w:rPr>
          <w:lang w:val="en-GB"/>
        </w:rPr>
      </w:pPr>
    </w:p>
    <w:p w:rsidR="00661EC3" w:rsidRPr="008F3184" w:rsidRDefault="000E07ED">
      <w:pPr>
        <w:rPr>
          <w:lang w:val="en-GB"/>
        </w:rPr>
      </w:pPr>
      <w:bookmarkStart w:id="0" w:name="_GoBack"/>
      <w:bookmarkEnd w:id="0"/>
    </w:p>
    <w:sectPr w:rsidR="00661EC3" w:rsidRPr="008F3184" w:rsidSect="00C76846">
      <w:footerReference w:type="default" r:id="rId6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7ED" w:rsidRDefault="000E07ED" w:rsidP="00AE5AD9">
      <w:pPr>
        <w:spacing w:line="240" w:lineRule="auto"/>
      </w:pPr>
      <w:r>
        <w:separator/>
      </w:r>
    </w:p>
  </w:endnote>
  <w:endnote w:type="continuationSeparator" w:id="0">
    <w:p w:rsidR="000E07ED" w:rsidRDefault="000E07ED" w:rsidP="00AE5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239543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5227" w:rsidRDefault="00AE5AD9" w:rsidP="00D7512C">
        <w:pPr>
          <w:pStyle w:val="Footer"/>
        </w:pPr>
        <w:r>
          <w:fldChar w:fldCharType="begin"/>
        </w:r>
        <w:r w:rsidR="008F3184">
          <w:instrText xml:space="preserve"> PAGE   \* MERGEFORMAT </w:instrText>
        </w:r>
        <w:r>
          <w:fldChar w:fldCharType="separate"/>
        </w:r>
        <w:r w:rsidR="003A50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5227" w:rsidRDefault="000E07ED" w:rsidP="009071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7ED" w:rsidRDefault="000E07ED" w:rsidP="00AE5AD9">
      <w:pPr>
        <w:spacing w:line="240" w:lineRule="auto"/>
      </w:pPr>
      <w:r>
        <w:separator/>
      </w:r>
    </w:p>
  </w:footnote>
  <w:footnote w:type="continuationSeparator" w:id="0">
    <w:p w:rsidR="000E07ED" w:rsidRDefault="000E07ED" w:rsidP="00AE5A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184"/>
    <w:rsid w:val="000E07ED"/>
    <w:rsid w:val="003A5095"/>
    <w:rsid w:val="008F3184"/>
    <w:rsid w:val="00AE5AD9"/>
    <w:rsid w:val="00B74FFB"/>
    <w:rsid w:val="00DD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84"/>
    <w:pPr>
      <w:spacing w:after="0" w:line="360" w:lineRule="auto"/>
      <w:contextualSpacing/>
      <w:jc w:val="both"/>
    </w:pPr>
    <w:rPr>
      <w:rFonts w:ascii="Calibri Light" w:eastAsia="Arial Unicode MS" w:hAnsi="Calibri Light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318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84"/>
    <w:rPr>
      <w:rFonts w:ascii="Calibri Light" w:eastAsia="Arial Unicode MS" w:hAnsi="Calibri Light" w:cs="Times New Roman"/>
      <w:color w:val="000000"/>
      <w:sz w:val="24"/>
      <w:szCs w:val="24"/>
      <w:lang w:val="en-US"/>
    </w:rPr>
  </w:style>
  <w:style w:type="table" w:customStyle="1" w:styleId="Lichtearcering13">
    <w:name w:val="Lichte arcering13"/>
    <w:basedOn w:val="TableNormal"/>
    <w:uiPriority w:val="60"/>
    <w:rsid w:val="008F3184"/>
    <w:pPr>
      <w:spacing w:after="0" w:line="240" w:lineRule="auto"/>
    </w:pPr>
    <w:rPr>
      <w:rFonts w:eastAsiaTheme="minorEastAsia"/>
      <w:color w:val="000000" w:themeColor="text1" w:themeShade="BF"/>
      <w:lang w:eastAsia="nl-N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Kemner</dc:creator>
  <cp:keywords/>
  <dc:description/>
  <cp:lastModifiedBy>Chris</cp:lastModifiedBy>
  <cp:revision>2</cp:revision>
  <dcterms:created xsi:type="dcterms:W3CDTF">2014-10-25T09:01:00Z</dcterms:created>
  <dcterms:modified xsi:type="dcterms:W3CDTF">2015-03-09T16:00:00Z</dcterms:modified>
</cp:coreProperties>
</file>