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BA7" w:rsidRDefault="009C6E4C" w:rsidP="00342BA7">
      <w:pPr>
        <w:spacing w:after="200" w:line="276" w:lineRule="auto"/>
        <w:rPr>
          <w:sz w:val="22"/>
          <w:szCs w:val="22"/>
        </w:rPr>
      </w:pPr>
      <w:r w:rsidRPr="009C6E4C">
        <w:rPr>
          <w:b/>
          <w:sz w:val="22"/>
          <w:szCs w:val="22"/>
        </w:rPr>
        <w:t>Supplementary</w:t>
      </w:r>
      <w:r w:rsidR="00342BA7" w:rsidRPr="009C6E4C">
        <w:rPr>
          <w:b/>
          <w:sz w:val="22"/>
          <w:szCs w:val="22"/>
        </w:rPr>
        <w:t xml:space="preserve"> Table </w:t>
      </w:r>
      <w:r w:rsidRPr="009C6E4C">
        <w:rPr>
          <w:b/>
          <w:sz w:val="22"/>
          <w:szCs w:val="22"/>
        </w:rPr>
        <w:t>S</w:t>
      </w:r>
      <w:r w:rsidR="00342BA7" w:rsidRPr="009C6E4C">
        <w:rPr>
          <w:b/>
          <w:sz w:val="22"/>
          <w:szCs w:val="22"/>
        </w:rPr>
        <w:t xml:space="preserve">1. </w:t>
      </w:r>
      <w:r w:rsidR="00342BA7">
        <w:rPr>
          <w:sz w:val="22"/>
          <w:szCs w:val="22"/>
        </w:rPr>
        <w:t>Partial Correlations between Neurocognitive and Symptom Change across Subjects</w:t>
      </w:r>
    </w:p>
    <w:tbl>
      <w:tblPr>
        <w:tblW w:w="919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350"/>
        <w:gridCol w:w="1440"/>
        <w:gridCol w:w="1620"/>
        <w:gridCol w:w="1530"/>
      </w:tblGrid>
      <w:tr w:rsidR="00342BA7" w:rsidRPr="00FB36E7" w:rsidTr="008C038D">
        <w:trPr>
          <w:trHeight w:val="432"/>
        </w:trPr>
        <w:tc>
          <w:tcPr>
            <w:tcW w:w="3256" w:type="dxa"/>
            <w:vAlign w:val="bottom"/>
          </w:tcPr>
          <w:p w:rsidR="00342BA7" w:rsidRDefault="00342BA7" w:rsidP="008C038D">
            <w:pPr>
              <w:jc w:val="center"/>
              <w:rPr>
                <w:b/>
              </w:rPr>
            </w:pPr>
          </w:p>
        </w:tc>
        <w:tc>
          <w:tcPr>
            <w:tcW w:w="1350" w:type="dxa"/>
            <w:vAlign w:val="bottom"/>
          </w:tcPr>
          <w:p w:rsidR="00342BA7" w:rsidRDefault="00342BA7" w:rsidP="008C03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Total SOPS Positive</w:t>
            </w:r>
          </w:p>
          <w:p w:rsidR="00342BA7" w:rsidRPr="00CD7FF8" w:rsidRDefault="00342BA7" w:rsidP="008C03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Symptoms</w:t>
            </w:r>
          </w:p>
        </w:tc>
        <w:tc>
          <w:tcPr>
            <w:tcW w:w="1440" w:type="dxa"/>
            <w:vAlign w:val="bottom"/>
          </w:tcPr>
          <w:p w:rsidR="00342BA7" w:rsidRDefault="00342BA7" w:rsidP="008C03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Total SOPS Negative</w:t>
            </w:r>
          </w:p>
          <w:p w:rsidR="00342BA7" w:rsidRPr="00CD7FF8" w:rsidRDefault="00342BA7" w:rsidP="008C03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Symptoms</w:t>
            </w:r>
          </w:p>
        </w:tc>
        <w:tc>
          <w:tcPr>
            <w:tcW w:w="1620" w:type="dxa"/>
            <w:noWrap/>
            <w:vAlign w:val="bottom"/>
          </w:tcPr>
          <w:p w:rsidR="00342BA7" w:rsidRDefault="00342BA7" w:rsidP="008C03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Total SOPS Disorganized</w:t>
            </w:r>
          </w:p>
          <w:p w:rsidR="00342BA7" w:rsidRPr="00CD7FF8" w:rsidRDefault="00342BA7" w:rsidP="008C03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Symptoms</w:t>
            </w:r>
          </w:p>
        </w:tc>
        <w:tc>
          <w:tcPr>
            <w:tcW w:w="1530" w:type="dxa"/>
            <w:vAlign w:val="bottom"/>
          </w:tcPr>
          <w:p w:rsidR="00342BA7" w:rsidRDefault="00342BA7" w:rsidP="008C03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Total SOPS General</w:t>
            </w:r>
          </w:p>
          <w:p w:rsidR="00342BA7" w:rsidRPr="00CD7FF8" w:rsidRDefault="00342BA7" w:rsidP="008C038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Symptoms</w:t>
            </w:r>
          </w:p>
        </w:tc>
      </w:tr>
      <w:tr w:rsidR="00342BA7" w:rsidRPr="00FB36E7" w:rsidTr="008C038D">
        <w:trPr>
          <w:trHeight w:val="413"/>
        </w:trPr>
        <w:tc>
          <w:tcPr>
            <w:tcW w:w="3256" w:type="dxa"/>
            <w:vAlign w:val="center"/>
          </w:tcPr>
          <w:p w:rsidR="00342BA7" w:rsidRPr="00974EB0" w:rsidRDefault="00342BA7" w:rsidP="008C038D">
            <w:r w:rsidRPr="00974EB0">
              <w:rPr>
                <w:sz w:val="22"/>
                <w:szCs w:val="22"/>
              </w:rPr>
              <w:t>IQ</w:t>
            </w:r>
          </w:p>
        </w:tc>
        <w:tc>
          <w:tcPr>
            <w:tcW w:w="1350" w:type="dxa"/>
            <w:vAlign w:val="center"/>
          </w:tcPr>
          <w:p w:rsidR="00342BA7" w:rsidRPr="00316408" w:rsidRDefault="00342BA7" w:rsidP="00E11F19">
            <w:pPr>
              <w:jc w:val="center"/>
            </w:pPr>
            <w:r w:rsidRPr="00316408">
              <w:t>-.29</w:t>
            </w:r>
          </w:p>
        </w:tc>
        <w:tc>
          <w:tcPr>
            <w:tcW w:w="1440" w:type="dxa"/>
            <w:vAlign w:val="center"/>
          </w:tcPr>
          <w:p w:rsidR="00342BA7" w:rsidRPr="00316408" w:rsidRDefault="00342BA7" w:rsidP="008C038D">
            <w:pPr>
              <w:jc w:val="center"/>
            </w:pPr>
            <w:r>
              <w:t>-.11</w:t>
            </w:r>
          </w:p>
        </w:tc>
        <w:tc>
          <w:tcPr>
            <w:tcW w:w="1620" w:type="dxa"/>
            <w:noWrap/>
            <w:vAlign w:val="center"/>
          </w:tcPr>
          <w:p w:rsidR="00342BA7" w:rsidRPr="00316408" w:rsidRDefault="00342BA7" w:rsidP="008C038D">
            <w:pPr>
              <w:jc w:val="center"/>
            </w:pPr>
            <w:r>
              <w:t>-.02</w:t>
            </w:r>
          </w:p>
        </w:tc>
        <w:tc>
          <w:tcPr>
            <w:tcW w:w="1530" w:type="dxa"/>
            <w:vAlign w:val="center"/>
          </w:tcPr>
          <w:p w:rsidR="00342BA7" w:rsidRDefault="00342BA7" w:rsidP="008C038D">
            <w:pPr>
              <w:jc w:val="center"/>
            </w:pPr>
            <w:r w:rsidRPr="00316408">
              <w:t>-.1</w:t>
            </w:r>
            <w:r>
              <w:t>5</w:t>
            </w:r>
          </w:p>
        </w:tc>
      </w:tr>
      <w:tr w:rsidR="00342BA7" w:rsidRPr="00FB36E7" w:rsidTr="008C038D">
        <w:trPr>
          <w:trHeight w:val="422"/>
        </w:trPr>
        <w:tc>
          <w:tcPr>
            <w:tcW w:w="3256" w:type="dxa"/>
            <w:vAlign w:val="center"/>
          </w:tcPr>
          <w:p w:rsidR="00342BA7" w:rsidRPr="00974EB0" w:rsidRDefault="00342BA7" w:rsidP="008C038D">
            <w:r w:rsidRPr="00974EB0">
              <w:rPr>
                <w:sz w:val="22"/>
                <w:szCs w:val="22"/>
              </w:rPr>
              <w:t>Global Neurocognitive</w:t>
            </w:r>
            <w:r>
              <w:rPr>
                <w:sz w:val="22"/>
                <w:szCs w:val="22"/>
              </w:rPr>
              <w:t xml:space="preserve"> </w:t>
            </w:r>
            <w:r w:rsidRPr="00974EB0">
              <w:rPr>
                <w:sz w:val="22"/>
                <w:szCs w:val="22"/>
              </w:rPr>
              <w:t>Composite</w:t>
            </w:r>
          </w:p>
        </w:tc>
        <w:tc>
          <w:tcPr>
            <w:tcW w:w="1350" w:type="dxa"/>
            <w:vAlign w:val="center"/>
          </w:tcPr>
          <w:p w:rsidR="00342BA7" w:rsidRPr="008C7403" w:rsidRDefault="00342BA7" w:rsidP="00E11F19">
            <w:pPr>
              <w:jc w:val="center"/>
            </w:pPr>
            <w:r>
              <w:t>-.32</w:t>
            </w:r>
          </w:p>
        </w:tc>
        <w:tc>
          <w:tcPr>
            <w:tcW w:w="1440" w:type="dxa"/>
            <w:vAlign w:val="center"/>
          </w:tcPr>
          <w:p w:rsidR="00342BA7" w:rsidRPr="008C7403" w:rsidRDefault="00342BA7" w:rsidP="008C038D">
            <w:pPr>
              <w:jc w:val="center"/>
            </w:pPr>
            <w:r>
              <w:t>.11</w:t>
            </w:r>
          </w:p>
        </w:tc>
        <w:tc>
          <w:tcPr>
            <w:tcW w:w="1620" w:type="dxa"/>
            <w:noWrap/>
            <w:vAlign w:val="center"/>
          </w:tcPr>
          <w:p w:rsidR="00342BA7" w:rsidRPr="008C7403" w:rsidRDefault="00342BA7" w:rsidP="00E11F19">
            <w:pPr>
              <w:jc w:val="center"/>
            </w:pPr>
            <w:r>
              <w:t>-.43</w:t>
            </w:r>
          </w:p>
        </w:tc>
        <w:tc>
          <w:tcPr>
            <w:tcW w:w="1530" w:type="dxa"/>
            <w:vAlign w:val="center"/>
          </w:tcPr>
          <w:p w:rsidR="00342BA7" w:rsidRDefault="00342BA7" w:rsidP="008C038D">
            <w:pPr>
              <w:jc w:val="center"/>
            </w:pPr>
            <w:r w:rsidRPr="008C7403">
              <w:t>.0</w:t>
            </w:r>
            <w:r>
              <w:t>6</w:t>
            </w:r>
          </w:p>
        </w:tc>
      </w:tr>
      <w:tr w:rsidR="00342BA7" w:rsidRPr="00FB36E7" w:rsidTr="008C038D">
        <w:trPr>
          <w:trHeight w:val="432"/>
        </w:trPr>
        <w:tc>
          <w:tcPr>
            <w:tcW w:w="3256" w:type="dxa"/>
            <w:vAlign w:val="center"/>
          </w:tcPr>
          <w:p w:rsidR="00342BA7" w:rsidRPr="00974EB0" w:rsidRDefault="00342BA7" w:rsidP="008C038D">
            <w:r w:rsidRPr="00974EB0">
              <w:rPr>
                <w:sz w:val="22"/>
                <w:szCs w:val="22"/>
              </w:rPr>
              <w:t>Verbal Memory</w:t>
            </w:r>
          </w:p>
        </w:tc>
        <w:tc>
          <w:tcPr>
            <w:tcW w:w="1350" w:type="dxa"/>
            <w:vAlign w:val="center"/>
          </w:tcPr>
          <w:p w:rsidR="00342BA7" w:rsidRPr="001E4BA6" w:rsidRDefault="00342BA7" w:rsidP="00E11F19">
            <w:pPr>
              <w:jc w:val="center"/>
            </w:pPr>
            <w:r w:rsidRPr="001E4BA6">
              <w:t>-.07</w:t>
            </w:r>
          </w:p>
        </w:tc>
        <w:tc>
          <w:tcPr>
            <w:tcW w:w="1440" w:type="dxa"/>
            <w:vAlign w:val="center"/>
          </w:tcPr>
          <w:p w:rsidR="00342BA7" w:rsidRPr="001E4BA6" w:rsidRDefault="00342BA7" w:rsidP="008C038D">
            <w:pPr>
              <w:jc w:val="center"/>
            </w:pPr>
            <w:r>
              <w:t>.13</w:t>
            </w:r>
          </w:p>
        </w:tc>
        <w:tc>
          <w:tcPr>
            <w:tcW w:w="1620" w:type="dxa"/>
            <w:noWrap/>
            <w:vAlign w:val="center"/>
          </w:tcPr>
          <w:p w:rsidR="00342BA7" w:rsidRPr="001E4BA6" w:rsidRDefault="00342BA7" w:rsidP="008C038D">
            <w:pPr>
              <w:jc w:val="center"/>
            </w:pPr>
            <w:r>
              <w:t>-.09</w:t>
            </w:r>
          </w:p>
        </w:tc>
        <w:tc>
          <w:tcPr>
            <w:tcW w:w="1530" w:type="dxa"/>
            <w:vAlign w:val="center"/>
          </w:tcPr>
          <w:p w:rsidR="00342BA7" w:rsidRDefault="00342BA7" w:rsidP="008C038D">
            <w:pPr>
              <w:jc w:val="center"/>
            </w:pPr>
            <w:r w:rsidRPr="001E4BA6">
              <w:t>-.0</w:t>
            </w:r>
            <w:r>
              <w:t>2</w:t>
            </w:r>
          </w:p>
        </w:tc>
      </w:tr>
      <w:tr w:rsidR="00342BA7" w:rsidRPr="00FB36E7" w:rsidTr="008C038D">
        <w:trPr>
          <w:trHeight w:val="432"/>
        </w:trPr>
        <w:tc>
          <w:tcPr>
            <w:tcW w:w="3256" w:type="dxa"/>
            <w:vAlign w:val="center"/>
          </w:tcPr>
          <w:p w:rsidR="00342BA7" w:rsidRPr="00974EB0" w:rsidRDefault="00342BA7" w:rsidP="008C038D">
            <w:r w:rsidRPr="00974EB0">
              <w:rPr>
                <w:sz w:val="22"/>
                <w:szCs w:val="22"/>
              </w:rPr>
              <w:t>Processing Speed</w:t>
            </w:r>
          </w:p>
        </w:tc>
        <w:tc>
          <w:tcPr>
            <w:tcW w:w="1350" w:type="dxa"/>
            <w:vAlign w:val="center"/>
          </w:tcPr>
          <w:p w:rsidR="00342BA7" w:rsidRPr="006D0E44" w:rsidRDefault="00342BA7" w:rsidP="00E11F19">
            <w:pPr>
              <w:jc w:val="center"/>
            </w:pPr>
            <w:r w:rsidRPr="006D0E44">
              <w:t>.12</w:t>
            </w:r>
          </w:p>
        </w:tc>
        <w:tc>
          <w:tcPr>
            <w:tcW w:w="1440" w:type="dxa"/>
            <w:vAlign w:val="center"/>
          </w:tcPr>
          <w:p w:rsidR="00342BA7" w:rsidRPr="006D0E44" w:rsidRDefault="00342BA7" w:rsidP="008C038D">
            <w:pPr>
              <w:jc w:val="center"/>
            </w:pPr>
            <w:r>
              <w:t>.13</w:t>
            </w:r>
          </w:p>
        </w:tc>
        <w:tc>
          <w:tcPr>
            <w:tcW w:w="1620" w:type="dxa"/>
            <w:noWrap/>
            <w:vAlign w:val="center"/>
          </w:tcPr>
          <w:p w:rsidR="00342BA7" w:rsidRPr="006D0E44" w:rsidRDefault="00342BA7" w:rsidP="008C038D">
            <w:pPr>
              <w:jc w:val="center"/>
            </w:pPr>
            <w:r>
              <w:t>.03</w:t>
            </w:r>
          </w:p>
        </w:tc>
        <w:tc>
          <w:tcPr>
            <w:tcW w:w="1530" w:type="dxa"/>
            <w:vAlign w:val="center"/>
          </w:tcPr>
          <w:p w:rsidR="00342BA7" w:rsidRDefault="00342BA7" w:rsidP="008C038D">
            <w:pPr>
              <w:jc w:val="center"/>
            </w:pPr>
            <w:r w:rsidRPr="006D0E44">
              <w:t>.00</w:t>
            </w:r>
          </w:p>
        </w:tc>
      </w:tr>
      <w:tr w:rsidR="00342BA7" w:rsidRPr="00FB36E7" w:rsidTr="008C038D">
        <w:trPr>
          <w:trHeight w:val="432"/>
        </w:trPr>
        <w:tc>
          <w:tcPr>
            <w:tcW w:w="3256" w:type="dxa"/>
            <w:vAlign w:val="center"/>
          </w:tcPr>
          <w:p w:rsidR="00342BA7" w:rsidRPr="00974EB0" w:rsidRDefault="00342BA7" w:rsidP="008C038D">
            <w:r w:rsidRPr="00974EB0">
              <w:rPr>
                <w:sz w:val="22"/>
                <w:szCs w:val="22"/>
              </w:rPr>
              <w:t>Sustained Attention</w:t>
            </w:r>
          </w:p>
        </w:tc>
        <w:tc>
          <w:tcPr>
            <w:tcW w:w="1350" w:type="dxa"/>
            <w:vAlign w:val="center"/>
          </w:tcPr>
          <w:p w:rsidR="00342BA7" w:rsidRPr="007F0C8D" w:rsidRDefault="00342BA7" w:rsidP="00E11F19">
            <w:pPr>
              <w:jc w:val="center"/>
            </w:pPr>
            <w:r>
              <w:t>-.37</w:t>
            </w:r>
          </w:p>
        </w:tc>
        <w:tc>
          <w:tcPr>
            <w:tcW w:w="1440" w:type="dxa"/>
            <w:vAlign w:val="center"/>
          </w:tcPr>
          <w:p w:rsidR="00342BA7" w:rsidRPr="007F0C8D" w:rsidRDefault="00342BA7" w:rsidP="008C038D">
            <w:pPr>
              <w:jc w:val="center"/>
            </w:pPr>
            <w:r>
              <w:t>-.15</w:t>
            </w:r>
          </w:p>
        </w:tc>
        <w:tc>
          <w:tcPr>
            <w:tcW w:w="1620" w:type="dxa"/>
            <w:noWrap/>
            <w:vAlign w:val="center"/>
          </w:tcPr>
          <w:p w:rsidR="00342BA7" w:rsidRPr="007F0C8D" w:rsidRDefault="00342BA7" w:rsidP="008C038D">
            <w:pPr>
              <w:jc w:val="center"/>
            </w:pPr>
            <w:r>
              <w:t>-.06</w:t>
            </w:r>
          </w:p>
        </w:tc>
        <w:tc>
          <w:tcPr>
            <w:tcW w:w="1530" w:type="dxa"/>
            <w:vAlign w:val="center"/>
          </w:tcPr>
          <w:p w:rsidR="00342BA7" w:rsidRDefault="00342BA7" w:rsidP="008C038D">
            <w:pPr>
              <w:jc w:val="center"/>
            </w:pPr>
            <w:r w:rsidRPr="007F0C8D">
              <w:t>-.13</w:t>
            </w:r>
          </w:p>
        </w:tc>
      </w:tr>
      <w:tr w:rsidR="00342BA7" w:rsidRPr="00FB36E7" w:rsidTr="008C038D">
        <w:trPr>
          <w:trHeight w:val="432"/>
        </w:trPr>
        <w:tc>
          <w:tcPr>
            <w:tcW w:w="3256" w:type="dxa"/>
            <w:vAlign w:val="center"/>
          </w:tcPr>
          <w:p w:rsidR="00342BA7" w:rsidRPr="00974EB0" w:rsidRDefault="00342BA7" w:rsidP="008C038D">
            <w:r w:rsidRPr="00974EB0">
              <w:rPr>
                <w:sz w:val="22"/>
                <w:szCs w:val="22"/>
              </w:rPr>
              <w:t>Executive Function</w:t>
            </w:r>
          </w:p>
        </w:tc>
        <w:tc>
          <w:tcPr>
            <w:tcW w:w="1350" w:type="dxa"/>
            <w:vAlign w:val="center"/>
          </w:tcPr>
          <w:p w:rsidR="00342BA7" w:rsidRPr="00B54CCF" w:rsidRDefault="00342BA7" w:rsidP="00E11F19">
            <w:pPr>
              <w:jc w:val="center"/>
            </w:pPr>
            <w:r w:rsidRPr="00B54CCF">
              <w:t>.12</w:t>
            </w:r>
          </w:p>
        </w:tc>
        <w:tc>
          <w:tcPr>
            <w:tcW w:w="1440" w:type="dxa"/>
            <w:vAlign w:val="center"/>
          </w:tcPr>
          <w:p w:rsidR="00342BA7" w:rsidRPr="00B54CCF" w:rsidRDefault="00342BA7" w:rsidP="008C038D">
            <w:pPr>
              <w:jc w:val="center"/>
            </w:pPr>
            <w:r>
              <w:t>.42</w:t>
            </w:r>
          </w:p>
        </w:tc>
        <w:tc>
          <w:tcPr>
            <w:tcW w:w="1620" w:type="dxa"/>
            <w:noWrap/>
            <w:vAlign w:val="center"/>
          </w:tcPr>
          <w:p w:rsidR="00342BA7" w:rsidRPr="00B54CCF" w:rsidRDefault="00342BA7" w:rsidP="008C038D">
            <w:pPr>
              <w:jc w:val="center"/>
            </w:pPr>
            <w:r>
              <w:t>-.29</w:t>
            </w:r>
          </w:p>
        </w:tc>
        <w:tc>
          <w:tcPr>
            <w:tcW w:w="1530" w:type="dxa"/>
            <w:vAlign w:val="center"/>
          </w:tcPr>
          <w:p w:rsidR="00342BA7" w:rsidRDefault="00342BA7" w:rsidP="008C038D">
            <w:pPr>
              <w:jc w:val="center"/>
            </w:pPr>
            <w:r w:rsidRPr="00B54CCF">
              <w:t>-.1</w:t>
            </w:r>
            <w:r>
              <w:t>3</w:t>
            </w:r>
          </w:p>
        </w:tc>
      </w:tr>
      <w:tr w:rsidR="00342BA7" w:rsidRPr="00FB36E7" w:rsidTr="008C038D">
        <w:trPr>
          <w:trHeight w:val="432"/>
        </w:trPr>
        <w:tc>
          <w:tcPr>
            <w:tcW w:w="3256" w:type="dxa"/>
            <w:vAlign w:val="center"/>
          </w:tcPr>
          <w:p w:rsidR="00342BA7" w:rsidRPr="00974EB0" w:rsidRDefault="00342BA7" w:rsidP="008C038D">
            <w:r w:rsidRPr="00974EB0">
              <w:rPr>
                <w:sz w:val="22"/>
                <w:szCs w:val="22"/>
              </w:rPr>
              <w:t>Working Memory</w:t>
            </w:r>
          </w:p>
        </w:tc>
        <w:tc>
          <w:tcPr>
            <w:tcW w:w="1350" w:type="dxa"/>
            <w:vAlign w:val="center"/>
          </w:tcPr>
          <w:p w:rsidR="00342BA7" w:rsidRPr="00C7540B" w:rsidRDefault="00342BA7" w:rsidP="00E11F19">
            <w:pPr>
              <w:jc w:val="center"/>
            </w:pPr>
            <w:r>
              <w:t>-.31</w:t>
            </w:r>
          </w:p>
        </w:tc>
        <w:tc>
          <w:tcPr>
            <w:tcW w:w="1440" w:type="dxa"/>
            <w:vAlign w:val="center"/>
          </w:tcPr>
          <w:p w:rsidR="00342BA7" w:rsidRPr="00C7540B" w:rsidRDefault="00342BA7" w:rsidP="00E11F19">
            <w:pPr>
              <w:jc w:val="center"/>
            </w:pPr>
            <w:r>
              <w:t>-.38</w:t>
            </w:r>
          </w:p>
        </w:tc>
        <w:tc>
          <w:tcPr>
            <w:tcW w:w="1620" w:type="dxa"/>
            <w:noWrap/>
            <w:vAlign w:val="center"/>
          </w:tcPr>
          <w:p w:rsidR="00342BA7" w:rsidRPr="00C7540B" w:rsidRDefault="00342BA7" w:rsidP="008C038D">
            <w:pPr>
              <w:jc w:val="center"/>
            </w:pPr>
            <w:r w:rsidRPr="00C7540B">
              <w:t>-.26</w:t>
            </w:r>
          </w:p>
        </w:tc>
        <w:tc>
          <w:tcPr>
            <w:tcW w:w="1530" w:type="dxa"/>
            <w:vAlign w:val="center"/>
          </w:tcPr>
          <w:p w:rsidR="00342BA7" w:rsidRDefault="00342BA7" w:rsidP="008C038D">
            <w:pPr>
              <w:jc w:val="center"/>
            </w:pPr>
            <w:r w:rsidRPr="00C7540B">
              <w:t>.0</w:t>
            </w:r>
            <w:r>
              <w:t>7</w:t>
            </w:r>
          </w:p>
        </w:tc>
      </w:tr>
      <w:tr w:rsidR="00342BA7" w:rsidRPr="00FB36E7" w:rsidTr="008C038D">
        <w:trPr>
          <w:trHeight w:val="432"/>
        </w:trPr>
        <w:tc>
          <w:tcPr>
            <w:tcW w:w="3256" w:type="dxa"/>
            <w:vAlign w:val="center"/>
          </w:tcPr>
          <w:p w:rsidR="00342BA7" w:rsidRPr="00974EB0" w:rsidRDefault="00342BA7" w:rsidP="008C038D">
            <w:r w:rsidRPr="00974EB0">
              <w:rPr>
                <w:sz w:val="22"/>
                <w:szCs w:val="22"/>
              </w:rPr>
              <w:t>Language</w:t>
            </w:r>
          </w:p>
        </w:tc>
        <w:tc>
          <w:tcPr>
            <w:tcW w:w="1350" w:type="dxa"/>
            <w:vAlign w:val="center"/>
          </w:tcPr>
          <w:p w:rsidR="00342BA7" w:rsidRPr="00A751A4" w:rsidRDefault="00342BA7" w:rsidP="00E11F19">
            <w:pPr>
              <w:jc w:val="center"/>
            </w:pPr>
            <w:r w:rsidRPr="00A751A4">
              <w:t>-.0</w:t>
            </w:r>
            <w:r>
              <w:t>3</w:t>
            </w:r>
          </w:p>
        </w:tc>
        <w:tc>
          <w:tcPr>
            <w:tcW w:w="1440" w:type="dxa"/>
            <w:vAlign w:val="center"/>
          </w:tcPr>
          <w:p w:rsidR="00342BA7" w:rsidRPr="00A751A4" w:rsidRDefault="00342BA7" w:rsidP="008C038D">
            <w:pPr>
              <w:jc w:val="center"/>
            </w:pPr>
            <w:r>
              <w:t>.26</w:t>
            </w:r>
          </w:p>
        </w:tc>
        <w:tc>
          <w:tcPr>
            <w:tcW w:w="1620" w:type="dxa"/>
            <w:noWrap/>
            <w:vAlign w:val="center"/>
          </w:tcPr>
          <w:p w:rsidR="00342BA7" w:rsidRPr="00A751A4" w:rsidRDefault="00342BA7" w:rsidP="008C038D">
            <w:pPr>
              <w:jc w:val="center"/>
            </w:pPr>
            <w:r>
              <w:t>-.13</w:t>
            </w:r>
          </w:p>
        </w:tc>
        <w:tc>
          <w:tcPr>
            <w:tcW w:w="1530" w:type="dxa"/>
            <w:vAlign w:val="center"/>
          </w:tcPr>
          <w:p w:rsidR="00342BA7" w:rsidRPr="00E11F19" w:rsidRDefault="00342BA7" w:rsidP="00E11F19">
            <w:pPr>
              <w:jc w:val="center"/>
              <w:rPr>
                <w:b/>
              </w:rPr>
            </w:pPr>
            <w:r w:rsidRPr="00E11F19">
              <w:rPr>
                <w:b/>
              </w:rPr>
              <w:t>.60</w:t>
            </w:r>
          </w:p>
        </w:tc>
      </w:tr>
    </w:tbl>
    <w:p w:rsidR="00342BA7" w:rsidRPr="000167C9" w:rsidRDefault="00E11F19" w:rsidP="00342BA7">
      <w:pPr>
        <w:rPr>
          <w:bCs/>
        </w:rPr>
      </w:pPr>
      <w:r>
        <w:rPr>
          <w:bCs/>
        </w:rPr>
        <w:t>B</w:t>
      </w:r>
      <w:r w:rsidRPr="00E11F19">
        <w:rPr>
          <w:bCs/>
        </w:rPr>
        <w:t xml:space="preserve">old </w:t>
      </w:r>
      <w:r>
        <w:rPr>
          <w:bCs/>
        </w:rPr>
        <w:t xml:space="preserve">coefficients </w:t>
      </w:r>
      <w:r w:rsidRPr="00E11F19">
        <w:rPr>
          <w:bCs/>
        </w:rPr>
        <w:t xml:space="preserve">are significant when </w:t>
      </w:r>
      <w:r>
        <w:rPr>
          <w:bCs/>
        </w:rPr>
        <w:t>adjusting</w:t>
      </w:r>
      <w:r w:rsidRPr="00E11F19">
        <w:rPr>
          <w:bCs/>
        </w:rPr>
        <w:t xml:space="preserve"> for multiple comparisons (</w:t>
      </w:r>
      <w:r>
        <w:rPr>
          <w:bCs/>
        </w:rPr>
        <w:t>p=</w:t>
      </w:r>
      <w:r w:rsidRPr="00E11F19">
        <w:rPr>
          <w:bCs/>
        </w:rPr>
        <w:t>0.05</w:t>
      </w:r>
      <w:r>
        <w:rPr>
          <w:bCs/>
        </w:rPr>
        <w:t>/32=</w:t>
      </w:r>
      <w:r w:rsidRPr="00E11F19">
        <w:rPr>
          <w:bCs/>
        </w:rPr>
        <w:t>0.001</w:t>
      </w:r>
      <w:r>
        <w:rPr>
          <w:bCs/>
        </w:rPr>
        <w:t>6</w:t>
      </w:r>
      <w:r w:rsidRPr="00E11F19">
        <w:rPr>
          <w:bCs/>
        </w:rPr>
        <w:t xml:space="preserve">). </w:t>
      </w:r>
      <w:r w:rsidR="000167C9">
        <w:rPr>
          <w:bCs/>
        </w:rPr>
        <w:t xml:space="preserve">Change scores in neurocognitive performance and symptom levels were calculated so that higher scores indicated improvement (i.e., better </w:t>
      </w:r>
      <w:proofErr w:type="spellStart"/>
      <w:r w:rsidR="000167C9">
        <w:rPr>
          <w:bCs/>
        </w:rPr>
        <w:t>neurocognition</w:t>
      </w:r>
      <w:proofErr w:type="spellEnd"/>
      <w:r w:rsidR="000167C9">
        <w:rPr>
          <w:bCs/>
        </w:rPr>
        <w:t>, lower symptom</w:t>
      </w:r>
      <w:r>
        <w:rPr>
          <w:bCs/>
        </w:rPr>
        <w:t xml:space="preserve"> severity</w:t>
      </w:r>
      <w:r w:rsidR="000167C9">
        <w:rPr>
          <w:bCs/>
        </w:rPr>
        <w:t xml:space="preserve"> levels). Therefore, change in neurocognitive performance over time (baseline to retest) was calculated as: Time 2 scores - Time 1 scores. Change in symptom levels were calculated as: Time 1 scores - Time 2 scores.</w:t>
      </w:r>
    </w:p>
    <w:p w:rsidR="00DC32B7" w:rsidRDefault="00DC32B7">
      <w:bookmarkStart w:id="0" w:name="_GoBack"/>
      <w:bookmarkEnd w:id="0"/>
    </w:p>
    <w:sectPr w:rsidR="00DC32B7" w:rsidSect="00DC3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2BA7"/>
    <w:rsid w:val="000167C9"/>
    <w:rsid w:val="00342BA7"/>
    <w:rsid w:val="009C6E4C"/>
    <w:rsid w:val="00D91262"/>
    <w:rsid w:val="00DC32B7"/>
    <w:rsid w:val="00E1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092677-1485-464A-B081-EADB7B5D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B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846</Characters>
  <Application>Microsoft Office Word</Application>
  <DocSecurity>0</DocSecurity>
  <Lines>7</Lines>
  <Paragraphs>1</Paragraphs>
  <ScaleCrop>false</ScaleCrop>
  <Company>NSLIJHS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rcarrion</dc:creator>
  <cp:lastModifiedBy>User</cp:lastModifiedBy>
  <cp:revision>5</cp:revision>
  <dcterms:created xsi:type="dcterms:W3CDTF">2015-05-11T20:34:00Z</dcterms:created>
  <dcterms:modified xsi:type="dcterms:W3CDTF">2015-06-08T07:58:00Z</dcterms:modified>
</cp:coreProperties>
</file>