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90" w:rsidRPr="00630DF3" w:rsidRDefault="00DA1D90" w:rsidP="00DA1D9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0DF3">
        <w:rPr>
          <w:rFonts w:ascii="Arial" w:hAnsi="Arial" w:cs="Arial"/>
          <w:b/>
          <w:sz w:val="20"/>
          <w:szCs w:val="20"/>
        </w:rPr>
        <w:t>Supplemental/Online-only Materials.</w:t>
      </w:r>
    </w:p>
    <w:p w:rsidR="00DA1D90" w:rsidRDefault="00C53BA7" w:rsidP="00B32E6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Supplemental </w:t>
      </w:r>
      <w:r w:rsidR="00B32E63">
        <w:rPr>
          <w:rFonts w:ascii="Arial" w:hAnsi="Arial" w:cs="Arial"/>
          <w:b/>
          <w:sz w:val="20"/>
          <w:szCs w:val="20"/>
        </w:rPr>
        <w:t>Table 1</w:t>
      </w:r>
      <w:r w:rsidR="0038623B">
        <w:rPr>
          <w:rFonts w:ascii="Arial" w:hAnsi="Arial" w:cs="Arial"/>
          <w:b/>
          <w:sz w:val="20"/>
          <w:szCs w:val="20"/>
        </w:rPr>
        <w:t>.</w:t>
      </w:r>
      <w:r w:rsidR="00B32E63">
        <w:rPr>
          <w:rFonts w:ascii="Arial" w:hAnsi="Arial" w:cs="Arial"/>
          <w:b/>
          <w:sz w:val="20"/>
          <w:szCs w:val="20"/>
        </w:rPr>
        <w:t xml:space="preserve"> </w:t>
      </w:r>
      <w:r w:rsidR="00B32E63" w:rsidRPr="00630DF3">
        <w:rPr>
          <w:rFonts w:ascii="Arial" w:hAnsi="Arial" w:cs="Arial"/>
          <w:sz w:val="20"/>
          <w:szCs w:val="20"/>
        </w:rPr>
        <w:t xml:space="preserve">Twin-pair correlations (and 95% confidence intervals) for conduct disorder, </w:t>
      </w:r>
      <w:r w:rsidR="00EF6021">
        <w:rPr>
          <w:rFonts w:ascii="Arial" w:hAnsi="Arial" w:cs="Arial"/>
          <w:sz w:val="20"/>
          <w:szCs w:val="20"/>
        </w:rPr>
        <w:t>nicotine</w:t>
      </w:r>
      <w:r w:rsidR="00B32E63" w:rsidRPr="00630DF3">
        <w:rPr>
          <w:rFonts w:ascii="Arial" w:hAnsi="Arial" w:cs="Arial"/>
          <w:sz w:val="20"/>
          <w:szCs w:val="20"/>
        </w:rPr>
        <w:t xml:space="preserve"> dependence, </w:t>
      </w:r>
      <w:r w:rsidR="00EF6021">
        <w:rPr>
          <w:rFonts w:ascii="Arial" w:hAnsi="Arial" w:cs="Arial"/>
          <w:sz w:val="20"/>
          <w:szCs w:val="20"/>
        </w:rPr>
        <w:t>alcohol</w:t>
      </w:r>
      <w:r w:rsidR="00B32E63" w:rsidRPr="00630DF3">
        <w:rPr>
          <w:rFonts w:ascii="Arial" w:hAnsi="Arial" w:cs="Arial"/>
          <w:sz w:val="20"/>
          <w:szCs w:val="20"/>
        </w:rPr>
        <w:t xml:space="preserve"> dependence, and cannabis abuse/dependence</w:t>
      </w:r>
      <w:r w:rsidR="00EF6021">
        <w:rPr>
          <w:rFonts w:ascii="Arial" w:hAnsi="Arial" w:cs="Arial"/>
          <w:sz w:val="20"/>
          <w:szCs w:val="20"/>
        </w:rPr>
        <w:t xml:space="preserve">, shown separately for all five </w:t>
      </w:r>
      <w:proofErr w:type="spellStart"/>
      <w:r w:rsidR="00EF6021">
        <w:rPr>
          <w:rFonts w:ascii="Arial" w:hAnsi="Arial" w:cs="Arial"/>
          <w:sz w:val="20"/>
          <w:szCs w:val="20"/>
        </w:rPr>
        <w:t>zygosity</w:t>
      </w:r>
      <w:proofErr w:type="spellEnd"/>
      <w:r w:rsidR="00EF6021">
        <w:rPr>
          <w:rFonts w:ascii="Arial" w:hAnsi="Arial" w:cs="Arial"/>
          <w:sz w:val="20"/>
          <w:szCs w:val="20"/>
        </w:rPr>
        <w:t xml:space="preserve"> groups</w:t>
      </w:r>
      <w:r w:rsidR="00B32E63" w:rsidRPr="00630DF3">
        <w:rPr>
          <w:rFonts w:ascii="Arial" w:hAnsi="Arial" w:cs="Arial"/>
          <w:sz w:val="20"/>
          <w:szCs w:val="20"/>
        </w:rPr>
        <w:t>.</w:t>
      </w:r>
    </w:p>
    <w:p w:rsidR="00563114" w:rsidRPr="00563114" w:rsidRDefault="00563114" w:rsidP="00B32E63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563114">
        <w:rPr>
          <w:rFonts w:ascii="Arial" w:hAnsi="Arial" w:cs="Arial"/>
          <w:b/>
          <w:sz w:val="20"/>
          <w:szCs w:val="20"/>
        </w:rPr>
        <w:t>Supplemental Table 2.</w:t>
      </w:r>
      <w:proofErr w:type="gramEnd"/>
      <w:r w:rsidRPr="005631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Model f</w:t>
      </w:r>
      <w:r w:rsidRPr="00563114">
        <w:rPr>
          <w:rFonts w:ascii="Arial" w:hAnsi="Arial" w:cs="Arial"/>
          <w:sz w:val="20"/>
          <w:szCs w:val="20"/>
        </w:rPr>
        <w:t>it statistics for twin models examining familial influences on conduct disorder, nicotine dependence, alcohol dependence, and cannabis abuse/dependence</w:t>
      </w:r>
    </w:p>
    <w:p w:rsidR="006571B0" w:rsidRPr="00292264" w:rsidRDefault="00C53BA7" w:rsidP="006571B0">
      <w:pPr>
        <w:rPr>
          <w:rFonts w:ascii="Arial" w:hAnsi="Arial" w:cs="Arial"/>
          <w:sz w:val="20"/>
          <w:szCs w:val="20"/>
        </w:rPr>
      </w:pPr>
      <w:proofErr w:type="gramStart"/>
      <w:r w:rsidRPr="00292264">
        <w:rPr>
          <w:rFonts w:ascii="Arial" w:hAnsi="Arial" w:cs="Arial"/>
          <w:b/>
          <w:sz w:val="20"/>
          <w:szCs w:val="20"/>
        </w:rPr>
        <w:t xml:space="preserve">Supplemental </w:t>
      </w:r>
      <w:r w:rsidR="006571B0" w:rsidRPr="00292264">
        <w:rPr>
          <w:rFonts w:ascii="Arial" w:hAnsi="Arial" w:cs="Arial"/>
          <w:b/>
          <w:sz w:val="20"/>
          <w:szCs w:val="20"/>
        </w:rPr>
        <w:t>Figure 1.</w:t>
      </w:r>
      <w:proofErr w:type="gramEnd"/>
      <w:r w:rsidR="006571B0" w:rsidRPr="00292264">
        <w:rPr>
          <w:rFonts w:ascii="Arial" w:hAnsi="Arial" w:cs="Arial"/>
          <w:sz w:val="20"/>
          <w:szCs w:val="20"/>
        </w:rPr>
        <w:t xml:space="preserve"> </w:t>
      </w:r>
      <w:r w:rsidR="00EF6021">
        <w:rPr>
          <w:rFonts w:ascii="Arial" w:hAnsi="Arial" w:cs="Arial"/>
          <w:sz w:val="20"/>
          <w:szCs w:val="20"/>
        </w:rPr>
        <w:t>Full Cholesky (lower triangular) parameterization for familial influences on conduct disorder, nicotine dependence, alcohol dependence, and cannabis abuse/dependence</w:t>
      </w:r>
      <w:r w:rsidR="006571B0" w:rsidRPr="00292264">
        <w:rPr>
          <w:rFonts w:ascii="Arial" w:hAnsi="Arial" w:cs="Arial"/>
          <w:sz w:val="20"/>
          <w:szCs w:val="20"/>
        </w:rPr>
        <w:t>.</w:t>
      </w:r>
    </w:p>
    <w:p w:rsidR="00DA1D90" w:rsidRPr="00630DF3" w:rsidRDefault="00DA1D90" w:rsidP="00DA1D9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32E63" w:rsidRDefault="00B32E63">
      <w:pPr>
        <w:rPr>
          <w:b/>
        </w:rPr>
      </w:pPr>
      <w:r>
        <w:rPr>
          <w:b/>
        </w:rPr>
        <w:br w:type="page"/>
      </w:r>
    </w:p>
    <w:p w:rsidR="00510BAE" w:rsidRDefault="00C53BA7" w:rsidP="00630DF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Supplemental </w:t>
      </w:r>
      <w:r w:rsidR="00805BFA" w:rsidRPr="00630DF3">
        <w:rPr>
          <w:rFonts w:ascii="Arial" w:hAnsi="Arial" w:cs="Arial"/>
          <w:b/>
          <w:sz w:val="20"/>
          <w:szCs w:val="20"/>
        </w:rPr>
        <w:t xml:space="preserve">Table </w:t>
      </w:r>
      <w:r w:rsidR="00F8026C" w:rsidRPr="00630DF3">
        <w:rPr>
          <w:rFonts w:ascii="Arial" w:hAnsi="Arial" w:cs="Arial"/>
          <w:b/>
          <w:sz w:val="20"/>
          <w:szCs w:val="20"/>
        </w:rPr>
        <w:t>1</w:t>
      </w:r>
      <w:r w:rsidR="00805BFA" w:rsidRPr="00630DF3">
        <w:rPr>
          <w:rFonts w:ascii="Arial" w:hAnsi="Arial" w:cs="Arial"/>
          <w:b/>
          <w:sz w:val="20"/>
          <w:szCs w:val="20"/>
        </w:rPr>
        <w:t>.</w:t>
      </w:r>
      <w:r w:rsidR="00510BAE" w:rsidRPr="00630DF3">
        <w:rPr>
          <w:rFonts w:ascii="Arial" w:hAnsi="Arial" w:cs="Arial"/>
          <w:sz w:val="20"/>
          <w:szCs w:val="20"/>
        </w:rPr>
        <w:t xml:space="preserve">  </w:t>
      </w:r>
      <w:r w:rsidR="00EF6021" w:rsidRPr="00630DF3">
        <w:rPr>
          <w:rFonts w:ascii="Arial" w:hAnsi="Arial" w:cs="Arial"/>
          <w:sz w:val="20"/>
          <w:szCs w:val="20"/>
        </w:rPr>
        <w:t xml:space="preserve">Twin-pair correlations (and 95% confidence intervals) for conduct disorder, </w:t>
      </w:r>
      <w:r w:rsidR="00EF6021">
        <w:rPr>
          <w:rFonts w:ascii="Arial" w:hAnsi="Arial" w:cs="Arial"/>
          <w:sz w:val="20"/>
          <w:szCs w:val="20"/>
        </w:rPr>
        <w:t>nicotine</w:t>
      </w:r>
      <w:r w:rsidR="00EF6021" w:rsidRPr="00630DF3">
        <w:rPr>
          <w:rFonts w:ascii="Arial" w:hAnsi="Arial" w:cs="Arial"/>
          <w:sz w:val="20"/>
          <w:szCs w:val="20"/>
        </w:rPr>
        <w:t xml:space="preserve"> dependence, </w:t>
      </w:r>
      <w:r w:rsidR="00EF6021">
        <w:rPr>
          <w:rFonts w:ascii="Arial" w:hAnsi="Arial" w:cs="Arial"/>
          <w:sz w:val="20"/>
          <w:szCs w:val="20"/>
        </w:rPr>
        <w:t>alcohol</w:t>
      </w:r>
      <w:r w:rsidR="00EF6021" w:rsidRPr="00630DF3">
        <w:rPr>
          <w:rFonts w:ascii="Arial" w:hAnsi="Arial" w:cs="Arial"/>
          <w:sz w:val="20"/>
          <w:szCs w:val="20"/>
        </w:rPr>
        <w:t xml:space="preserve"> dependence, and cannabis abuse/dependence</w:t>
      </w:r>
      <w:r w:rsidR="00EF6021">
        <w:rPr>
          <w:rFonts w:ascii="Arial" w:hAnsi="Arial" w:cs="Arial"/>
          <w:sz w:val="20"/>
          <w:szCs w:val="20"/>
        </w:rPr>
        <w:t>, shown separately for all five zygosity groups</w:t>
      </w:r>
      <w:r w:rsidR="00EF6021" w:rsidRPr="00630DF3">
        <w:rPr>
          <w:rFonts w:ascii="Arial" w:hAnsi="Arial" w:cs="Arial"/>
          <w:sz w:val="20"/>
          <w:szCs w:val="20"/>
        </w:rPr>
        <w:t>.</w:t>
      </w:r>
    </w:p>
    <w:p w:rsidR="00EF6021" w:rsidRPr="00EF6021" w:rsidRDefault="00EF6021" w:rsidP="00630DF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156" w:type="dxa"/>
        <w:tblLayout w:type="fixed"/>
        <w:tblLook w:val="04A0" w:firstRow="1" w:lastRow="0" w:firstColumn="1" w:lastColumn="0" w:noHBand="0" w:noVBand="1"/>
      </w:tblPr>
      <w:tblGrid>
        <w:gridCol w:w="876"/>
        <w:gridCol w:w="1980"/>
        <w:gridCol w:w="1980"/>
        <w:gridCol w:w="1980"/>
        <w:gridCol w:w="2340"/>
      </w:tblGrid>
      <w:tr w:rsidR="008C657A" w:rsidRPr="003B699E" w:rsidTr="00EA5C24">
        <w:tc>
          <w:tcPr>
            <w:tcW w:w="876" w:type="dxa"/>
          </w:tcPr>
          <w:p w:rsidR="008C657A" w:rsidRPr="00122AA5" w:rsidRDefault="00EF6021" w:rsidP="009155D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Conduct Disorder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Nicotine Dependence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Alcohol Dependence</w:t>
            </w:r>
          </w:p>
        </w:tc>
        <w:tc>
          <w:tcPr>
            <w:tcW w:w="234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Cannabis Abuse/Dep</w:t>
            </w:r>
            <w:r w:rsidR="00EF6021" w:rsidRPr="00122AA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endence</w:t>
            </w:r>
          </w:p>
        </w:tc>
      </w:tr>
      <w:tr w:rsidR="008C657A" w:rsidRPr="003B699E" w:rsidTr="00EA5C24">
        <w:tc>
          <w:tcPr>
            <w:tcW w:w="876" w:type="dxa"/>
            <w:vAlign w:val="center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r</w:t>
            </w:r>
            <w:r w:rsidRPr="00122AA5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MZF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0.60* (0.47 – 0.73)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0.63* (0.55 – 0.71)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0.51* (0.41 – 0.62)</w:t>
            </w:r>
          </w:p>
        </w:tc>
        <w:tc>
          <w:tcPr>
            <w:tcW w:w="234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0.57* (0.45 – 0.69)</w:t>
            </w:r>
          </w:p>
        </w:tc>
      </w:tr>
      <w:tr w:rsidR="008C657A" w:rsidRPr="003B699E" w:rsidTr="00EA5C24">
        <w:tc>
          <w:tcPr>
            <w:tcW w:w="876" w:type="dxa"/>
            <w:vAlign w:val="center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r</w:t>
            </w:r>
            <w:r w:rsidRPr="00122AA5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MZM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0.46* (0.32 – 0.60)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0.62* (0.52 – 0.72)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0.48* (0.37 – 0.59)</w:t>
            </w:r>
          </w:p>
        </w:tc>
        <w:tc>
          <w:tcPr>
            <w:tcW w:w="234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0.67* (0.57 – 0.78)</w:t>
            </w:r>
          </w:p>
        </w:tc>
      </w:tr>
      <w:tr w:rsidR="008C657A" w:rsidRPr="003B699E" w:rsidTr="00EA5C24">
        <w:tc>
          <w:tcPr>
            <w:tcW w:w="876" w:type="dxa"/>
            <w:vAlign w:val="center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r</w:t>
            </w:r>
            <w:r w:rsidRPr="00122AA5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DZF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0.47* (0.30 – 0.64)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0.40* (0.29 – 0.51)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0.22* (0.06 – 0.37)</w:t>
            </w:r>
          </w:p>
        </w:tc>
        <w:tc>
          <w:tcPr>
            <w:tcW w:w="234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0.45* (0.28 – 0.62)</w:t>
            </w:r>
          </w:p>
        </w:tc>
      </w:tr>
      <w:tr w:rsidR="008C657A" w:rsidRPr="003B699E" w:rsidTr="00EA5C24">
        <w:tc>
          <w:tcPr>
            <w:tcW w:w="876" w:type="dxa"/>
            <w:vAlign w:val="center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r</w:t>
            </w:r>
            <w:r w:rsidRPr="00122AA5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DZM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0.48* (0.34 – 0.63)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0.30* (0.15 – 0.44)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0.28* (0.14 – 0.42)</w:t>
            </w:r>
          </w:p>
        </w:tc>
        <w:tc>
          <w:tcPr>
            <w:tcW w:w="234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0.44* (0.28 – 0.60)</w:t>
            </w:r>
          </w:p>
        </w:tc>
      </w:tr>
      <w:tr w:rsidR="008C657A" w:rsidRPr="003B699E" w:rsidTr="00EA5C24">
        <w:tc>
          <w:tcPr>
            <w:tcW w:w="876" w:type="dxa"/>
            <w:vAlign w:val="center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0"/>
                <w:szCs w:val="20"/>
                <w:vertAlign w:val="subscript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r</w:t>
            </w:r>
            <w:r w:rsidRPr="00122AA5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DZO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0.25* (0.09 – 0.42)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0.24* (0.13 – 0.35)</w:t>
            </w:r>
          </w:p>
        </w:tc>
        <w:tc>
          <w:tcPr>
            <w:tcW w:w="198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0.11 (-0.02 – 0.24)</w:t>
            </w:r>
          </w:p>
        </w:tc>
        <w:tc>
          <w:tcPr>
            <w:tcW w:w="2340" w:type="dxa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122AA5">
              <w:rPr>
                <w:rFonts w:asciiTheme="majorHAnsi" w:hAnsiTheme="majorHAnsi" w:cs="Arial"/>
                <w:sz w:val="20"/>
                <w:szCs w:val="20"/>
              </w:rPr>
              <w:t>0.35* (0.20 – 0.51)</w:t>
            </w:r>
          </w:p>
        </w:tc>
      </w:tr>
      <w:tr w:rsidR="008C657A" w:rsidRPr="003B699E" w:rsidTr="00EA5C24">
        <w:tc>
          <w:tcPr>
            <w:tcW w:w="9156" w:type="dxa"/>
            <w:gridSpan w:val="5"/>
            <w:vAlign w:val="center"/>
          </w:tcPr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kern w:val="24"/>
                <w:sz w:val="16"/>
                <w:szCs w:val="16"/>
              </w:rPr>
            </w:pPr>
            <w:r w:rsidRPr="00122AA5">
              <w:rPr>
                <w:rFonts w:asciiTheme="majorHAnsi" w:hAnsiTheme="majorHAnsi" w:cs="Arial"/>
                <w:bCs/>
                <w:kern w:val="24"/>
                <w:sz w:val="16"/>
                <w:szCs w:val="16"/>
              </w:rPr>
              <w:t xml:space="preserve">* significant at </w:t>
            </w:r>
            <m:oMath>
              <m:r>
                <w:rPr>
                  <w:rFonts w:ascii="Cambria Math" w:hAnsi="Cambria Math" w:cs="Arial"/>
                  <w:kern w:val="24"/>
                  <w:sz w:val="16"/>
                  <w:szCs w:val="16"/>
                </w:rPr>
                <m:t>p&lt;0.05</m:t>
              </m:r>
            </m:oMath>
          </w:p>
          <w:p w:rsidR="008C657A" w:rsidRPr="00122AA5" w:rsidRDefault="008C657A" w:rsidP="009155D1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122AA5">
              <w:rPr>
                <w:rFonts w:asciiTheme="majorHAnsi" w:hAnsiTheme="majorHAnsi" w:cs="Arial"/>
                <w:sz w:val="16"/>
                <w:szCs w:val="16"/>
              </w:rPr>
              <w:t>Data from n=9577 individuals; n=9501 individuals for conduct disorder, n=</w:t>
            </w:r>
            <w:bookmarkStart w:id="0" w:name="_GoBack"/>
            <w:bookmarkEnd w:id="0"/>
            <w:r w:rsidRPr="00122AA5">
              <w:rPr>
                <w:rFonts w:asciiTheme="majorHAnsi" w:hAnsiTheme="majorHAnsi" w:cs="Arial"/>
                <w:sz w:val="16"/>
                <w:szCs w:val="16"/>
              </w:rPr>
              <w:t xml:space="preserve">8470 for nicotine dependence, </w:t>
            </w:r>
            <w:r w:rsidR="00DE049D" w:rsidRPr="00122AA5">
              <w:rPr>
                <w:rFonts w:asciiTheme="majorHAnsi" w:hAnsiTheme="majorHAnsi" w:cs="Arial"/>
                <w:sz w:val="16"/>
                <w:szCs w:val="16"/>
              </w:rPr>
              <w:t>n=</w:t>
            </w:r>
            <w:r w:rsidRPr="00122AA5">
              <w:rPr>
                <w:rFonts w:asciiTheme="majorHAnsi" w:hAnsiTheme="majorHAnsi" w:cs="Arial"/>
                <w:sz w:val="16"/>
                <w:szCs w:val="16"/>
              </w:rPr>
              <w:t>8544 for alcohol dependence, and n=6017 for cannabis abuse/dependence.</w:t>
            </w:r>
          </w:p>
          <w:p w:rsidR="008C657A" w:rsidRPr="00122AA5" w:rsidRDefault="008C657A" w:rsidP="009155D1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510BAE" w:rsidRPr="00630DF3" w:rsidRDefault="00510BAE" w:rsidP="00630DF3">
      <w:pPr>
        <w:spacing w:line="240" w:lineRule="auto"/>
        <w:rPr>
          <w:rFonts w:ascii="Arial" w:hAnsi="Arial" w:cs="Arial"/>
          <w:sz w:val="20"/>
          <w:szCs w:val="20"/>
        </w:rPr>
      </w:pPr>
    </w:p>
    <w:p w:rsidR="00563114" w:rsidRDefault="00510BAE">
      <w:pPr>
        <w:rPr>
          <w:rFonts w:ascii="Arial" w:hAnsi="Arial" w:cs="Arial"/>
          <w:sz w:val="20"/>
          <w:szCs w:val="20"/>
        </w:rPr>
      </w:pPr>
      <w:r w:rsidRPr="00630DF3">
        <w:rPr>
          <w:rFonts w:ascii="Arial" w:hAnsi="Arial" w:cs="Arial"/>
          <w:sz w:val="20"/>
          <w:szCs w:val="20"/>
        </w:rPr>
        <w:br w:type="page"/>
      </w:r>
      <w:proofErr w:type="gramStart"/>
      <w:r w:rsidR="00563114" w:rsidRPr="00563114">
        <w:rPr>
          <w:rFonts w:ascii="Arial" w:hAnsi="Arial" w:cs="Arial"/>
          <w:b/>
          <w:sz w:val="20"/>
          <w:szCs w:val="20"/>
        </w:rPr>
        <w:lastRenderedPageBreak/>
        <w:t>Supplemental Table 2.</w:t>
      </w:r>
      <w:proofErr w:type="gramEnd"/>
      <w:r w:rsidR="00563114">
        <w:rPr>
          <w:rFonts w:ascii="Arial" w:hAnsi="Arial" w:cs="Arial"/>
          <w:sz w:val="20"/>
          <w:szCs w:val="20"/>
        </w:rPr>
        <w:t xml:space="preserve"> Model f</w:t>
      </w:r>
      <w:r w:rsidR="00563114" w:rsidRPr="00563114">
        <w:rPr>
          <w:rFonts w:ascii="Arial" w:hAnsi="Arial" w:cs="Arial"/>
          <w:sz w:val="20"/>
          <w:szCs w:val="20"/>
        </w:rPr>
        <w:t>it statistics for twin models examining familial influences on conduct disorder, nicotine dependence, alcohol dependence, and cannabis abuse/dependence</w:t>
      </w:r>
      <w:r w:rsidR="0056311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0548" w:type="dxa"/>
        <w:tblInd w:w="-584" w:type="dxa"/>
        <w:tblLayout w:type="fixed"/>
        <w:tblLook w:val="04A0" w:firstRow="1" w:lastRow="0" w:firstColumn="1" w:lastColumn="0" w:noHBand="0" w:noVBand="1"/>
      </w:tblPr>
      <w:tblGrid>
        <w:gridCol w:w="540"/>
        <w:gridCol w:w="3978"/>
        <w:gridCol w:w="1260"/>
        <w:gridCol w:w="720"/>
        <w:gridCol w:w="1260"/>
        <w:gridCol w:w="990"/>
        <w:gridCol w:w="900"/>
        <w:gridCol w:w="900"/>
      </w:tblGrid>
      <w:tr w:rsidR="00563114" w:rsidRPr="001D5368" w:rsidTr="009E679B">
        <w:tc>
          <w:tcPr>
            <w:tcW w:w="540" w:type="dxa"/>
            <w:vAlign w:val="center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vAlign w:val="center"/>
          </w:tcPr>
          <w:p w:rsidR="00563114" w:rsidRPr="001D5368" w:rsidRDefault="00563114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Model</w:t>
            </w:r>
          </w:p>
        </w:tc>
        <w:tc>
          <w:tcPr>
            <w:tcW w:w="1260" w:type="dxa"/>
          </w:tcPr>
          <w:p w:rsidR="00563114" w:rsidRPr="001D5368" w:rsidRDefault="00563114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-2 * Log-likelihood</w:t>
            </w:r>
          </w:p>
        </w:tc>
        <w:tc>
          <w:tcPr>
            <w:tcW w:w="720" w:type="dxa"/>
          </w:tcPr>
          <w:p w:rsidR="00563114" w:rsidRPr="001D5368" w:rsidRDefault="00430DD3" w:rsidP="00FC08E3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# </w:t>
            </w:r>
            <w:r w:rsidR="00FC08E3" w:rsidRPr="001D5368">
              <w:rPr>
                <w:rFonts w:asciiTheme="majorHAnsi" w:hAnsiTheme="majorHAnsi"/>
                <w:sz w:val="20"/>
                <w:szCs w:val="20"/>
              </w:rPr>
              <w:t>E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st. </w:t>
            </w:r>
            <w:r w:rsidR="00FC08E3" w:rsidRPr="001D5368">
              <w:rPr>
                <w:rFonts w:asciiTheme="majorHAnsi" w:hAnsiTheme="majorHAnsi"/>
                <w:sz w:val="20"/>
                <w:szCs w:val="20"/>
              </w:rPr>
              <w:t>P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ara.</w:t>
            </w:r>
          </w:p>
        </w:tc>
        <w:tc>
          <w:tcPr>
            <w:tcW w:w="1260" w:type="dxa"/>
            <w:vAlign w:val="center"/>
          </w:tcPr>
          <w:p w:rsidR="00563114" w:rsidRPr="001D5368" w:rsidRDefault="00563114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Compared with</w:t>
            </w:r>
            <w:r w:rsidR="00430DD3" w:rsidRPr="001D5368">
              <w:rPr>
                <w:rFonts w:asciiTheme="majorHAnsi" w:hAnsiTheme="majorHAnsi"/>
                <w:sz w:val="20"/>
                <w:szCs w:val="20"/>
              </w:rPr>
              <w:t xml:space="preserve"> Model</w:t>
            </w:r>
          </w:p>
        </w:tc>
        <w:tc>
          <w:tcPr>
            <w:tcW w:w="990" w:type="dxa"/>
            <w:vAlign w:val="center"/>
          </w:tcPr>
          <w:p w:rsidR="00563114" w:rsidRPr="001D5368" w:rsidRDefault="004A06BC" w:rsidP="009155D1">
            <w:pPr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Δ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00" w:type="dxa"/>
            <w:vAlign w:val="center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Δ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df</m:t>
                </m:r>
              </m:oMath>
            </m:oMathPara>
          </w:p>
        </w:tc>
        <w:tc>
          <w:tcPr>
            <w:tcW w:w="900" w:type="dxa"/>
            <w:vAlign w:val="center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oMath>
            </m:oMathPara>
          </w:p>
        </w:tc>
      </w:tr>
      <w:tr w:rsidR="00563114" w:rsidRPr="001D5368" w:rsidTr="009E679B">
        <w:tc>
          <w:tcPr>
            <w:tcW w:w="540" w:type="dxa"/>
            <w:vAlign w:val="center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vAlign w:val="center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63114" w:rsidRPr="001D5368" w:rsidRDefault="00563114" w:rsidP="009155D1">
            <w:pPr>
              <w:rPr>
                <w:sz w:val="20"/>
                <w:szCs w:val="20"/>
              </w:rPr>
            </w:pPr>
          </w:p>
        </w:tc>
      </w:tr>
      <w:tr w:rsidR="00563114" w:rsidRPr="001D5368" w:rsidTr="009E679B">
        <w:tc>
          <w:tcPr>
            <w:tcW w:w="540" w:type="dxa"/>
            <w:vAlign w:val="center"/>
          </w:tcPr>
          <w:p w:rsidR="00563114" w:rsidRPr="001D5368" w:rsidRDefault="00563114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978" w:type="dxa"/>
            <w:vAlign w:val="center"/>
          </w:tcPr>
          <w:p w:rsidR="00563114" w:rsidRPr="001D5368" w:rsidRDefault="00563114" w:rsidP="009155D1">
            <w:pPr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Full </w:t>
            </w:r>
            <w:proofErr w:type="spellStart"/>
            <w:r w:rsidRPr="001D5368">
              <w:rPr>
                <w:rFonts w:asciiTheme="majorHAnsi" w:hAnsiTheme="majorHAnsi"/>
                <w:sz w:val="20"/>
                <w:szCs w:val="20"/>
              </w:rPr>
              <w:t>Cholesky</w:t>
            </w:r>
            <w:proofErr w:type="spellEnd"/>
            <w:r w:rsidRPr="001D5368">
              <w:rPr>
                <w:rFonts w:asciiTheme="majorHAnsi" w:hAnsiTheme="majorHAnsi"/>
                <w:sz w:val="20"/>
                <w:szCs w:val="20"/>
              </w:rPr>
              <w:t xml:space="preserve"> ACE parameterization</w:t>
            </w:r>
            <w:r w:rsidRPr="001D5368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60" w:type="dxa"/>
          </w:tcPr>
          <w:p w:rsidR="00563114" w:rsidRPr="001D5368" w:rsidRDefault="00A4294C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31846.158</m:t>
                </m:r>
              </m:oMath>
            </m:oMathPara>
          </w:p>
        </w:tc>
        <w:tc>
          <w:tcPr>
            <w:tcW w:w="720" w:type="dxa"/>
          </w:tcPr>
          <w:p w:rsidR="00563114" w:rsidRPr="001D5368" w:rsidRDefault="00430DD3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563114" w:rsidRPr="001D5368" w:rsidRDefault="00430DD3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563114" w:rsidRPr="001D5368" w:rsidRDefault="00430DD3" w:rsidP="00A4294C">
            <w:pPr>
              <w:jc w:val="center"/>
              <w:rPr>
                <w:sz w:val="20"/>
                <w:szCs w:val="20"/>
              </w:rPr>
            </w:pPr>
            <w:r w:rsidRPr="001D5368">
              <w:rPr>
                <w:sz w:val="20"/>
                <w:szCs w:val="20"/>
              </w:rPr>
              <w:t>---</w:t>
            </w:r>
          </w:p>
        </w:tc>
        <w:tc>
          <w:tcPr>
            <w:tcW w:w="900" w:type="dxa"/>
          </w:tcPr>
          <w:p w:rsidR="00563114" w:rsidRPr="001D5368" w:rsidRDefault="00430DD3" w:rsidP="00A4294C">
            <w:pPr>
              <w:jc w:val="center"/>
              <w:rPr>
                <w:sz w:val="20"/>
                <w:szCs w:val="20"/>
              </w:rPr>
            </w:pPr>
            <w:r w:rsidRPr="001D5368">
              <w:rPr>
                <w:sz w:val="20"/>
                <w:szCs w:val="20"/>
              </w:rPr>
              <w:t>---</w:t>
            </w:r>
          </w:p>
        </w:tc>
        <w:tc>
          <w:tcPr>
            <w:tcW w:w="900" w:type="dxa"/>
          </w:tcPr>
          <w:p w:rsidR="00563114" w:rsidRPr="001D5368" w:rsidRDefault="00430DD3" w:rsidP="00A4294C">
            <w:pPr>
              <w:jc w:val="center"/>
              <w:rPr>
                <w:sz w:val="20"/>
                <w:szCs w:val="20"/>
              </w:rPr>
            </w:pPr>
            <w:r w:rsidRPr="001D5368">
              <w:rPr>
                <w:sz w:val="20"/>
                <w:szCs w:val="20"/>
              </w:rPr>
              <w:t>---</w:t>
            </w:r>
          </w:p>
        </w:tc>
      </w:tr>
      <w:tr w:rsidR="00B32C58" w:rsidRPr="001D5368" w:rsidTr="009E679B">
        <w:tc>
          <w:tcPr>
            <w:tcW w:w="540" w:type="dxa"/>
            <w:vAlign w:val="center"/>
          </w:tcPr>
          <w:p w:rsidR="00B32C58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978" w:type="dxa"/>
            <w:vAlign w:val="center"/>
          </w:tcPr>
          <w:p w:rsidR="00B32C58" w:rsidRPr="001D5368" w:rsidRDefault="00B32C58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31846.810</m:t>
                </m:r>
              </m:oMath>
            </m:oMathPara>
          </w:p>
        </w:tc>
        <w:tc>
          <w:tcPr>
            <w:tcW w:w="72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0.652</m:t>
                </m:r>
              </m:oMath>
            </m:oMathPara>
          </w:p>
        </w:tc>
        <w:tc>
          <w:tcPr>
            <w:tcW w:w="90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2C58" w:rsidRPr="001D5368" w:rsidRDefault="00A4294C" w:rsidP="009155D1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=0.42</m:t>
                </m:r>
              </m:oMath>
            </m:oMathPara>
          </w:p>
        </w:tc>
      </w:tr>
      <w:tr w:rsidR="00B32C58" w:rsidRPr="001D5368" w:rsidTr="009E679B">
        <w:tc>
          <w:tcPr>
            <w:tcW w:w="540" w:type="dxa"/>
            <w:vAlign w:val="center"/>
          </w:tcPr>
          <w:p w:rsidR="00B32C58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978" w:type="dxa"/>
            <w:vAlign w:val="center"/>
          </w:tcPr>
          <w:p w:rsidR="00B32C58" w:rsidRPr="001D5368" w:rsidRDefault="00B32C58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 in addition to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31843.894</m:t>
                </m:r>
              </m:oMath>
            </m:oMathPara>
          </w:p>
        </w:tc>
        <w:tc>
          <w:tcPr>
            <w:tcW w:w="72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B32C58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-2.916</m:t>
                </m:r>
              </m:oMath>
            </m:oMathPara>
          </w:p>
        </w:tc>
        <w:tc>
          <w:tcPr>
            <w:tcW w:w="90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2C58" w:rsidRPr="001D5368" w:rsidRDefault="00A4294C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&gt;0.99</m:t>
                </m:r>
              </m:oMath>
            </m:oMathPara>
          </w:p>
        </w:tc>
      </w:tr>
      <w:tr w:rsidR="00B32C58" w:rsidRPr="001D5368" w:rsidTr="009E679B">
        <w:tc>
          <w:tcPr>
            <w:tcW w:w="540" w:type="dxa"/>
            <w:vAlign w:val="center"/>
          </w:tcPr>
          <w:p w:rsidR="00B32C58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978" w:type="dxa"/>
            <w:vAlign w:val="center"/>
          </w:tcPr>
          <w:p w:rsidR="00B32C58" w:rsidRPr="001D5368" w:rsidRDefault="00B32C58" w:rsidP="00122AA5">
            <w:pPr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33)</w:t>
            </w:r>
            <w:r w:rsidR="00592AE2" w:rsidRPr="001D5368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r w:rsidR="00A4294C" w:rsidRPr="001D5368">
              <w:rPr>
                <w:rFonts w:asciiTheme="majorHAnsi" w:hAnsiTheme="majorHAns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0" w:type="dxa"/>
          </w:tcPr>
          <w:p w:rsidR="00B32C58" w:rsidRPr="001D5368" w:rsidRDefault="00A4294C" w:rsidP="00B32C58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31850.857</m:t>
                </m:r>
              </m:oMath>
            </m:oMathPara>
          </w:p>
        </w:tc>
        <w:tc>
          <w:tcPr>
            <w:tcW w:w="72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:rsidR="00B32C58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</w:t>
            </w:r>
          </w:p>
          <w:p w:rsidR="009443CA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32C58" w:rsidRPr="001D5368" w:rsidRDefault="00A4294C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6.963</m:t>
                </m:r>
              </m:oMath>
            </m:oMathPara>
          </w:p>
          <w:p w:rsidR="009443CA" w:rsidRPr="001D5368" w:rsidRDefault="00A4294C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4.047</m:t>
                </m:r>
              </m:oMath>
            </m:oMathPara>
          </w:p>
        </w:tc>
        <w:tc>
          <w:tcPr>
            <w:tcW w:w="90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9443CA" w:rsidRPr="001D5368" w:rsidRDefault="009443CA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&lt;0.01</m:t>
                </m:r>
              </m:oMath>
            </m:oMathPara>
          </w:p>
          <w:p w:rsidR="00EE741F" w:rsidRPr="001D5368" w:rsidRDefault="00A4294C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=0.13</m:t>
                </m:r>
              </m:oMath>
            </m:oMathPara>
          </w:p>
        </w:tc>
      </w:tr>
      <w:tr w:rsidR="00B32C58" w:rsidRPr="001D5368" w:rsidTr="009E679B">
        <w:tc>
          <w:tcPr>
            <w:tcW w:w="540" w:type="dxa"/>
            <w:vAlign w:val="center"/>
          </w:tcPr>
          <w:p w:rsidR="00B32C58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978" w:type="dxa"/>
            <w:vAlign w:val="center"/>
          </w:tcPr>
          <w:p w:rsidR="00B32C58" w:rsidRPr="001D5368" w:rsidRDefault="00B32C58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31848.572</m:t>
                </m:r>
              </m:oMath>
            </m:oMathPara>
          </w:p>
        </w:tc>
        <w:tc>
          <w:tcPr>
            <w:tcW w:w="72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B32C58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-2.285</m:t>
                </m:r>
              </m:oMath>
            </m:oMathPara>
          </w:p>
        </w:tc>
        <w:tc>
          <w:tcPr>
            <w:tcW w:w="90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2C58" w:rsidRPr="001D5368" w:rsidRDefault="00A4294C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&gt;0.99</m:t>
                </m:r>
              </m:oMath>
            </m:oMathPara>
          </w:p>
        </w:tc>
      </w:tr>
      <w:tr w:rsidR="00B32C58" w:rsidRPr="001D5368" w:rsidTr="009E679B">
        <w:tc>
          <w:tcPr>
            <w:tcW w:w="540" w:type="dxa"/>
            <w:vAlign w:val="center"/>
          </w:tcPr>
          <w:p w:rsidR="00B32C58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978" w:type="dxa"/>
            <w:vAlign w:val="center"/>
          </w:tcPr>
          <w:p w:rsidR="00B32C58" w:rsidRPr="001D5368" w:rsidRDefault="00B32C58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22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31850.589</m:t>
                </m:r>
              </m:oMath>
            </m:oMathPara>
          </w:p>
        </w:tc>
        <w:tc>
          <w:tcPr>
            <w:tcW w:w="72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B32C58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2.017</m:t>
                </m:r>
              </m:oMath>
            </m:oMathPara>
          </w:p>
        </w:tc>
        <w:tc>
          <w:tcPr>
            <w:tcW w:w="90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2C58" w:rsidRPr="001D5368" w:rsidRDefault="00A4294C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=0.16</m:t>
                </m:r>
              </m:oMath>
            </m:oMathPara>
          </w:p>
        </w:tc>
      </w:tr>
      <w:tr w:rsidR="00B32C58" w:rsidRPr="001D5368" w:rsidTr="009E679B">
        <w:tc>
          <w:tcPr>
            <w:tcW w:w="540" w:type="dxa"/>
            <w:vAlign w:val="center"/>
          </w:tcPr>
          <w:p w:rsidR="00B32C58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978" w:type="dxa"/>
            <w:vAlign w:val="center"/>
          </w:tcPr>
          <w:p w:rsidR="00B32C58" w:rsidRPr="001D5368" w:rsidRDefault="00B32C58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31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31853.151</m:t>
                </m:r>
              </m:oMath>
            </m:oMathPara>
          </w:p>
        </w:tc>
        <w:tc>
          <w:tcPr>
            <w:tcW w:w="72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:rsidR="00B32C58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2.562</m:t>
                </m:r>
              </m:oMath>
            </m:oMathPara>
          </w:p>
        </w:tc>
        <w:tc>
          <w:tcPr>
            <w:tcW w:w="90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2C58" w:rsidRPr="001D5368" w:rsidRDefault="00A4294C" w:rsidP="009155D1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=0.11</m:t>
                </m:r>
              </m:oMath>
            </m:oMathPara>
          </w:p>
        </w:tc>
      </w:tr>
      <w:tr w:rsidR="00B32C58" w:rsidRPr="001D5368" w:rsidTr="009E679B">
        <w:tc>
          <w:tcPr>
            <w:tcW w:w="540" w:type="dxa"/>
            <w:vAlign w:val="center"/>
          </w:tcPr>
          <w:p w:rsidR="00B32C58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3978" w:type="dxa"/>
            <w:vAlign w:val="center"/>
          </w:tcPr>
          <w:p w:rsidR="00B32C58" w:rsidRPr="001D5368" w:rsidRDefault="00B32C58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21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31852.106</m:t>
                </m:r>
              </m:oMath>
            </m:oMathPara>
          </w:p>
        </w:tc>
        <w:tc>
          <w:tcPr>
            <w:tcW w:w="72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B32C58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-1.045</m:t>
                </m:r>
              </m:oMath>
            </m:oMathPara>
          </w:p>
        </w:tc>
        <w:tc>
          <w:tcPr>
            <w:tcW w:w="90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2C58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&gt;0.99</m:t>
                </m:r>
              </m:oMath>
            </m:oMathPara>
          </w:p>
        </w:tc>
      </w:tr>
      <w:tr w:rsidR="00B32C58" w:rsidRPr="001D5368" w:rsidTr="009E679B">
        <w:tc>
          <w:tcPr>
            <w:tcW w:w="540" w:type="dxa"/>
            <w:vAlign w:val="center"/>
          </w:tcPr>
          <w:p w:rsidR="00B32C58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3978" w:type="dxa"/>
            <w:vAlign w:val="center"/>
          </w:tcPr>
          <w:p w:rsidR="00B32C58" w:rsidRPr="001D5368" w:rsidRDefault="00B32C58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41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31849.450</m:t>
                </m:r>
              </m:oMath>
            </m:oMathPara>
          </w:p>
        </w:tc>
        <w:tc>
          <w:tcPr>
            <w:tcW w:w="72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B32C58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B32C58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-2.656</m:t>
                </m:r>
              </m:oMath>
            </m:oMathPara>
          </w:p>
        </w:tc>
        <w:tc>
          <w:tcPr>
            <w:tcW w:w="900" w:type="dxa"/>
          </w:tcPr>
          <w:p w:rsidR="00B32C58" w:rsidRPr="001D5368" w:rsidRDefault="00B32C58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2C58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&gt;0.99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43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31849.446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-0.004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&gt;0.99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31849.736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0.290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=0.59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31850.114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0.378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=0.54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44 (and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43,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41,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21,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31,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22,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 xml:space="preserve">43) </w:t>
            </w:r>
            <w:r w:rsidRPr="001D5368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31852.595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2.481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5368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Theme="minorEastAsia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=0.12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44 (and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44,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31,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22,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42,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33,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c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31973.786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121.191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33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31937.815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85.220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22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31872.688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F3085B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20.093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41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32058.442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205.847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31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31965.055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112.460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21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32114.989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262.394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e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43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31866.507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13.912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e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42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31861.776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58236A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9.181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E5783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=0.002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e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32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31880.338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27.743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e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41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58236A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31858.441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5.846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E5783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=0.02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e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31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31880.870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28.275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9155D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&lt;0.001</m:t>
                </m:r>
              </m:oMath>
            </m:oMathPara>
          </w:p>
        </w:tc>
      </w:tr>
      <w:tr w:rsidR="00A4294C" w:rsidRPr="001D5368" w:rsidTr="009E679B">
        <w:tc>
          <w:tcPr>
            <w:tcW w:w="540" w:type="dxa"/>
            <w:vAlign w:val="center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3978" w:type="dxa"/>
            <w:vAlign w:val="center"/>
          </w:tcPr>
          <w:p w:rsidR="00A4294C" w:rsidRPr="001D5368" w:rsidRDefault="00A4294C" w:rsidP="00122AA5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Drop 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e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21 (</w:t>
            </w:r>
            <w:r w:rsidR="00122AA5" w:rsidRPr="001D5368">
              <w:rPr>
                <w:rFonts w:asciiTheme="majorHAnsi" w:hAnsiTheme="majorHAnsi"/>
                <w:sz w:val="20"/>
                <w:szCs w:val="20"/>
              </w:rPr>
              <w:t>and c44, a32, a33, a43, c41, c21, c31, c22, c32, c42, c33, c43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31852.764</m:t>
                </m:r>
              </m:oMath>
            </m:oMathPara>
          </w:p>
        </w:tc>
        <w:tc>
          <w:tcPr>
            <w:tcW w:w="72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A4294C" w:rsidRPr="001D5368" w:rsidRDefault="00A4294C" w:rsidP="009155D1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0.169</m:t>
                </m:r>
              </m:oMath>
            </m:oMathPara>
          </w:p>
        </w:tc>
        <w:tc>
          <w:tcPr>
            <w:tcW w:w="900" w:type="dxa"/>
          </w:tcPr>
          <w:p w:rsidR="00A4294C" w:rsidRPr="001D5368" w:rsidRDefault="00A4294C" w:rsidP="00A429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4294C" w:rsidRPr="001D5368" w:rsidRDefault="00A4294C" w:rsidP="00E5783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=0.68</m:t>
                </m:r>
              </m:oMath>
            </m:oMathPara>
          </w:p>
        </w:tc>
      </w:tr>
      <w:tr w:rsidR="00A4294C" w:rsidRPr="001D5368" w:rsidTr="009E679B">
        <w:tc>
          <w:tcPr>
            <w:tcW w:w="10548" w:type="dxa"/>
            <w:gridSpan w:val="8"/>
          </w:tcPr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</w:rPr>
              <w:t xml:space="preserve">NOTE: Cohort and gender included as covariates in all models. A=additive genetic influences, C=shared environmental influences, E=non-shared environmental influences. Models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p&lt; 0.05</m:t>
              </m:r>
            </m:oMath>
            <w:r w:rsidRPr="001D5368">
              <w:rPr>
                <w:rFonts w:asciiTheme="majorHAnsi" w:hAnsiTheme="majorHAnsi"/>
                <w:sz w:val="20"/>
                <w:szCs w:val="20"/>
              </w:rPr>
              <w:t xml:space="preserve"> had a significantly poorer fit and were rejected. </w:t>
            </w:r>
          </w:p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proofErr w:type="gramStart"/>
            <w:r w:rsidRPr="001D5368">
              <w:rPr>
                <w:rFonts w:asciiTheme="majorHAnsi" w:hAnsiTheme="majorHAnsi"/>
                <w:sz w:val="20"/>
                <w:szCs w:val="20"/>
                <w:vertAlign w:val="superscript"/>
              </w:rPr>
              <w:t>a</w:t>
            </w:r>
            <w:proofErr w:type="gramEnd"/>
            <w:r w:rsidRPr="001D5368">
              <w:rPr>
                <w:rFonts w:asciiTheme="majorHAnsi" w:hAnsiTheme="majorHAnsi"/>
                <w:sz w:val="20"/>
                <w:szCs w:val="20"/>
              </w:rPr>
              <w:t xml:space="preserve"> See Supplemental Figure 1 for a diagram depicting the </w:t>
            </w:r>
            <w:proofErr w:type="spellStart"/>
            <w:r w:rsidRPr="001D5368">
              <w:rPr>
                <w:rFonts w:asciiTheme="majorHAnsi" w:hAnsiTheme="majorHAnsi"/>
                <w:sz w:val="20"/>
                <w:szCs w:val="20"/>
              </w:rPr>
              <w:t>Cholesky</w:t>
            </w:r>
            <w:proofErr w:type="spellEnd"/>
            <w:r w:rsidRPr="001D5368">
              <w:rPr>
                <w:rFonts w:asciiTheme="majorHAnsi" w:hAnsiTheme="majorHAnsi"/>
                <w:sz w:val="20"/>
                <w:szCs w:val="20"/>
              </w:rPr>
              <w:t xml:space="preserve"> parameterization for familial influences</w:t>
            </w:r>
            <w:r w:rsidR="009155D1" w:rsidRPr="001D5368">
              <w:rPr>
                <w:rFonts w:asciiTheme="majorHAnsi" w:hAnsiTheme="majorHAnsi"/>
                <w:sz w:val="20"/>
                <w:szCs w:val="20"/>
              </w:rPr>
              <w:t xml:space="preserve"> (A and C)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; the full model also included a similar parameterization for individual-specific influences</w:t>
            </w:r>
            <w:r w:rsidR="009155D1" w:rsidRPr="001D5368">
              <w:rPr>
                <w:rFonts w:asciiTheme="majorHAnsi" w:hAnsiTheme="majorHAnsi"/>
                <w:sz w:val="20"/>
                <w:szCs w:val="20"/>
              </w:rPr>
              <w:t xml:space="preserve"> (E)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4294C" w:rsidRPr="001D5368" w:rsidRDefault="00A4294C" w:rsidP="009155D1">
            <w:pPr>
              <w:rPr>
                <w:rFonts w:asciiTheme="majorHAnsi" w:hAnsiTheme="majorHAnsi"/>
                <w:sz w:val="20"/>
                <w:szCs w:val="20"/>
              </w:rPr>
            </w:pPr>
            <w:r w:rsidRPr="001D5368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b 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>model instability, in which fit</w:t>
            </w:r>
            <w:r w:rsidR="00E50F88">
              <w:rPr>
                <w:rFonts w:asciiTheme="majorHAnsi" w:hAnsiTheme="majorHAnsi"/>
                <w:sz w:val="20"/>
                <w:szCs w:val="20"/>
              </w:rPr>
              <w:t xml:space="preserve"> had</w:t>
            </w:r>
            <w:r w:rsidRPr="001D5368">
              <w:rPr>
                <w:rFonts w:asciiTheme="majorHAnsi" w:hAnsiTheme="majorHAnsi"/>
                <w:sz w:val="20"/>
                <w:szCs w:val="20"/>
              </w:rPr>
              <w:t xml:space="preserve"> “improved” in the preceding model (Model 3) resulted in a significant decrement of fit </w:t>
            </w:r>
            <w:r w:rsidRPr="001D5368">
              <w:rPr>
                <w:rFonts w:asciiTheme="majorHAnsi" w:hAnsiTheme="majorHAnsi"/>
                <w:sz w:val="20"/>
                <w:szCs w:val="20"/>
              </w:rPr>
              <w:lastRenderedPageBreak/>
              <w:t>in Model 4 compared to Model 3 (1-df test), but a non-significant change in fit compared to Model 2. Given the lack of evidence for C on ND, this path was deleted, with C44 retained to account for the C on CAD.</w:t>
            </w:r>
          </w:p>
          <w:p w:rsidR="00A4294C" w:rsidRPr="001D5368" w:rsidRDefault="00A4294C" w:rsidP="00A4294C">
            <w:pPr>
              <w:rPr>
                <w:sz w:val="20"/>
                <w:szCs w:val="20"/>
              </w:rPr>
            </w:pPr>
            <w:proofErr w:type="gramStart"/>
            <w:r w:rsidRPr="001D5368">
              <w:rPr>
                <w:rFonts w:asciiTheme="majorHAnsi" w:hAnsiTheme="majorHAnsi"/>
                <w:sz w:val="20"/>
                <w:szCs w:val="20"/>
                <w:vertAlign w:val="superscript"/>
              </w:rPr>
              <w:t>c</w:t>
            </w:r>
            <w:proofErr w:type="gramEnd"/>
            <w:r w:rsidRPr="001D5368">
              <w:rPr>
                <w:rFonts w:asciiTheme="majorHAnsi" w:hAnsiTheme="majorHAnsi"/>
                <w:sz w:val="20"/>
                <w:szCs w:val="20"/>
              </w:rPr>
              <w:t xml:space="preserve"> Final model was ACE for conduct disorder and AE for nicotine dependence, alcohol dependence, and cannabis abuse/dependence. The lower bound of the confidence interval for C44 (based on Model 12) hit 0.00 and confirmed that path C44 was not significant.</w:t>
            </w:r>
            <w:r w:rsidRPr="001D5368">
              <w:rPr>
                <w:sz w:val="20"/>
                <w:szCs w:val="20"/>
              </w:rPr>
              <w:t xml:space="preserve">  </w:t>
            </w:r>
          </w:p>
        </w:tc>
      </w:tr>
    </w:tbl>
    <w:p w:rsidR="00E5783C" w:rsidRDefault="00E5783C" w:rsidP="00EF6021">
      <w:pPr>
        <w:rPr>
          <w:rFonts w:ascii="Arial" w:hAnsi="Arial" w:cs="Arial"/>
          <w:b/>
          <w:sz w:val="20"/>
          <w:szCs w:val="20"/>
        </w:rPr>
      </w:pPr>
    </w:p>
    <w:p w:rsidR="00E5783C" w:rsidRDefault="00E578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F6021" w:rsidRPr="00292264" w:rsidRDefault="00EF6021" w:rsidP="00EF6021">
      <w:pPr>
        <w:rPr>
          <w:rFonts w:ascii="Arial" w:hAnsi="Arial" w:cs="Arial"/>
          <w:sz w:val="20"/>
          <w:szCs w:val="20"/>
        </w:rPr>
      </w:pPr>
      <w:proofErr w:type="gramStart"/>
      <w:r w:rsidRPr="00292264">
        <w:rPr>
          <w:rFonts w:ascii="Arial" w:hAnsi="Arial" w:cs="Arial"/>
          <w:b/>
          <w:sz w:val="20"/>
          <w:szCs w:val="20"/>
        </w:rPr>
        <w:lastRenderedPageBreak/>
        <w:t>Supplemental Figure 1.</w:t>
      </w:r>
      <w:proofErr w:type="gramEnd"/>
      <w:r w:rsidRPr="002922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Full Cholesky (lower triangular) parameterization for familial influences on conduct disorder, nicotine dependence, alcohol dependence, and cannabis abuse/dependence</w:t>
      </w:r>
      <w:r w:rsidRPr="0029226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324" w:type="dxa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8630"/>
        <w:gridCol w:w="264"/>
      </w:tblGrid>
      <w:tr w:rsidR="00E5783C" w:rsidTr="00E5783C">
        <w:trPr>
          <w:jc w:val="center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630" w:type="dxa"/>
            <w:tcBorders>
              <w:top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18" w:space="0" w:color="auto"/>
              <w:right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5783C" w:rsidTr="00E5783C">
        <w:trPr>
          <w:jc w:val="center"/>
        </w:trPr>
        <w:tc>
          <w:tcPr>
            <w:tcW w:w="430" w:type="dxa"/>
            <w:tcBorders>
              <w:left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630" w:type="dxa"/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4" w:type="dxa"/>
            <w:tcBorders>
              <w:right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5783C" w:rsidTr="00E5783C">
        <w:trPr>
          <w:jc w:val="center"/>
        </w:trPr>
        <w:tc>
          <w:tcPr>
            <w:tcW w:w="430" w:type="dxa"/>
            <w:tcBorders>
              <w:left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630" w:type="dxa"/>
          </w:tcPr>
          <w:p w:rsidR="00E5783C" w:rsidRDefault="00E5783C" w:rsidP="00805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2D9CAB" wp14:editId="09E04D73">
                  <wp:extent cx="5340625" cy="40054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DG_suppl_fig1_042415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593" cy="400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tcBorders>
              <w:right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5783C" w:rsidTr="00E5783C">
        <w:trPr>
          <w:jc w:val="center"/>
        </w:trPr>
        <w:tc>
          <w:tcPr>
            <w:tcW w:w="430" w:type="dxa"/>
            <w:tcBorders>
              <w:left w:val="single" w:sz="18" w:space="0" w:color="auto"/>
              <w:bottom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630" w:type="dxa"/>
            <w:tcBorders>
              <w:bottom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4" w:type="dxa"/>
            <w:tcBorders>
              <w:bottom w:val="single" w:sz="18" w:space="0" w:color="auto"/>
              <w:right w:val="single" w:sz="18" w:space="0" w:color="auto"/>
            </w:tcBorders>
          </w:tcPr>
          <w:p w:rsidR="00E5783C" w:rsidRDefault="00E5783C" w:rsidP="00805BF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5783C" w:rsidTr="00E5783C">
        <w:trPr>
          <w:jc w:val="center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783C" w:rsidRDefault="00E5783C" w:rsidP="004373F9"/>
        </w:tc>
        <w:tc>
          <w:tcPr>
            <w:tcW w:w="8630" w:type="dxa"/>
            <w:tcBorders>
              <w:top w:val="single" w:sz="18" w:space="0" w:color="auto"/>
              <w:bottom w:val="single" w:sz="18" w:space="0" w:color="auto"/>
            </w:tcBorders>
          </w:tcPr>
          <w:p w:rsidR="00E5783C" w:rsidRDefault="00E5783C" w:rsidP="004373F9">
            <w:r>
              <w:t>NOTES: Only one twin shown.</w:t>
            </w:r>
          </w:p>
          <w:p w:rsidR="00E5783C" w:rsidRPr="004373F9" w:rsidRDefault="00E5783C" w:rsidP="003A2FC1">
            <w:r>
              <w:t xml:space="preserve">Latent variables are indicated by circles; observed variables by rectangles.  A=additive genetic influences, C=shared environmental influences, nonshared environmental influences not shown. The subscript 1 indicates factors related to conduct disorder; 2 is factors related to nicotine dependence; 3 is factors related to alcohol dependence; 4 is factors related to cannabis abuse/dependence. Diagonal lines indicate paths from one measure that load onto other measures. </w:t>
            </w:r>
          </w:p>
        </w:tc>
        <w:tc>
          <w:tcPr>
            <w:tcW w:w="2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83C" w:rsidRDefault="00E5783C" w:rsidP="004373F9"/>
        </w:tc>
      </w:tr>
    </w:tbl>
    <w:p w:rsidR="003249A0" w:rsidRPr="005B423A" w:rsidRDefault="003249A0" w:rsidP="00805BFA">
      <w:pPr>
        <w:rPr>
          <w:rFonts w:ascii="Arial" w:hAnsi="Arial" w:cs="Arial"/>
          <w:sz w:val="20"/>
          <w:szCs w:val="20"/>
        </w:rPr>
      </w:pPr>
    </w:p>
    <w:p w:rsidR="003249A0" w:rsidRPr="005B423A" w:rsidRDefault="003249A0" w:rsidP="00805BFA">
      <w:pPr>
        <w:rPr>
          <w:rFonts w:ascii="Arial" w:hAnsi="Arial" w:cs="Arial"/>
          <w:sz w:val="20"/>
          <w:szCs w:val="20"/>
        </w:rPr>
      </w:pPr>
    </w:p>
    <w:p w:rsidR="003249A0" w:rsidRPr="005B423A" w:rsidRDefault="003249A0" w:rsidP="00805BFA">
      <w:pPr>
        <w:rPr>
          <w:rFonts w:ascii="Arial" w:hAnsi="Arial" w:cs="Arial"/>
          <w:sz w:val="20"/>
          <w:szCs w:val="20"/>
        </w:rPr>
      </w:pPr>
    </w:p>
    <w:p w:rsidR="003249A0" w:rsidRPr="005B423A" w:rsidRDefault="003249A0" w:rsidP="00805BFA">
      <w:pPr>
        <w:rPr>
          <w:rFonts w:ascii="Arial" w:hAnsi="Arial" w:cs="Arial"/>
          <w:sz w:val="20"/>
          <w:szCs w:val="20"/>
        </w:rPr>
      </w:pPr>
    </w:p>
    <w:p w:rsidR="003249A0" w:rsidRPr="005B423A" w:rsidRDefault="003249A0" w:rsidP="00805BFA">
      <w:pPr>
        <w:rPr>
          <w:rFonts w:ascii="Arial" w:hAnsi="Arial" w:cs="Arial"/>
          <w:sz w:val="20"/>
          <w:szCs w:val="20"/>
        </w:rPr>
      </w:pPr>
    </w:p>
    <w:p w:rsidR="003249A0" w:rsidRPr="005B423A" w:rsidRDefault="003249A0" w:rsidP="00805BFA">
      <w:pPr>
        <w:rPr>
          <w:rFonts w:ascii="Arial" w:hAnsi="Arial" w:cs="Arial"/>
          <w:sz w:val="20"/>
          <w:szCs w:val="20"/>
        </w:rPr>
      </w:pPr>
    </w:p>
    <w:p w:rsidR="003249A0" w:rsidRPr="005B423A" w:rsidRDefault="003249A0" w:rsidP="00805BFA">
      <w:pPr>
        <w:rPr>
          <w:rFonts w:ascii="Arial" w:hAnsi="Arial" w:cs="Arial"/>
          <w:sz w:val="20"/>
          <w:szCs w:val="20"/>
        </w:rPr>
      </w:pPr>
    </w:p>
    <w:p w:rsidR="003249A0" w:rsidRPr="005B423A" w:rsidRDefault="003249A0" w:rsidP="00805BFA">
      <w:pPr>
        <w:rPr>
          <w:rFonts w:ascii="Arial" w:hAnsi="Arial" w:cs="Arial"/>
          <w:sz w:val="20"/>
          <w:szCs w:val="20"/>
        </w:rPr>
      </w:pPr>
    </w:p>
    <w:sectPr w:rsidR="003249A0" w:rsidRPr="005B423A" w:rsidSect="00F24CA1">
      <w:headerReference w:type="default" r:id="rId1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BC" w:rsidRDefault="004A06BC" w:rsidP="00AF56E9">
      <w:pPr>
        <w:spacing w:after="0" w:line="240" w:lineRule="auto"/>
      </w:pPr>
      <w:r>
        <w:separator/>
      </w:r>
    </w:p>
  </w:endnote>
  <w:endnote w:type="continuationSeparator" w:id="0">
    <w:p w:rsidR="004A06BC" w:rsidRDefault="004A06BC" w:rsidP="00AF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BC" w:rsidRDefault="004A06BC" w:rsidP="00AF56E9">
      <w:pPr>
        <w:spacing w:after="0" w:line="240" w:lineRule="auto"/>
      </w:pPr>
      <w:r>
        <w:separator/>
      </w:r>
    </w:p>
  </w:footnote>
  <w:footnote w:type="continuationSeparator" w:id="0">
    <w:p w:rsidR="004A06BC" w:rsidRDefault="004A06BC" w:rsidP="00AF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D1" w:rsidRDefault="009155D1">
    <w:pPr>
      <w:pStyle w:val="Header"/>
      <w:jc w:val="right"/>
    </w:pPr>
    <w:r>
      <w:t xml:space="preserve">Genetic overlap between conduct and substance use disorders     </w:t>
    </w:r>
    <w:sdt>
      <w:sdtPr>
        <w:id w:val="5544268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6B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155D1" w:rsidRDefault="009155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152"/>
    <w:multiLevelType w:val="hybridMultilevel"/>
    <w:tmpl w:val="0A3E534E"/>
    <w:lvl w:ilvl="0" w:tplc="B4A24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D152D"/>
    <w:multiLevelType w:val="hybridMultilevel"/>
    <w:tmpl w:val="65B41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A6F3D"/>
    <w:multiLevelType w:val="hybridMultilevel"/>
    <w:tmpl w:val="5428143C"/>
    <w:lvl w:ilvl="0" w:tplc="C01A2A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Archives of General Psychiatry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pana3&lt;/item&gt;&lt;item&gt;arpana2&lt;/item&gt;&lt;item&gt;arpana2_desktop&lt;/item&gt;&lt;item&gt;Copy of arpana&lt;/item&gt;&lt;/Libraries&gt;&lt;/ENLibraries&gt;"/>
  </w:docVars>
  <w:rsids>
    <w:rsidRoot w:val="00924533"/>
    <w:rsid w:val="00025E5C"/>
    <w:rsid w:val="00032EE8"/>
    <w:rsid w:val="00043F54"/>
    <w:rsid w:val="00057091"/>
    <w:rsid w:val="00063C94"/>
    <w:rsid w:val="0009133C"/>
    <w:rsid w:val="000A17C3"/>
    <w:rsid w:val="000B6ACF"/>
    <w:rsid w:val="000C2AD9"/>
    <w:rsid w:val="000C7468"/>
    <w:rsid w:val="000D3966"/>
    <w:rsid w:val="001067BB"/>
    <w:rsid w:val="001124F7"/>
    <w:rsid w:val="00116908"/>
    <w:rsid w:val="00122AA5"/>
    <w:rsid w:val="001301D9"/>
    <w:rsid w:val="00145836"/>
    <w:rsid w:val="00150963"/>
    <w:rsid w:val="00167B4C"/>
    <w:rsid w:val="00171569"/>
    <w:rsid w:val="00172950"/>
    <w:rsid w:val="001759C4"/>
    <w:rsid w:val="00176212"/>
    <w:rsid w:val="001A0854"/>
    <w:rsid w:val="001A09F9"/>
    <w:rsid w:val="001B3122"/>
    <w:rsid w:val="001C044F"/>
    <w:rsid w:val="001D3697"/>
    <w:rsid w:val="001D389F"/>
    <w:rsid w:val="001D5368"/>
    <w:rsid w:val="001D7E74"/>
    <w:rsid w:val="001E7677"/>
    <w:rsid w:val="001F0CFD"/>
    <w:rsid w:val="001F1AAE"/>
    <w:rsid w:val="0020709D"/>
    <w:rsid w:val="00213C9E"/>
    <w:rsid w:val="00223AB5"/>
    <w:rsid w:val="00226617"/>
    <w:rsid w:val="00240B93"/>
    <w:rsid w:val="00244A2B"/>
    <w:rsid w:val="002554B2"/>
    <w:rsid w:val="0026207D"/>
    <w:rsid w:val="00262ED3"/>
    <w:rsid w:val="00270383"/>
    <w:rsid w:val="002745C3"/>
    <w:rsid w:val="00283D2B"/>
    <w:rsid w:val="0029048B"/>
    <w:rsid w:val="00292264"/>
    <w:rsid w:val="002A77F5"/>
    <w:rsid w:val="002B375C"/>
    <w:rsid w:val="002C0829"/>
    <w:rsid w:val="002C60BA"/>
    <w:rsid w:val="002D2692"/>
    <w:rsid w:val="002D5906"/>
    <w:rsid w:val="00301DE8"/>
    <w:rsid w:val="00303727"/>
    <w:rsid w:val="003069E5"/>
    <w:rsid w:val="003070EC"/>
    <w:rsid w:val="003149A2"/>
    <w:rsid w:val="00320890"/>
    <w:rsid w:val="003249A0"/>
    <w:rsid w:val="00367FFD"/>
    <w:rsid w:val="00384A42"/>
    <w:rsid w:val="0038623B"/>
    <w:rsid w:val="003A2FC1"/>
    <w:rsid w:val="003B699E"/>
    <w:rsid w:val="003C7496"/>
    <w:rsid w:val="003F109A"/>
    <w:rsid w:val="003F6B92"/>
    <w:rsid w:val="004026E6"/>
    <w:rsid w:val="0040285C"/>
    <w:rsid w:val="00403A1C"/>
    <w:rsid w:val="00413E53"/>
    <w:rsid w:val="00430DD3"/>
    <w:rsid w:val="0043152D"/>
    <w:rsid w:val="004333C6"/>
    <w:rsid w:val="004373F9"/>
    <w:rsid w:val="00437F75"/>
    <w:rsid w:val="004407B0"/>
    <w:rsid w:val="00461D82"/>
    <w:rsid w:val="0047133F"/>
    <w:rsid w:val="00476C75"/>
    <w:rsid w:val="004A06BC"/>
    <w:rsid w:val="004A5234"/>
    <w:rsid w:val="004B0E71"/>
    <w:rsid w:val="004C6846"/>
    <w:rsid w:val="004D3873"/>
    <w:rsid w:val="004E37E2"/>
    <w:rsid w:val="00500B68"/>
    <w:rsid w:val="00510BAE"/>
    <w:rsid w:val="00511FB3"/>
    <w:rsid w:val="005147F6"/>
    <w:rsid w:val="005159F4"/>
    <w:rsid w:val="005164DB"/>
    <w:rsid w:val="0051772D"/>
    <w:rsid w:val="00532253"/>
    <w:rsid w:val="00533984"/>
    <w:rsid w:val="005400A8"/>
    <w:rsid w:val="00540C5A"/>
    <w:rsid w:val="005431AC"/>
    <w:rsid w:val="0054422A"/>
    <w:rsid w:val="00546701"/>
    <w:rsid w:val="00551A04"/>
    <w:rsid w:val="00563114"/>
    <w:rsid w:val="005632E7"/>
    <w:rsid w:val="005674A5"/>
    <w:rsid w:val="00575E85"/>
    <w:rsid w:val="0058236A"/>
    <w:rsid w:val="00590879"/>
    <w:rsid w:val="00592AE2"/>
    <w:rsid w:val="0059351B"/>
    <w:rsid w:val="005A5ACE"/>
    <w:rsid w:val="005B423A"/>
    <w:rsid w:val="005E65BF"/>
    <w:rsid w:val="005F1A66"/>
    <w:rsid w:val="005F1CF9"/>
    <w:rsid w:val="005F7068"/>
    <w:rsid w:val="006021DF"/>
    <w:rsid w:val="00612BBB"/>
    <w:rsid w:val="00623544"/>
    <w:rsid w:val="00630DF3"/>
    <w:rsid w:val="00652DAE"/>
    <w:rsid w:val="006571B0"/>
    <w:rsid w:val="00672542"/>
    <w:rsid w:val="0067778F"/>
    <w:rsid w:val="00681AF5"/>
    <w:rsid w:val="00684267"/>
    <w:rsid w:val="0068457E"/>
    <w:rsid w:val="00687EA6"/>
    <w:rsid w:val="006951B6"/>
    <w:rsid w:val="006973B2"/>
    <w:rsid w:val="006A4E05"/>
    <w:rsid w:val="006B2614"/>
    <w:rsid w:val="006B5BEA"/>
    <w:rsid w:val="006C21C8"/>
    <w:rsid w:val="006C61D0"/>
    <w:rsid w:val="006E6F2B"/>
    <w:rsid w:val="006F4954"/>
    <w:rsid w:val="00715F9A"/>
    <w:rsid w:val="00717C68"/>
    <w:rsid w:val="007305A7"/>
    <w:rsid w:val="007324E3"/>
    <w:rsid w:val="0073694A"/>
    <w:rsid w:val="00753E6B"/>
    <w:rsid w:val="00773A67"/>
    <w:rsid w:val="0077614B"/>
    <w:rsid w:val="00784B89"/>
    <w:rsid w:val="00787FBC"/>
    <w:rsid w:val="007921E3"/>
    <w:rsid w:val="007A799F"/>
    <w:rsid w:val="007A7E7F"/>
    <w:rsid w:val="007B787D"/>
    <w:rsid w:val="007C791F"/>
    <w:rsid w:val="007D56E1"/>
    <w:rsid w:val="007F1678"/>
    <w:rsid w:val="00805BFA"/>
    <w:rsid w:val="008065F5"/>
    <w:rsid w:val="00815EA9"/>
    <w:rsid w:val="008205CE"/>
    <w:rsid w:val="00822861"/>
    <w:rsid w:val="008346CD"/>
    <w:rsid w:val="008614F4"/>
    <w:rsid w:val="008642CE"/>
    <w:rsid w:val="00875609"/>
    <w:rsid w:val="00893FC6"/>
    <w:rsid w:val="008A7634"/>
    <w:rsid w:val="008B7FFD"/>
    <w:rsid w:val="008C657A"/>
    <w:rsid w:val="008C761A"/>
    <w:rsid w:val="008F3237"/>
    <w:rsid w:val="008F3B17"/>
    <w:rsid w:val="00911E81"/>
    <w:rsid w:val="00914BCC"/>
    <w:rsid w:val="009155D1"/>
    <w:rsid w:val="00924533"/>
    <w:rsid w:val="0093746C"/>
    <w:rsid w:val="009443CA"/>
    <w:rsid w:val="0097173F"/>
    <w:rsid w:val="00984BBC"/>
    <w:rsid w:val="00985D13"/>
    <w:rsid w:val="00986433"/>
    <w:rsid w:val="00994E46"/>
    <w:rsid w:val="009B2064"/>
    <w:rsid w:val="009C7134"/>
    <w:rsid w:val="009E679B"/>
    <w:rsid w:val="009F15BA"/>
    <w:rsid w:val="009F17D5"/>
    <w:rsid w:val="009F73C1"/>
    <w:rsid w:val="00A05116"/>
    <w:rsid w:val="00A151CE"/>
    <w:rsid w:val="00A30DEC"/>
    <w:rsid w:val="00A366EA"/>
    <w:rsid w:val="00A40DEE"/>
    <w:rsid w:val="00A4294C"/>
    <w:rsid w:val="00A85000"/>
    <w:rsid w:val="00AA063D"/>
    <w:rsid w:val="00AC761B"/>
    <w:rsid w:val="00AE025E"/>
    <w:rsid w:val="00AF56E9"/>
    <w:rsid w:val="00B00720"/>
    <w:rsid w:val="00B050A1"/>
    <w:rsid w:val="00B05FED"/>
    <w:rsid w:val="00B14CED"/>
    <w:rsid w:val="00B21803"/>
    <w:rsid w:val="00B27E08"/>
    <w:rsid w:val="00B315FC"/>
    <w:rsid w:val="00B32C58"/>
    <w:rsid w:val="00B32E63"/>
    <w:rsid w:val="00B35F46"/>
    <w:rsid w:val="00B42C45"/>
    <w:rsid w:val="00B462BA"/>
    <w:rsid w:val="00B556D1"/>
    <w:rsid w:val="00B60CF3"/>
    <w:rsid w:val="00B636BF"/>
    <w:rsid w:val="00B7191A"/>
    <w:rsid w:val="00B83393"/>
    <w:rsid w:val="00B84559"/>
    <w:rsid w:val="00BB0505"/>
    <w:rsid w:val="00BB3D36"/>
    <w:rsid w:val="00BB5092"/>
    <w:rsid w:val="00BC35D4"/>
    <w:rsid w:val="00BD564C"/>
    <w:rsid w:val="00BE4F22"/>
    <w:rsid w:val="00BF01E0"/>
    <w:rsid w:val="00BF4BFA"/>
    <w:rsid w:val="00C04D54"/>
    <w:rsid w:val="00C52F6B"/>
    <w:rsid w:val="00C53BA7"/>
    <w:rsid w:val="00C548CA"/>
    <w:rsid w:val="00C66859"/>
    <w:rsid w:val="00C85DB3"/>
    <w:rsid w:val="00C86DE3"/>
    <w:rsid w:val="00C907DD"/>
    <w:rsid w:val="00C913A5"/>
    <w:rsid w:val="00CA5707"/>
    <w:rsid w:val="00CA684B"/>
    <w:rsid w:val="00CA7666"/>
    <w:rsid w:val="00CB2F26"/>
    <w:rsid w:val="00CC39F3"/>
    <w:rsid w:val="00D00974"/>
    <w:rsid w:val="00D1398B"/>
    <w:rsid w:val="00D36B69"/>
    <w:rsid w:val="00D53FC7"/>
    <w:rsid w:val="00D60DC4"/>
    <w:rsid w:val="00D62EAD"/>
    <w:rsid w:val="00D72268"/>
    <w:rsid w:val="00D807B0"/>
    <w:rsid w:val="00D82822"/>
    <w:rsid w:val="00D873CC"/>
    <w:rsid w:val="00D9107D"/>
    <w:rsid w:val="00D9543C"/>
    <w:rsid w:val="00DA1D90"/>
    <w:rsid w:val="00DC01A7"/>
    <w:rsid w:val="00DC1746"/>
    <w:rsid w:val="00DD10EB"/>
    <w:rsid w:val="00DD2140"/>
    <w:rsid w:val="00DD45A2"/>
    <w:rsid w:val="00DD64BB"/>
    <w:rsid w:val="00DE049D"/>
    <w:rsid w:val="00DF0769"/>
    <w:rsid w:val="00E04152"/>
    <w:rsid w:val="00E07813"/>
    <w:rsid w:val="00E07E9C"/>
    <w:rsid w:val="00E146B9"/>
    <w:rsid w:val="00E1593B"/>
    <w:rsid w:val="00E249D5"/>
    <w:rsid w:val="00E26B93"/>
    <w:rsid w:val="00E313F6"/>
    <w:rsid w:val="00E41079"/>
    <w:rsid w:val="00E4386E"/>
    <w:rsid w:val="00E507FD"/>
    <w:rsid w:val="00E50F88"/>
    <w:rsid w:val="00E5783C"/>
    <w:rsid w:val="00E61AEE"/>
    <w:rsid w:val="00E635FA"/>
    <w:rsid w:val="00E72006"/>
    <w:rsid w:val="00E739B6"/>
    <w:rsid w:val="00EA12C0"/>
    <w:rsid w:val="00EA5C24"/>
    <w:rsid w:val="00EB3252"/>
    <w:rsid w:val="00EB357B"/>
    <w:rsid w:val="00EC0C6C"/>
    <w:rsid w:val="00EC2F10"/>
    <w:rsid w:val="00EE741F"/>
    <w:rsid w:val="00EF147F"/>
    <w:rsid w:val="00EF6021"/>
    <w:rsid w:val="00F0104E"/>
    <w:rsid w:val="00F02DDB"/>
    <w:rsid w:val="00F059DA"/>
    <w:rsid w:val="00F13EB5"/>
    <w:rsid w:val="00F1714E"/>
    <w:rsid w:val="00F17C95"/>
    <w:rsid w:val="00F24CA1"/>
    <w:rsid w:val="00F3085B"/>
    <w:rsid w:val="00F40176"/>
    <w:rsid w:val="00F426BF"/>
    <w:rsid w:val="00F429B1"/>
    <w:rsid w:val="00F8026C"/>
    <w:rsid w:val="00F84A1F"/>
    <w:rsid w:val="00F954F7"/>
    <w:rsid w:val="00FA6A09"/>
    <w:rsid w:val="00FA7F31"/>
    <w:rsid w:val="00FB5427"/>
    <w:rsid w:val="00FB5F31"/>
    <w:rsid w:val="00FC08E3"/>
    <w:rsid w:val="00FF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0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39F3"/>
    <w:rPr>
      <w:color w:val="808080"/>
    </w:rPr>
  </w:style>
  <w:style w:type="paragraph" w:styleId="ListParagraph">
    <w:name w:val="List Paragraph"/>
    <w:basedOn w:val="Normal"/>
    <w:uiPriority w:val="34"/>
    <w:qFormat/>
    <w:rsid w:val="0031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E9"/>
  </w:style>
  <w:style w:type="paragraph" w:styleId="Footer">
    <w:name w:val="footer"/>
    <w:basedOn w:val="Normal"/>
    <w:link w:val="FooterChar"/>
    <w:uiPriority w:val="99"/>
    <w:unhideWhenUsed/>
    <w:rsid w:val="00AF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E9"/>
  </w:style>
  <w:style w:type="paragraph" w:styleId="Revision">
    <w:name w:val="Revision"/>
    <w:hidden/>
    <w:uiPriority w:val="99"/>
    <w:semiHidden/>
    <w:rsid w:val="004407B0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53398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0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39F3"/>
    <w:rPr>
      <w:color w:val="808080"/>
    </w:rPr>
  </w:style>
  <w:style w:type="paragraph" w:styleId="ListParagraph">
    <w:name w:val="List Paragraph"/>
    <w:basedOn w:val="Normal"/>
    <w:uiPriority w:val="34"/>
    <w:qFormat/>
    <w:rsid w:val="0031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E9"/>
  </w:style>
  <w:style w:type="paragraph" w:styleId="Footer">
    <w:name w:val="footer"/>
    <w:basedOn w:val="Normal"/>
    <w:link w:val="FooterChar"/>
    <w:uiPriority w:val="99"/>
    <w:unhideWhenUsed/>
    <w:rsid w:val="00AF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E9"/>
  </w:style>
  <w:style w:type="paragraph" w:styleId="Revision">
    <w:name w:val="Revision"/>
    <w:hidden/>
    <w:uiPriority w:val="99"/>
    <w:semiHidden/>
    <w:rsid w:val="004407B0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53398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A8D8-7094-47EE-9121-B86642DB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Arpana Agrawal</dc:creator>
  <cp:lastModifiedBy>Julie</cp:lastModifiedBy>
  <cp:revision>4</cp:revision>
  <cp:lastPrinted>2014-09-02T20:31:00Z</cp:lastPrinted>
  <dcterms:created xsi:type="dcterms:W3CDTF">2015-08-05T21:53:00Z</dcterms:created>
  <dcterms:modified xsi:type="dcterms:W3CDTF">2015-08-06T02:48:00Z</dcterms:modified>
</cp:coreProperties>
</file>