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29462" w14:textId="77777777" w:rsidR="00106D5A" w:rsidRPr="00E77A09" w:rsidRDefault="00106D5A" w:rsidP="00BC7029">
      <w:pPr>
        <w:spacing w:after="0" w:line="480" w:lineRule="auto"/>
        <w:rPr>
          <w:rFonts w:cs="Times New Roman"/>
          <w:b/>
          <w:noProof/>
          <w:sz w:val="24"/>
          <w:szCs w:val="24"/>
          <w:lang w:val="en-US"/>
        </w:rPr>
      </w:pPr>
      <w:bookmarkStart w:id="0" w:name="_GoBack"/>
      <w:bookmarkEnd w:id="0"/>
      <w:r w:rsidRPr="00E77A09">
        <w:rPr>
          <w:rFonts w:cs="Times New Roman"/>
          <w:b/>
          <w:noProof/>
          <w:sz w:val="24"/>
          <w:szCs w:val="24"/>
          <w:lang w:val="en-US"/>
        </w:rPr>
        <w:t>SUPPLEMENTARY MATERIAL</w:t>
      </w:r>
    </w:p>
    <w:p w14:paraId="0913632C" w14:textId="77777777" w:rsidR="00106D5A" w:rsidRPr="00E77A09" w:rsidRDefault="00106D5A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47D05438" w14:textId="77777777" w:rsidR="00106D5A" w:rsidRPr="00E77A09" w:rsidRDefault="00E77A0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4"/>
          <w:szCs w:val="24"/>
        </w:rPr>
      </w:pPr>
      <w:r w:rsidRPr="00E77A09">
        <w:rPr>
          <w:rFonts w:cs="Times New Roman"/>
          <w:b/>
          <w:sz w:val="24"/>
          <w:szCs w:val="24"/>
        </w:rPr>
        <w:t>N</w:t>
      </w:r>
      <w:r w:rsidR="00106D5A" w:rsidRPr="00E77A09">
        <w:rPr>
          <w:rFonts w:cs="Times New Roman"/>
          <w:b/>
          <w:sz w:val="24"/>
          <w:szCs w:val="24"/>
        </w:rPr>
        <w:t>umber of artefact-free segments</w:t>
      </w:r>
      <w:r w:rsidRPr="00E77A09">
        <w:rPr>
          <w:rFonts w:cs="Times New Roman"/>
          <w:b/>
          <w:sz w:val="24"/>
          <w:szCs w:val="24"/>
        </w:rPr>
        <w:t xml:space="preserve"> included in each condition</w:t>
      </w:r>
    </w:p>
    <w:p w14:paraId="1E3BBBE4" w14:textId="77777777" w:rsidR="00106D5A" w:rsidRPr="00E77A09" w:rsidRDefault="0094523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The average number of segments in each group for the Cue, NoGo and Go conditions is reported in Supplementary table 1. </w:t>
      </w:r>
      <w:r w:rsidR="00E77A09" w:rsidRPr="00E77A09">
        <w:rPr>
          <w:rFonts w:cs="Times New Roman"/>
          <w:color w:val="000000"/>
          <w:sz w:val="24"/>
          <w:szCs w:val="24"/>
        </w:rPr>
        <w:t xml:space="preserve">The number of segments was entered into univariate ANOVA to check for group differences, with </w:t>
      </w:r>
      <w:r w:rsidR="00F1394D">
        <w:rPr>
          <w:rFonts w:cs="Times New Roman"/>
          <w:color w:val="000000"/>
          <w:sz w:val="24"/>
          <w:szCs w:val="24"/>
        </w:rPr>
        <w:t>‘</w:t>
      </w:r>
      <w:r w:rsidR="00E77A09" w:rsidRPr="00E77A09">
        <w:rPr>
          <w:rFonts w:cs="Times New Roman"/>
          <w:color w:val="000000"/>
          <w:sz w:val="24"/>
          <w:szCs w:val="24"/>
        </w:rPr>
        <w:t>group</w:t>
      </w:r>
      <w:r w:rsidR="00F1394D">
        <w:rPr>
          <w:rFonts w:cs="Times New Roman"/>
          <w:color w:val="000000"/>
          <w:sz w:val="24"/>
          <w:szCs w:val="24"/>
        </w:rPr>
        <w:t>’</w:t>
      </w:r>
      <w:r w:rsidR="00E77A09" w:rsidRPr="00E77A09">
        <w:rPr>
          <w:rFonts w:cs="Times New Roman"/>
          <w:color w:val="000000"/>
          <w:sz w:val="24"/>
          <w:szCs w:val="24"/>
        </w:rPr>
        <w:t xml:space="preserve"> as between-subjects variable (ADHD, BD and control participants). </w:t>
      </w:r>
      <w:r w:rsidR="00106D5A" w:rsidRPr="00E77A09">
        <w:rPr>
          <w:rFonts w:cs="Times New Roman"/>
          <w:sz w:val="24"/>
          <w:szCs w:val="24"/>
        </w:rPr>
        <w:t xml:space="preserve">Groups did not differ on the number of artefact-free segments for </w:t>
      </w:r>
      <w:r w:rsidR="0026631D" w:rsidRPr="00E77A09">
        <w:rPr>
          <w:rFonts w:cs="Times New Roman"/>
          <w:sz w:val="24"/>
          <w:szCs w:val="24"/>
        </w:rPr>
        <w:t>the Cue condition [</w:t>
      </w:r>
      <w:proofErr w:type="gramStart"/>
      <w:r w:rsidR="0026631D" w:rsidRPr="00E77A09">
        <w:rPr>
          <w:rFonts w:cs="Times New Roman"/>
          <w:sz w:val="24"/>
          <w:szCs w:val="24"/>
        </w:rPr>
        <w:t>F(</w:t>
      </w:r>
      <w:proofErr w:type="gramEnd"/>
      <w:r w:rsidR="0026631D" w:rsidRPr="00E77A09">
        <w:rPr>
          <w:rFonts w:cs="Times New Roman"/>
          <w:sz w:val="24"/>
          <w:szCs w:val="24"/>
        </w:rPr>
        <w:t xml:space="preserve">2, 57)=0.30, p=0.75], the NoGo condition [F(2, 57)=0.15, p=0.87] or Go condition [F(2, 55)=0.49, p=0.62]. </w:t>
      </w:r>
    </w:p>
    <w:p w14:paraId="294AE7F3" w14:textId="77777777" w:rsidR="00106D5A" w:rsidRPr="00F02B3F" w:rsidRDefault="00106D5A" w:rsidP="00BC7029">
      <w:pPr>
        <w:spacing w:after="0" w:line="480" w:lineRule="auto"/>
        <w:rPr>
          <w:rFonts w:cs="Times New Roman"/>
          <w:noProof/>
          <w:sz w:val="24"/>
          <w:szCs w:val="24"/>
        </w:rPr>
      </w:pPr>
    </w:p>
    <w:p w14:paraId="39B126A6" w14:textId="77777777" w:rsidR="005C1D04" w:rsidRPr="00E77A09" w:rsidRDefault="00E77A09" w:rsidP="00BC7029">
      <w:pPr>
        <w:spacing w:after="0" w:line="480" w:lineRule="auto"/>
        <w:jc w:val="both"/>
        <w:rPr>
          <w:b/>
          <w:sz w:val="24"/>
          <w:szCs w:val="24"/>
          <w:lang w:val="en-US"/>
        </w:rPr>
      </w:pPr>
      <w:r w:rsidRPr="00E77A09">
        <w:rPr>
          <w:b/>
          <w:sz w:val="24"/>
          <w:szCs w:val="24"/>
          <w:lang w:val="en-US"/>
        </w:rPr>
        <w:t>Analysis of ERP parameters without baseline correction</w:t>
      </w:r>
    </w:p>
    <w:p w14:paraId="5C24922F" w14:textId="5AE0A15F" w:rsidR="00235AAB" w:rsidRDefault="00FD3C86" w:rsidP="00BC7029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lang w:val="en-US"/>
        </w:rPr>
        <w:t>T</w:t>
      </w:r>
      <w:r w:rsidR="00E77A09">
        <w:rPr>
          <w:rFonts w:cs="Arial"/>
          <w:color w:val="000000"/>
          <w:sz w:val="24"/>
          <w:szCs w:val="24"/>
        </w:rPr>
        <w:t>he majority of</w:t>
      </w:r>
      <w:r w:rsidR="00E77A09" w:rsidRPr="00E77A09">
        <w:rPr>
          <w:rFonts w:cs="Arial"/>
          <w:color w:val="000000"/>
          <w:sz w:val="24"/>
          <w:szCs w:val="24"/>
        </w:rPr>
        <w:t xml:space="preserve"> previous ERP analyses on CPT-OX </w:t>
      </w:r>
      <w:r w:rsidR="00E77A09">
        <w:rPr>
          <w:rFonts w:cs="Arial"/>
          <w:color w:val="000000"/>
          <w:sz w:val="24"/>
          <w:szCs w:val="24"/>
        </w:rPr>
        <w:t xml:space="preserve">in ADHD samples </w:t>
      </w:r>
      <w:r w:rsidR="00E77A09" w:rsidRPr="00E77A09">
        <w:rPr>
          <w:rFonts w:cs="Arial"/>
          <w:color w:val="000000"/>
          <w:sz w:val="24"/>
          <w:szCs w:val="24"/>
        </w:rPr>
        <w:t xml:space="preserve">did not apply a baseline subtraction </w:t>
      </w:r>
      <w:r w:rsidR="00E77A09" w:rsidRPr="00E77A09">
        <w:rPr>
          <w:rFonts w:cs="Arial"/>
          <w:noProof/>
          <w:color w:val="000000"/>
          <w:sz w:val="24"/>
          <w:szCs w:val="24"/>
        </w:rPr>
        <w:t xml:space="preserve">(Banaschewski </w:t>
      </w:r>
      <w:r w:rsidR="00E77A09" w:rsidRPr="00E77A09">
        <w:rPr>
          <w:rFonts w:cs="Arial"/>
          <w:i/>
          <w:color w:val="000000"/>
          <w:sz w:val="24"/>
          <w:szCs w:val="24"/>
        </w:rPr>
        <w:t>et al.</w:t>
      </w:r>
      <w:r w:rsidR="00E77A09" w:rsidRPr="00E77A09">
        <w:rPr>
          <w:rFonts w:cs="Arial"/>
          <w:color w:val="000000"/>
          <w:sz w:val="24"/>
          <w:szCs w:val="24"/>
        </w:rPr>
        <w:t xml:space="preserve"> </w:t>
      </w:r>
      <w:r w:rsidR="00E77A09" w:rsidRPr="00E77A09">
        <w:rPr>
          <w:rFonts w:cs="Arial"/>
          <w:noProof/>
          <w:color w:val="000000"/>
          <w:sz w:val="24"/>
          <w:szCs w:val="24"/>
        </w:rPr>
        <w:t xml:space="preserve">2004; McLoughlin </w:t>
      </w:r>
      <w:r w:rsidR="00E77A09" w:rsidRPr="00E77A09">
        <w:rPr>
          <w:rFonts w:cs="Arial"/>
          <w:i/>
          <w:color w:val="000000"/>
          <w:sz w:val="24"/>
          <w:szCs w:val="24"/>
        </w:rPr>
        <w:t>et al.</w:t>
      </w:r>
      <w:r w:rsidR="00E77A09" w:rsidRPr="00E77A09">
        <w:rPr>
          <w:rFonts w:cs="Arial"/>
          <w:color w:val="000000"/>
          <w:sz w:val="24"/>
          <w:szCs w:val="24"/>
        </w:rPr>
        <w:t xml:space="preserve"> </w:t>
      </w:r>
      <w:r w:rsidR="00E77A09" w:rsidRPr="00E77A09">
        <w:rPr>
          <w:rFonts w:cs="Arial"/>
          <w:noProof/>
          <w:color w:val="000000"/>
          <w:sz w:val="24"/>
          <w:szCs w:val="24"/>
        </w:rPr>
        <w:t xml:space="preserve">2010, 2011; Albrecht </w:t>
      </w:r>
      <w:r w:rsidR="00E77A09" w:rsidRPr="00E77A09">
        <w:rPr>
          <w:rFonts w:cs="Arial"/>
          <w:i/>
          <w:color w:val="000000"/>
          <w:sz w:val="24"/>
          <w:szCs w:val="24"/>
        </w:rPr>
        <w:t>et al.</w:t>
      </w:r>
      <w:r w:rsidR="00E77A09" w:rsidRPr="00E77A09">
        <w:rPr>
          <w:rFonts w:cs="Arial"/>
          <w:color w:val="000000"/>
          <w:sz w:val="24"/>
          <w:szCs w:val="24"/>
        </w:rPr>
        <w:t xml:space="preserve"> </w:t>
      </w:r>
      <w:r w:rsidR="00E77A09" w:rsidRPr="00E77A09">
        <w:rPr>
          <w:rFonts w:cs="Arial"/>
          <w:noProof/>
          <w:color w:val="000000"/>
          <w:sz w:val="24"/>
          <w:szCs w:val="24"/>
        </w:rPr>
        <w:t xml:space="preserve">2013; Doehnert </w:t>
      </w:r>
      <w:r w:rsidR="00E77A09" w:rsidRPr="00E77A09">
        <w:rPr>
          <w:rFonts w:cs="Arial"/>
          <w:i/>
          <w:color w:val="000000"/>
          <w:sz w:val="24"/>
          <w:szCs w:val="24"/>
        </w:rPr>
        <w:t>et al.</w:t>
      </w:r>
      <w:r w:rsidR="00E77A09" w:rsidRPr="00E77A09">
        <w:rPr>
          <w:rFonts w:cs="Arial"/>
          <w:color w:val="000000"/>
          <w:sz w:val="24"/>
          <w:szCs w:val="24"/>
        </w:rPr>
        <w:t xml:space="preserve"> </w:t>
      </w:r>
      <w:r w:rsidR="00E77A09" w:rsidRPr="00E77A09">
        <w:rPr>
          <w:rFonts w:cs="Arial"/>
          <w:noProof/>
          <w:color w:val="000000"/>
          <w:sz w:val="24"/>
          <w:szCs w:val="24"/>
        </w:rPr>
        <w:t>2013)</w:t>
      </w:r>
      <w:r>
        <w:rPr>
          <w:rFonts w:cs="Arial"/>
          <w:color w:val="000000"/>
          <w:sz w:val="24"/>
          <w:szCs w:val="24"/>
        </w:rPr>
        <w:t>. In this study</w:t>
      </w:r>
      <w:r w:rsidR="00945239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we chose to apply a baseline correction in order to reduce the influence of pre-stimulus activity on our ERP measures. However,</w:t>
      </w:r>
      <w:r w:rsidR="00E77A09" w:rsidRPr="00E77A09">
        <w:rPr>
          <w:rFonts w:cs="Arial"/>
          <w:color w:val="000000"/>
          <w:sz w:val="24"/>
          <w:szCs w:val="24"/>
        </w:rPr>
        <w:t xml:space="preserve"> analyses were also repeated without baseline correction </w:t>
      </w:r>
      <w:r>
        <w:rPr>
          <w:rFonts w:cs="Arial"/>
          <w:color w:val="000000"/>
          <w:sz w:val="24"/>
          <w:szCs w:val="24"/>
        </w:rPr>
        <w:t>in order to allow comparison with previous results.</w:t>
      </w:r>
      <w:r w:rsidR="002F05C8">
        <w:rPr>
          <w:rFonts w:cs="Arial"/>
          <w:color w:val="000000"/>
          <w:sz w:val="24"/>
          <w:szCs w:val="24"/>
        </w:rPr>
        <w:t xml:space="preserve"> </w:t>
      </w:r>
    </w:p>
    <w:p w14:paraId="0208F3CA" w14:textId="77777777" w:rsidR="00945239" w:rsidRDefault="00945239" w:rsidP="00BC7029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</w:p>
    <w:p w14:paraId="2C7D3046" w14:textId="77777777" w:rsidR="00235AAB" w:rsidRPr="00BB1592" w:rsidRDefault="00235AAB" w:rsidP="00BC7029">
      <w:pPr>
        <w:pStyle w:val="Heading3"/>
        <w:spacing w:before="0" w:line="480" w:lineRule="auto"/>
        <w:jc w:val="both"/>
        <w:rPr>
          <w:rFonts w:asciiTheme="minorHAnsi" w:hAnsiTheme="minorHAnsi" w:cs="Times New Roman"/>
          <w:b w:val="0"/>
          <w:i/>
          <w:color w:val="000000"/>
          <w:sz w:val="24"/>
          <w:szCs w:val="24"/>
        </w:rPr>
      </w:pPr>
      <w:bookmarkStart w:id="1" w:name="_Toc394564528"/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>Cue</w:t>
      </w:r>
      <w:bookmarkEnd w:id="1"/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 xml:space="preserve"> condition</w:t>
      </w:r>
    </w:p>
    <w:p w14:paraId="59B1C77F" w14:textId="77777777" w:rsidR="00945239" w:rsidRDefault="0094523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B1592">
        <w:rPr>
          <w:rFonts w:cs="Times New Roman"/>
          <w:color w:val="000000"/>
          <w:sz w:val="24"/>
          <w:szCs w:val="24"/>
        </w:rPr>
        <w:t>A trend-level effect of group emerged for the C</w:t>
      </w:r>
      <w:r>
        <w:rPr>
          <w:rFonts w:cs="Times New Roman"/>
          <w:color w:val="000000"/>
          <w:sz w:val="24"/>
          <w:szCs w:val="24"/>
        </w:rPr>
        <w:t>ue-P3</w:t>
      </w:r>
      <w:r w:rsidRPr="00BB1592">
        <w:rPr>
          <w:rFonts w:cs="Times New Roman"/>
          <w:color w:val="000000"/>
          <w:sz w:val="24"/>
          <w:szCs w:val="24"/>
        </w:rPr>
        <w:t xml:space="preserve"> [</w:t>
      </w:r>
      <w:proofErr w:type="gramStart"/>
      <w:r w:rsidRPr="00BB1592">
        <w:rPr>
          <w:rFonts w:cs="Times New Roman"/>
          <w:color w:val="000000"/>
          <w:sz w:val="24"/>
          <w:szCs w:val="24"/>
        </w:rPr>
        <w:t>F(</w:t>
      </w:r>
      <w:proofErr w:type="gramEnd"/>
      <w:r w:rsidRPr="00BB1592">
        <w:rPr>
          <w:rFonts w:cs="Times New Roman"/>
          <w:color w:val="000000"/>
          <w:sz w:val="24"/>
          <w:szCs w:val="24"/>
        </w:rPr>
        <w:t>2,57)=2.</w:t>
      </w:r>
      <w:r>
        <w:rPr>
          <w:rFonts w:cs="Times New Roman"/>
          <w:color w:val="000000"/>
          <w:sz w:val="24"/>
          <w:szCs w:val="24"/>
        </w:rPr>
        <w:t>48</w:t>
      </w:r>
      <w:r w:rsidRPr="00BB1592">
        <w:rPr>
          <w:rFonts w:cs="Times New Roman"/>
          <w:color w:val="000000"/>
          <w:sz w:val="24"/>
          <w:szCs w:val="24"/>
        </w:rPr>
        <w:t>, p=0.0</w:t>
      </w:r>
      <w:r>
        <w:rPr>
          <w:rFonts w:cs="Times New Roman"/>
          <w:color w:val="000000"/>
          <w:sz w:val="24"/>
          <w:szCs w:val="24"/>
        </w:rPr>
        <w:t>9</w:t>
      </w:r>
      <w:r w:rsidRPr="00BB1592">
        <w:rPr>
          <w:rFonts w:cs="Times New Roman"/>
          <w:color w:val="000000"/>
          <w:sz w:val="24"/>
          <w:szCs w:val="24"/>
        </w:rPr>
        <w:t xml:space="preserve">]. Post-hoc comparisons showed a significant difference between the ADHD and the </w:t>
      </w:r>
      <w:r>
        <w:rPr>
          <w:rFonts w:cs="Times New Roman"/>
          <w:color w:val="000000"/>
          <w:sz w:val="24"/>
          <w:szCs w:val="24"/>
        </w:rPr>
        <w:t>BD</w:t>
      </w:r>
      <w:r w:rsidRPr="00BB1592">
        <w:rPr>
          <w:rFonts w:cs="Times New Roman"/>
          <w:color w:val="000000"/>
          <w:sz w:val="24"/>
          <w:szCs w:val="24"/>
        </w:rPr>
        <w:t xml:space="preserve"> group (p=0.0</w:t>
      </w:r>
      <w:r>
        <w:rPr>
          <w:rFonts w:cs="Times New Roman"/>
          <w:color w:val="000000"/>
          <w:sz w:val="24"/>
          <w:szCs w:val="24"/>
        </w:rPr>
        <w:t>3</w:t>
      </w:r>
      <w:r w:rsidRPr="00BB1592"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color w:val="000000"/>
          <w:sz w:val="24"/>
          <w:szCs w:val="24"/>
        </w:rPr>
        <w:t>, with large effect size (Supplementary table 2).</w:t>
      </w:r>
      <w:r w:rsidRPr="00BB159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The control group did not differ from either the ADHD (p=0.59) or the BD (0.14) groups. </w:t>
      </w:r>
    </w:p>
    <w:p w14:paraId="2721A239" w14:textId="77777777" w:rsidR="00DA6D74" w:rsidRPr="00BB1592" w:rsidRDefault="00DA6D74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</w:p>
    <w:p w14:paraId="143F2A5B" w14:textId="77777777" w:rsidR="00945239" w:rsidRPr="00BB1592" w:rsidRDefault="00235AAB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B1592">
        <w:rPr>
          <w:rFonts w:cs="Times New Roman"/>
          <w:color w:val="000000"/>
          <w:sz w:val="24"/>
          <w:szCs w:val="24"/>
        </w:rPr>
        <w:lastRenderedPageBreak/>
        <w:t xml:space="preserve">A </w:t>
      </w:r>
      <w:r w:rsidR="00945239">
        <w:rPr>
          <w:rFonts w:cs="Times New Roman"/>
          <w:color w:val="000000"/>
          <w:sz w:val="24"/>
          <w:szCs w:val="24"/>
        </w:rPr>
        <w:t>significant</w:t>
      </w:r>
      <w:r w:rsidRPr="00BB1592">
        <w:rPr>
          <w:rFonts w:cs="Times New Roman"/>
          <w:color w:val="000000"/>
          <w:sz w:val="24"/>
          <w:szCs w:val="24"/>
        </w:rPr>
        <w:t xml:space="preserve"> effect of group emerged for the CNV [</w:t>
      </w:r>
      <w:proofErr w:type="gramStart"/>
      <w:r w:rsidRPr="00BB1592">
        <w:rPr>
          <w:rFonts w:cs="Times New Roman"/>
          <w:color w:val="000000"/>
          <w:sz w:val="24"/>
          <w:szCs w:val="24"/>
        </w:rPr>
        <w:t>F(</w:t>
      </w:r>
      <w:proofErr w:type="gramEnd"/>
      <w:r w:rsidRPr="00BB1592">
        <w:rPr>
          <w:rFonts w:cs="Times New Roman"/>
          <w:color w:val="000000"/>
          <w:sz w:val="24"/>
          <w:szCs w:val="24"/>
        </w:rPr>
        <w:t>2,57)=</w:t>
      </w:r>
      <w:r w:rsidR="00945239">
        <w:rPr>
          <w:rFonts w:cs="Times New Roman"/>
          <w:color w:val="000000"/>
          <w:sz w:val="24"/>
          <w:szCs w:val="24"/>
        </w:rPr>
        <w:t>3</w:t>
      </w:r>
      <w:r w:rsidRPr="00BB1592">
        <w:rPr>
          <w:rFonts w:cs="Times New Roman"/>
          <w:color w:val="000000"/>
          <w:sz w:val="24"/>
          <w:szCs w:val="24"/>
        </w:rPr>
        <w:t>.</w:t>
      </w:r>
      <w:r w:rsidR="00945239">
        <w:rPr>
          <w:rFonts w:cs="Times New Roman"/>
          <w:color w:val="000000"/>
          <w:sz w:val="24"/>
          <w:szCs w:val="24"/>
        </w:rPr>
        <w:t>68</w:t>
      </w:r>
      <w:r w:rsidRPr="00BB1592">
        <w:rPr>
          <w:rFonts w:cs="Times New Roman"/>
          <w:color w:val="000000"/>
          <w:sz w:val="24"/>
          <w:szCs w:val="24"/>
        </w:rPr>
        <w:t>, p=0.0</w:t>
      </w:r>
      <w:r w:rsidR="00945239">
        <w:rPr>
          <w:rFonts w:cs="Times New Roman"/>
          <w:color w:val="000000"/>
          <w:sz w:val="24"/>
          <w:szCs w:val="24"/>
        </w:rPr>
        <w:t>3</w:t>
      </w:r>
      <w:r w:rsidRPr="00BB1592">
        <w:rPr>
          <w:rFonts w:cs="Times New Roman"/>
          <w:color w:val="000000"/>
          <w:sz w:val="24"/>
          <w:szCs w:val="24"/>
        </w:rPr>
        <w:t>]. Post-hoc comparisons showed a significant difference between the ADHD and the control group (p=0.0</w:t>
      </w:r>
      <w:r w:rsidR="00945239">
        <w:rPr>
          <w:rFonts w:cs="Times New Roman"/>
          <w:color w:val="000000"/>
          <w:sz w:val="24"/>
          <w:szCs w:val="24"/>
        </w:rPr>
        <w:t>1</w:t>
      </w:r>
      <w:r w:rsidRPr="00BB1592">
        <w:rPr>
          <w:rFonts w:cs="Times New Roman"/>
          <w:color w:val="000000"/>
          <w:sz w:val="24"/>
          <w:szCs w:val="24"/>
        </w:rPr>
        <w:t>)</w:t>
      </w:r>
      <w:r w:rsidR="00F02B3F">
        <w:rPr>
          <w:rFonts w:cs="Times New Roman"/>
          <w:color w:val="000000"/>
          <w:sz w:val="24"/>
          <w:szCs w:val="24"/>
        </w:rPr>
        <w:t>, with large effect size (Supplementary table 2)</w:t>
      </w:r>
      <w:r w:rsidR="00945239">
        <w:rPr>
          <w:rFonts w:cs="Times New Roman"/>
          <w:color w:val="000000"/>
          <w:sz w:val="24"/>
          <w:szCs w:val="24"/>
        </w:rPr>
        <w:t xml:space="preserve">. The BD group did not differ from either the ADHD (p=0.22) or the control (0.15) groups. </w:t>
      </w:r>
    </w:p>
    <w:p w14:paraId="5648A904" w14:textId="77777777" w:rsidR="00235AAB" w:rsidRPr="00BB1592" w:rsidRDefault="00235AAB" w:rsidP="00BC7029">
      <w:pPr>
        <w:pStyle w:val="Heading3"/>
        <w:spacing w:before="0" w:line="480" w:lineRule="auto"/>
        <w:jc w:val="both"/>
        <w:rPr>
          <w:rFonts w:asciiTheme="minorHAnsi" w:hAnsiTheme="minorHAnsi" w:cs="Times New Roman"/>
          <w:b w:val="0"/>
          <w:i/>
          <w:color w:val="000000"/>
          <w:sz w:val="24"/>
          <w:szCs w:val="24"/>
        </w:rPr>
      </w:pPr>
      <w:bookmarkStart w:id="2" w:name="_Toc394564530"/>
    </w:p>
    <w:p w14:paraId="3C88F4FD" w14:textId="77777777" w:rsidR="00235AAB" w:rsidRPr="00BB1592" w:rsidRDefault="00235AAB" w:rsidP="00BC7029">
      <w:pPr>
        <w:pStyle w:val="Heading3"/>
        <w:spacing w:before="0" w:line="480" w:lineRule="auto"/>
        <w:jc w:val="both"/>
        <w:rPr>
          <w:rFonts w:asciiTheme="minorHAnsi" w:hAnsiTheme="minorHAnsi" w:cs="Times New Roman"/>
          <w:b w:val="0"/>
          <w:i/>
          <w:color w:val="000000"/>
          <w:sz w:val="24"/>
          <w:szCs w:val="24"/>
        </w:rPr>
      </w:pPr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>NoGo</w:t>
      </w:r>
      <w:bookmarkEnd w:id="2"/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 xml:space="preserve"> condition</w:t>
      </w:r>
    </w:p>
    <w:p w14:paraId="6D2B7562" w14:textId="77777777" w:rsidR="00235AAB" w:rsidRDefault="00235AAB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B1592">
        <w:rPr>
          <w:rFonts w:cs="Times New Roman"/>
          <w:color w:val="000000"/>
          <w:sz w:val="24"/>
          <w:szCs w:val="24"/>
        </w:rPr>
        <w:t>A significant effect of group on the NoGo-N2 [</w:t>
      </w:r>
      <w:proofErr w:type="gramStart"/>
      <w:r w:rsidRPr="00BB1592">
        <w:rPr>
          <w:rFonts w:cs="Times New Roman"/>
          <w:color w:val="000000"/>
          <w:sz w:val="24"/>
          <w:szCs w:val="24"/>
        </w:rPr>
        <w:t>F(</w:t>
      </w:r>
      <w:proofErr w:type="gramEnd"/>
      <w:r w:rsidRPr="00BB1592">
        <w:rPr>
          <w:rFonts w:cs="Times New Roman"/>
          <w:color w:val="000000"/>
          <w:sz w:val="24"/>
          <w:szCs w:val="24"/>
        </w:rPr>
        <w:t>2,57)=</w:t>
      </w:r>
      <w:r w:rsidR="00945239">
        <w:rPr>
          <w:rFonts w:cs="Times New Roman"/>
          <w:color w:val="000000"/>
          <w:sz w:val="24"/>
          <w:szCs w:val="24"/>
        </w:rPr>
        <w:t>5</w:t>
      </w:r>
      <w:r w:rsidRPr="00BB1592">
        <w:rPr>
          <w:rFonts w:cs="Times New Roman"/>
          <w:color w:val="000000"/>
          <w:sz w:val="24"/>
          <w:szCs w:val="24"/>
        </w:rPr>
        <w:t>.</w:t>
      </w:r>
      <w:r w:rsidR="00945239">
        <w:rPr>
          <w:rFonts w:cs="Times New Roman"/>
          <w:color w:val="000000"/>
          <w:sz w:val="24"/>
          <w:szCs w:val="24"/>
        </w:rPr>
        <w:t>12</w:t>
      </w:r>
      <w:r w:rsidRPr="00BB1592">
        <w:rPr>
          <w:rFonts w:cs="Times New Roman"/>
          <w:color w:val="000000"/>
          <w:sz w:val="24"/>
          <w:szCs w:val="24"/>
        </w:rPr>
        <w:t>, p=0.0</w:t>
      </w:r>
      <w:r w:rsidR="00945239">
        <w:rPr>
          <w:rFonts w:cs="Times New Roman"/>
          <w:color w:val="000000"/>
          <w:sz w:val="24"/>
          <w:szCs w:val="24"/>
        </w:rPr>
        <w:t>1</w:t>
      </w:r>
      <w:r w:rsidRPr="00BB1592">
        <w:rPr>
          <w:rFonts w:cs="Times New Roman"/>
          <w:color w:val="000000"/>
          <w:sz w:val="24"/>
          <w:szCs w:val="24"/>
        </w:rPr>
        <w:t>]. Post-hoc analyses revealed that BD participants significantly differed from ADHD (p=0.01) and control (p=0.0</w:t>
      </w:r>
      <w:r w:rsidR="00945239">
        <w:rPr>
          <w:rFonts w:cs="Times New Roman"/>
          <w:color w:val="000000"/>
          <w:sz w:val="24"/>
          <w:szCs w:val="24"/>
        </w:rPr>
        <w:t>2</w:t>
      </w:r>
      <w:r w:rsidRPr="00BB1592">
        <w:rPr>
          <w:rFonts w:cs="Times New Roman"/>
          <w:color w:val="000000"/>
          <w:sz w:val="24"/>
          <w:szCs w:val="24"/>
        </w:rPr>
        <w:t xml:space="preserve">) participants, </w:t>
      </w:r>
      <w:r w:rsidR="00F02B3F">
        <w:rPr>
          <w:rFonts w:cs="Times New Roman"/>
          <w:color w:val="000000"/>
          <w:sz w:val="24"/>
          <w:szCs w:val="24"/>
        </w:rPr>
        <w:t xml:space="preserve">both </w:t>
      </w:r>
      <w:r w:rsidRPr="00BB1592">
        <w:rPr>
          <w:rFonts w:cs="Times New Roman"/>
          <w:color w:val="000000"/>
          <w:sz w:val="24"/>
          <w:szCs w:val="24"/>
        </w:rPr>
        <w:t>with large effect size</w:t>
      </w:r>
      <w:r w:rsidR="00F02B3F">
        <w:rPr>
          <w:rFonts w:cs="Times New Roman"/>
          <w:color w:val="000000"/>
          <w:sz w:val="24"/>
          <w:szCs w:val="24"/>
        </w:rPr>
        <w:t>s (Supplementary table 2)</w:t>
      </w:r>
      <w:r w:rsidRPr="00BB1592">
        <w:rPr>
          <w:rFonts w:cs="Times New Roman"/>
          <w:color w:val="000000"/>
          <w:sz w:val="24"/>
          <w:szCs w:val="24"/>
        </w:rPr>
        <w:t>. The ADHD and the control groups did not differ from each other (p=0.6</w:t>
      </w:r>
      <w:r w:rsidR="00F02B3F">
        <w:rPr>
          <w:rFonts w:cs="Times New Roman"/>
          <w:color w:val="000000"/>
          <w:sz w:val="24"/>
          <w:szCs w:val="24"/>
        </w:rPr>
        <w:t>8</w:t>
      </w:r>
      <w:r w:rsidRPr="00BB1592">
        <w:rPr>
          <w:rFonts w:cs="Times New Roman"/>
          <w:color w:val="000000"/>
          <w:sz w:val="24"/>
          <w:szCs w:val="24"/>
        </w:rPr>
        <w:t>).</w:t>
      </w:r>
    </w:p>
    <w:p w14:paraId="50592E70" w14:textId="77777777" w:rsidR="00DA6D74" w:rsidRPr="00BB1592" w:rsidRDefault="00DA6D74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</w:p>
    <w:p w14:paraId="37432AE3" w14:textId="77777777" w:rsidR="00235AAB" w:rsidRDefault="00235AAB" w:rsidP="00BC7029">
      <w:pPr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B1592">
        <w:rPr>
          <w:rFonts w:cs="Times New Roman"/>
          <w:color w:val="000000"/>
          <w:sz w:val="24"/>
          <w:szCs w:val="24"/>
        </w:rPr>
        <w:t>A significant effect of group emerged on the NoGo-P3 [</w:t>
      </w:r>
      <w:proofErr w:type="gramStart"/>
      <w:r w:rsidRPr="00BB1592">
        <w:rPr>
          <w:rFonts w:cs="Times New Roman"/>
          <w:color w:val="000000"/>
          <w:sz w:val="24"/>
          <w:szCs w:val="24"/>
        </w:rPr>
        <w:t>F(</w:t>
      </w:r>
      <w:proofErr w:type="gramEnd"/>
      <w:r w:rsidRPr="00BB1592">
        <w:rPr>
          <w:rFonts w:cs="Times New Roman"/>
          <w:color w:val="000000"/>
          <w:sz w:val="24"/>
          <w:szCs w:val="24"/>
        </w:rPr>
        <w:t>2,57)=3.</w:t>
      </w:r>
      <w:r w:rsidR="00945239">
        <w:rPr>
          <w:rFonts w:cs="Times New Roman"/>
          <w:color w:val="000000"/>
          <w:sz w:val="24"/>
          <w:szCs w:val="24"/>
        </w:rPr>
        <w:t>35</w:t>
      </w:r>
      <w:r w:rsidRPr="00BB1592">
        <w:rPr>
          <w:rFonts w:cs="Times New Roman"/>
          <w:color w:val="000000"/>
          <w:sz w:val="24"/>
          <w:szCs w:val="24"/>
        </w:rPr>
        <w:t>, p=0.0</w:t>
      </w:r>
      <w:r w:rsidR="00945239">
        <w:rPr>
          <w:rFonts w:cs="Times New Roman"/>
          <w:color w:val="000000"/>
          <w:sz w:val="24"/>
          <w:szCs w:val="24"/>
        </w:rPr>
        <w:t>4</w:t>
      </w:r>
      <w:r w:rsidRPr="00BB1592">
        <w:rPr>
          <w:rFonts w:cs="Times New Roman"/>
          <w:color w:val="000000"/>
          <w:sz w:val="24"/>
          <w:szCs w:val="24"/>
        </w:rPr>
        <w:t>]. Post-hoc analyses showed that both ADHD (p=0.0</w:t>
      </w:r>
      <w:r w:rsidR="00F02B3F">
        <w:rPr>
          <w:rFonts w:cs="Times New Roman"/>
          <w:color w:val="000000"/>
          <w:sz w:val="24"/>
          <w:szCs w:val="24"/>
        </w:rPr>
        <w:t>5</w:t>
      </w:r>
      <w:r w:rsidRPr="00BB1592">
        <w:rPr>
          <w:rFonts w:cs="Times New Roman"/>
          <w:color w:val="000000"/>
          <w:sz w:val="24"/>
          <w:szCs w:val="24"/>
        </w:rPr>
        <w:t>) and BD (p=0.0</w:t>
      </w:r>
      <w:r w:rsidR="00F02B3F">
        <w:rPr>
          <w:rFonts w:cs="Times New Roman"/>
          <w:color w:val="000000"/>
          <w:sz w:val="24"/>
          <w:szCs w:val="24"/>
        </w:rPr>
        <w:t>2</w:t>
      </w:r>
      <w:r w:rsidRPr="00BB1592">
        <w:rPr>
          <w:rFonts w:cs="Times New Roman"/>
          <w:color w:val="000000"/>
          <w:sz w:val="24"/>
          <w:szCs w:val="24"/>
        </w:rPr>
        <w:t xml:space="preserve">) participants significantly differed from controls, respectively with </w:t>
      </w:r>
      <w:r w:rsidR="00F02B3F">
        <w:rPr>
          <w:rFonts w:cs="Times New Roman"/>
          <w:color w:val="000000"/>
          <w:sz w:val="24"/>
          <w:szCs w:val="24"/>
        </w:rPr>
        <w:t>medium</w:t>
      </w:r>
      <w:r w:rsidRPr="00BB1592">
        <w:rPr>
          <w:rFonts w:cs="Times New Roman"/>
          <w:color w:val="000000"/>
          <w:sz w:val="24"/>
          <w:szCs w:val="24"/>
        </w:rPr>
        <w:t xml:space="preserve"> and </w:t>
      </w:r>
      <w:r w:rsidR="00F02B3F">
        <w:rPr>
          <w:rFonts w:cs="Times New Roman"/>
          <w:color w:val="000000"/>
          <w:sz w:val="24"/>
          <w:szCs w:val="24"/>
        </w:rPr>
        <w:t>large</w:t>
      </w:r>
      <w:r w:rsidRPr="00BB1592">
        <w:rPr>
          <w:rFonts w:cs="Times New Roman"/>
          <w:color w:val="000000"/>
          <w:sz w:val="24"/>
          <w:szCs w:val="24"/>
        </w:rPr>
        <w:t xml:space="preserve"> effect sizes (</w:t>
      </w:r>
      <w:r w:rsidR="0016324A">
        <w:rPr>
          <w:rFonts w:cs="Times New Roman"/>
          <w:color w:val="000000"/>
          <w:sz w:val="24"/>
          <w:szCs w:val="24"/>
        </w:rPr>
        <w:t>Supplementary table 2</w:t>
      </w:r>
      <w:r w:rsidRPr="00BB1592">
        <w:rPr>
          <w:rFonts w:cs="Times New Roman"/>
          <w:color w:val="000000"/>
          <w:sz w:val="24"/>
          <w:szCs w:val="24"/>
        </w:rPr>
        <w:t>), but not from each other (p=0.</w:t>
      </w:r>
      <w:r w:rsidR="00F02B3F">
        <w:rPr>
          <w:rFonts w:cs="Times New Roman"/>
          <w:color w:val="000000"/>
          <w:sz w:val="24"/>
          <w:szCs w:val="24"/>
        </w:rPr>
        <w:t>55</w:t>
      </w:r>
      <w:r w:rsidRPr="00BB1592">
        <w:rPr>
          <w:rFonts w:cs="Times New Roman"/>
          <w:color w:val="000000"/>
          <w:sz w:val="24"/>
          <w:szCs w:val="24"/>
        </w:rPr>
        <w:t>).</w:t>
      </w:r>
    </w:p>
    <w:p w14:paraId="117991DE" w14:textId="77777777" w:rsidR="009F79F7" w:rsidRPr="00BB1592" w:rsidRDefault="009F79F7" w:rsidP="00BC7029">
      <w:pPr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</w:p>
    <w:p w14:paraId="26D10ABA" w14:textId="77777777" w:rsidR="00235AAB" w:rsidRPr="00BB1592" w:rsidRDefault="00235AAB" w:rsidP="00BC7029">
      <w:pPr>
        <w:pStyle w:val="Heading3"/>
        <w:spacing w:before="0" w:line="480" w:lineRule="auto"/>
        <w:jc w:val="both"/>
        <w:rPr>
          <w:rFonts w:asciiTheme="minorHAnsi" w:hAnsiTheme="minorHAnsi" w:cs="Times New Roman"/>
          <w:b w:val="0"/>
          <w:i/>
          <w:color w:val="000000"/>
          <w:sz w:val="24"/>
          <w:szCs w:val="24"/>
        </w:rPr>
      </w:pPr>
      <w:bookmarkStart w:id="3" w:name="_Toc394564532"/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>Go</w:t>
      </w:r>
      <w:bookmarkEnd w:id="3"/>
      <w:r w:rsidRPr="00BB1592">
        <w:rPr>
          <w:rFonts w:asciiTheme="minorHAnsi" w:hAnsiTheme="minorHAnsi" w:cs="Times New Roman"/>
          <w:b w:val="0"/>
          <w:i/>
          <w:color w:val="000000"/>
          <w:sz w:val="24"/>
          <w:szCs w:val="24"/>
        </w:rPr>
        <w:t xml:space="preserve"> condition</w:t>
      </w:r>
    </w:p>
    <w:p w14:paraId="3C954741" w14:textId="77777777" w:rsidR="00EE2A99" w:rsidRPr="00945239" w:rsidRDefault="00235AAB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B1592">
        <w:rPr>
          <w:rFonts w:cs="Times New Roman"/>
          <w:color w:val="000000"/>
          <w:sz w:val="24"/>
          <w:szCs w:val="24"/>
        </w:rPr>
        <w:t>No significant effect of group emerged on the Go-P3 [</w:t>
      </w:r>
      <w:proofErr w:type="gramStart"/>
      <w:r w:rsidRPr="00BB1592">
        <w:rPr>
          <w:rFonts w:cs="Times New Roman"/>
          <w:color w:val="000000"/>
          <w:sz w:val="24"/>
          <w:szCs w:val="24"/>
        </w:rPr>
        <w:t>F(</w:t>
      </w:r>
      <w:proofErr w:type="gramEnd"/>
      <w:r w:rsidRPr="00BB1592">
        <w:rPr>
          <w:rFonts w:cs="Times New Roman"/>
          <w:color w:val="000000"/>
          <w:sz w:val="24"/>
          <w:szCs w:val="24"/>
        </w:rPr>
        <w:t>2,55)=0.</w:t>
      </w:r>
      <w:r w:rsidR="00945239">
        <w:rPr>
          <w:rFonts w:cs="Times New Roman"/>
          <w:color w:val="000000"/>
          <w:sz w:val="24"/>
          <w:szCs w:val="24"/>
        </w:rPr>
        <w:t>61</w:t>
      </w:r>
      <w:r w:rsidRPr="00BB1592">
        <w:rPr>
          <w:rFonts w:cs="Times New Roman"/>
          <w:color w:val="000000"/>
          <w:sz w:val="24"/>
          <w:szCs w:val="24"/>
        </w:rPr>
        <w:t>, p=0.</w:t>
      </w:r>
      <w:r w:rsidR="00945239">
        <w:rPr>
          <w:rFonts w:cs="Times New Roman"/>
          <w:color w:val="000000"/>
          <w:sz w:val="24"/>
          <w:szCs w:val="24"/>
        </w:rPr>
        <w:t>55</w:t>
      </w:r>
      <w:r w:rsidRPr="00BB1592">
        <w:rPr>
          <w:rFonts w:cs="Times New Roman"/>
          <w:color w:val="000000"/>
          <w:sz w:val="24"/>
          <w:szCs w:val="24"/>
        </w:rPr>
        <w:t xml:space="preserve">]. </w:t>
      </w:r>
    </w:p>
    <w:p w14:paraId="45DB5F9B" w14:textId="77777777" w:rsidR="00EE2A99" w:rsidRDefault="00EE2A99" w:rsidP="00BC7029">
      <w:pPr>
        <w:spacing w:after="0" w:line="480" w:lineRule="auto"/>
      </w:pPr>
    </w:p>
    <w:p w14:paraId="3B1609A3" w14:textId="2F82CF94" w:rsidR="00F3035D" w:rsidRPr="00E77A09" w:rsidRDefault="00F3035D" w:rsidP="00BC7029">
      <w:pPr>
        <w:spacing w:after="0" w:line="48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Comparison with results </w:t>
      </w:r>
      <w:r w:rsidR="00BC7029">
        <w:rPr>
          <w:b/>
          <w:sz w:val="24"/>
          <w:szCs w:val="24"/>
          <w:lang w:val="en-US"/>
        </w:rPr>
        <w:t xml:space="preserve">of data with </w:t>
      </w:r>
      <w:r w:rsidRPr="00E77A09">
        <w:rPr>
          <w:b/>
          <w:sz w:val="24"/>
          <w:szCs w:val="24"/>
          <w:lang w:val="en-US"/>
        </w:rPr>
        <w:t>baseline correction</w:t>
      </w:r>
    </w:p>
    <w:p w14:paraId="036707AE" w14:textId="77777777" w:rsidR="004468DD" w:rsidRDefault="00C469DB" w:rsidP="004468D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lang w:val="en-US"/>
        </w:rPr>
        <w:t>Results o</w:t>
      </w:r>
      <w:r w:rsidR="00BC7029">
        <w:rPr>
          <w:rFonts w:cs="Arial"/>
          <w:color w:val="000000"/>
          <w:sz w:val="24"/>
          <w:szCs w:val="24"/>
          <w:lang w:val="en-US"/>
        </w:rPr>
        <w:t>f</w:t>
      </w:r>
      <w:r>
        <w:rPr>
          <w:rFonts w:cs="Arial"/>
          <w:color w:val="000000"/>
          <w:sz w:val="24"/>
          <w:szCs w:val="24"/>
          <w:lang w:val="en-US"/>
        </w:rPr>
        <w:t xml:space="preserve"> data without baseline correction </w:t>
      </w:r>
      <w:r w:rsidR="00C76903">
        <w:rPr>
          <w:rFonts w:cs="Arial"/>
          <w:color w:val="000000"/>
          <w:sz w:val="24"/>
          <w:szCs w:val="24"/>
        </w:rPr>
        <w:t xml:space="preserve">(Supplementary table 2) </w:t>
      </w:r>
      <w:r>
        <w:rPr>
          <w:rFonts w:cs="Arial"/>
          <w:color w:val="000000"/>
          <w:sz w:val="24"/>
          <w:szCs w:val="24"/>
          <w:lang w:val="en-US"/>
        </w:rPr>
        <w:t xml:space="preserve">showed </w:t>
      </w:r>
      <w:r>
        <w:rPr>
          <w:rFonts w:cs="Arial"/>
          <w:color w:val="000000"/>
          <w:sz w:val="24"/>
          <w:szCs w:val="24"/>
        </w:rPr>
        <w:t xml:space="preserve">a reduced Cue-P3 </w:t>
      </w:r>
      <w:r>
        <w:rPr>
          <w:rFonts w:cs="Arial"/>
          <w:color w:val="000000"/>
          <w:sz w:val="24"/>
          <w:szCs w:val="24"/>
          <w:lang w:val="en-US"/>
        </w:rPr>
        <w:t xml:space="preserve">in </w:t>
      </w:r>
      <w:r>
        <w:rPr>
          <w:rFonts w:cs="Arial"/>
          <w:color w:val="000000"/>
          <w:sz w:val="24"/>
          <w:szCs w:val="24"/>
        </w:rPr>
        <w:t>participants</w:t>
      </w:r>
      <w:r w:rsidR="002B1D59">
        <w:rPr>
          <w:rFonts w:cs="Arial"/>
          <w:color w:val="000000"/>
          <w:sz w:val="24"/>
          <w:szCs w:val="24"/>
        </w:rPr>
        <w:t xml:space="preserve"> with BD compared to participants with ADHD, which was not observed </w:t>
      </w:r>
      <w:r>
        <w:rPr>
          <w:rFonts w:cs="Arial"/>
          <w:color w:val="000000"/>
          <w:sz w:val="24"/>
          <w:szCs w:val="24"/>
        </w:rPr>
        <w:t>in data with</w:t>
      </w:r>
      <w:r w:rsidR="002B1D59">
        <w:rPr>
          <w:rFonts w:cs="Arial"/>
          <w:color w:val="000000"/>
          <w:sz w:val="24"/>
          <w:szCs w:val="24"/>
        </w:rPr>
        <w:t xml:space="preserve"> baseline correction. </w:t>
      </w:r>
      <w:r>
        <w:rPr>
          <w:rFonts w:cs="Arial"/>
          <w:color w:val="000000"/>
          <w:sz w:val="24"/>
          <w:szCs w:val="24"/>
        </w:rPr>
        <w:t>No</w:t>
      </w:r>
      <w:r w:rsidR="002B1D59">
        <w:rPr>
          <w:rFonts w:cs="Arial"/>
          <w:color w:val="000000"/>
          <w:sz w:val="24"/>
          <w:szCs w:val="24"/>
        </w:rPr>
        <w:t xml:space="preserve"> difference</w:t>
      </w:r>
      <w:r>
        <w:rPr>
          <w:rFonts w:cs="Arial"/>
          <w:color w:val="000000"/>
          <w:sz w:val="24"/>
          <w:szCs w:val="24"/>
        </w:rPr>
        <w:t xml:space="preserve"> emerged</w:t>
      </w:r>
      <w:r w:rsidR="002B1D59">
        <w:rPr>
          <w:rFonts w:cs="Arial"/>
          <w:color w:val="000000"/>
          <w:sz w:val="24"/>
          <w:szCs w:val="24"/>
        </w:rPr>
        <w:t xml:space="preserve"> between the BD and control groups in </w:t>
      </w:r>
      <w:r w:rsidR="002B1D59">
        <w:rPr>
          <w:rFonts w:cs="Arial"/>
          <w:color w:val="000000"/>
          <w:sz w:val="24"/>
          <w:szCs w:val="24"/>
        </w:rPr>
        <w:lastRenderedPageBreak/>
        <w:t>the CNV</w:t>
      </w:r>
      <w:r>
        <w:rPr>
          <w:rFonts w:cs="Arial"/>
          <w:color w:val="000000"/>
          <w:sz w:val="24"/>
          <w:szCs w:val="24"/>
        </w:rPr>
        <w:t>, which was at trend</w:t>
      </w:r>
      <w:r w:rsidR="00C7690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level in results of data with baseline correction.</w:t>
      </w:r>
      <w:r w:rsidR="004468DD">
        <w:rPr>
          <w:rFonts w:cs="Arial"/>
          <w:color w:val="000000"/>
          <w:sz w:val="24"/>
          <w:szCs w:val="24"/>
        </w:rPr>
        <w:t xml:space="preserve"> Group differences in ERPs from the NoGo and Go conditions remained the same. </w:t>
      </w:r>
    </w:p>
    <w:p w14:paraId="229E55F6" w14:textId="77777777" w:rsidR="004468DD" w:rsidRDefault="004468DD" w:rsidP="004468D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</w:p>
    <w:p w14:paraId="2FA120B3" w14:textId="628F08B6" w:rsidR="004468DD" w:rsidRDefault="004468DD" w:rsidP="00BC7029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  <w:r w:rsidRPr="00B626A6">
        <w:rPr>
          <w:rFonts w:cs="Arial"/>
          <w:color w:val="000000"/>
          <w:sz w:val="24"/>
          <w:szCs w:val="24"/>
        </w:rPr>
        <w:t xml:space="preserve">Of note, </w:t>
      </w:r>
      <w:r w:rsidR="00B3035A" w:rsidRPr="00B626A6">
        <w:rPr>
          <w:rFonts w:cs="Arial"/>
          <w:noProof/>
          <w:color w:val="000000"/>
          <w:sz w:val="24"/>
          <w:szCs w:val="24"/>
        </w:rPr>
        <w:t xml:space="preserve">an </w:t>
      </w:r>
      <w:r w:rsidR="00B3035A" w:rsidRPr="00B626A6">
        <w:rPr>
          <w:rFonts w:cs="Arial"/>
          <w:color w:val="000000"/>
          <w:sz w:val="24"/>
          <w:szCs w:val="24"/>
        </w:rPr>
        <w:t xml:space="preserve">ADHD-control </w:t>
      </w:r>
      <w:r w:rsidR="00B3035A" w:rsidRPr="00B626A6">
        <w:rPr>
          <w:rFonts w:cs="Arial"/>
          <w:noProof/>
          <w:color w:val="000000"/>
          <w:sz w:val="24"/>
          <w:szCs w:val="24"/>
        </w:rPr>
        <w:t xml:space="preserve">difference </w:t>
      </w:r>
      <w:r w:rsidR="00B3035A" w:rsidRPr="00B626A6">
        <w:rPr>
          <w:rFonts w:cs="Arial"/>
          <w:color w:val="000000"/>
          <w:sz w:val="24"/>
          <w:szCs w:val="24"/>
        </w:rPr>
        <w:t>in the Cue-P3 was</w:t>
      </w:r>
      <w:r w:rsidR="00B3035A" w:rsidRPr="00B626A6">
        <w:rPr>
          <w:rFonts w:cs="Arial"/>
          <w:noProof/>
          <w:color w:val="000000"/>
          <w:sz w:val="24"/>
          <w:szCs w:val="24"/>
        </w:rPr>
        <w:t xml:space="preserve"> not found when analysing data </w:t>
      </w:r>
      <w:r w:rsidR="00B3035A" w:rsidRPr="00B626A6">
        <w:rPr>
          <w:rFonts w:cs="Arial"/>
          <w:color w:val="000000"/>
          <w:sz w:val="24"/>
          <w:szCs w:val="24"/>
        </w:rPr>
        <w:t>with or without baseline correction. A</w:t>
      </w:r>
      <w:r w:rsidRPr="00B626A6">
        <w:rPr>
          <w:rFonts w:cs="Arial"/>
          <w:color w:val="000000"/>
          <w:sz w:val="24"/>
          <w:szCs w:val="24"/>
        </w:rPr>
        <w:t xml:space="preserve">lthough </w:t>
      </w:r>
      <w:r w:rsidR="00B3035A" w:rsidRPr="00B626A6">
        <w:rPr>
          <w:rFonts w:cs="Arial"/>
          <w:color w:val="000000"/>
          <w:sz w:val="24"/>
          <w:szCs w:val="24"/>
        </w:rPr>
        <w:t xml:space="preserve">this </w:t>
      </w:r>
      <w:r w:rsidRPr="00B626A6">
        <w:rPr>
          <w:rFonts w:cs="Arial"/>
          <w:color w:val="000000"/>
          <w:sz w:val="24"/>
          <w:szCs w:val="24"/>
        </w:rPr>
        <w:t>difference ha</w:t>
      </w:r>
      <w:r w:rsidR="00B3035A" w:rsidRPr="00B626A6">
        <w:rPr>
          <w:rFonts w:cs="Arial"/>
          <w:color w:val="000000"/>
          <w:sz w:val="24"/>
          <w:szCs w:val="24"/>
        </w:rPr>
        <w:t>s</w:t>
      </w:r>
      <w:r w:rsidRPr="00B626A6">
        <w:rPr>
          <w:rFonts w:cs="Arial"/>
          <w:color w:val="000000"/>
          <w:sz w:val="24"/>
          <w:szCs w:val="24"/>
        </w:rPr>
        <w:t xml:space="preserve"> been reported in previous studies using this task </w:t>
      </w:r>
      <w:r w:rsidR="00B3035A" w:rsidRPr="00B626A6">
        <w:rPr>
          <w:rFonts w:cs="Arial"/>
          <w:color w:val="000000"/>
          <w:sz w:val="24"/>
          <w:szCs w:val="24"/>
          <w:lang w:val="en-US"/>
        </w:rPr>
        <w:t>when a baseline subtraction was not applied</w:t>
      </w:r>
      <w:r w:rsidR="00B3035A" w:rsidRPr="00B626A6">
        <w:rPr>
          <w:rFonts w:cs="Arial"/>
          <w:color w:val="000000"/>
          <w:sz w:val="24"/>
          <w:szCs w:val="24"/>
        </w:rPr>
        <w:t xml:space="preserve"> </w:t>
      </w:r>
      <w:r w:rsidRPr="00B626A6">
        <w:rPr>
          <w:rFonts w:cs="Arial"/>
          <w:noProof/>
          <w:color w:val="000000"/>
          <w:sz w:val="24"/>
          <w:szCs w:val="24"/>
        </w:rPr>
        <w:t xml:space="preserve">(Banaschewski </w:t>
      </w:r>
      <w:r w:rsidRPr="00B626A6">
        <w:rPr>
          <w:rFonts w:cs="Arial"/>
          <w:i/>
          <w:color w:val="000000"/>
          <w:sz w:val="24"/>
          <w:szCs w:val="24"/>
        </w:rPr>
        <w:t>et al.</w:t>
      </w:r>
      <w:r w:rsidRPr="00B626A6">
        <w:rPr>
          <w:rFonts w:cs="Arial"/>
          <w:color w:val="000000"/>
          <w:sz w:val="24"/>
          <w:szCs w:val="24"/>
        </w:rPr>
        <w:t xml:space="preserve"> </w:t>
      </w:r>
      <w:r w:rsidRPr="00B626A6">
        <w:rPr>
          <w:rFonts w:cs="Arial"/>
          <w:noProof/>
          <w:color w:val="000000"/>
          <w:sz w:val="24"/>
          <w:szCs w:val="24"/>
        </w:rPr>
        <w:t xml:space="preserve">2004; McLoughlin </w:t>
      </w:r>
      <w:r w:rsidRPr="00B626A6">
        <w:rPr>
          <w:rFonts w:cs="Arial"/>
          <w:i/>
          <w:color w:val="000000"/>
          <w:sz w:val="24"/>
          <w:szCs w:val="24"/>
        </w:rPr>
        <w:t>et al.</w:t>
      </w:r>
      <w:r w:rsidRPr="00B626A6">
        <w:rPr>
          <w:rFonts w:cs="Arial"/>
          <w:color w:val="000000"/>
          <w:sz w:val="24"/>
          <w:szCs w:val="24"/>
        </w:rPr>
        <w:t xml:space="preserve"> </w:t>
      </w:r>
      <w:r w:rsidRPr="00B626A6">
        <w:rPr>
          <w:rFonts w:cs="Arial"/>
          <w:noProof/>
          <w:color w:val="000000"/>
          <w:sz w:val="24"/>
          <w:szCs w:val="24"/>
        </w:rPr>
        <w:t xml:space="preserve">2010, 2011; Albrecht </w:t>
      </w:r>
      <w:r w:rsidRPr="00B626A6">
        <w:rPr>
          <w:rFonts w:cs="Arial"/>
          <w:i/>
          <w:color w:val="000000"/>
          <w:sz w:val="24"/>
          <w:szCs w:val="24"/>
        </w:rPr>
        <w:t>et al.</w:t>
      </w:r>
      <w:r w:rsidRPr="00B626A6">
        <w:rPr>
          <w:rFonts w:cs="Arial"/>
          <w:color w:val="000000"/>
          <w:sz w:val="24"/>
          <w:szCs w:val="24"/>
        </w:rPr>
        <w:t xml:space="preserve"> </w:t>
      </w:r>
      <w:r w:rsidRPr="00B626A6">
        <w:rPr>
          <w:rFonts w:cs="Arial"/>
          <w:noProof/>
          <w:color w:val="000000"/>
          <w:sz w:val="24"/>
          <w:szCs w:val="24"/>
        </w:rPr>
        <w:t xml:space="preserve">2013; Doehnert </w:t>
      </w:r>
      <w:r w:rsidRPr="00B626A6">
        <w:rPr>
          <w:rFonts w:cs="Arial"/>
          <w:i/>
          <w:color w:val="000000"/>
          <w:sz w:val="24"/>
          <w:szCs w:val="24"/>
        </w:rPr>
        <w:t>et al.</w:t>
      </w:r>
      <w:r w:rsidRPr="00B626A6">
        <w:rPr>
          <w:rFonts w:cs="Arial"/>
          <w:color w:val="000000"/>
          <w:sz w:val="24"/>
          <w:szCs w:val="24"/>
        </w:rPr>
        <w:t xml:space="preserve"> </w:t>
      </w:r>
      <w:r w:rsidRPr="00B626A6">
        <w:rPr>
          <w:rFonts w:cs="Arial"/>
          <w:noProof/>
          <w:color w:val="000000"/>
          <w:sz w:val="24"/>
          <w:szCs w:val="24"/>
        </w:rPr>
        <w:t xml:space="preserve">2013), </w:t>
      </w:r>
      <w:r w:rsidR="00B3035A" w:rsidRPr="00B626A6">
        <w:rPr>
          <w:rFonts w:cs="Arial"/>
          <w:color w:val="000000"/>
          <w:sz w:val="24"/>
          <w:szCs w:val="24"/>
        </w:rPr>
        <w:t xml:space="preserve">this discrepancy is likely not due to the use of baseline correction. </w:t>
      </w:r>
      <w:r w:rsidR="00BD799F" w:rsidRPr="00B626A6">
        <w:rPr>
          <w:rFonts w:cs="Arial"/>
          <w:color w:val="000000"/>
          <w:sz w:val="24"/>
          <w:szCs w:val="24"/>
        </w:rPr>
        <w:t xml:space="preserve">Possible explanations for </w:t>
      </w:r>
      <w:r w:rsidR="00B3035A" w:rsidRPr="00B626A6">
        <w:rPr>
          <w:rFonts w:cs="Arial"/>
          <w:color w:val="000000"/>
          <w:sz w:val="24"/>
          <w:szCs w:val="24"/>
        </w:rPr>
        <w:t xml:space="preserve">the lack of ADHD-control difference in the Cue-P3 in this sample </w:t>
      </w:r>
      <w:r w:rsidR="00BD799F" w:rsidRPr="00B626A6">
        <w:rPr>
          <w:rFonts w:cs="Arial"/>
          <w:color w:val="000000"/>
          <w:sz w:val="24"/>
          <w:szCs w:val="24"/>
        </w:rPr>
        <w:t>are discussed in the main text</w:t>
      </w:r>
      <w:r w:rsidR="00B3035A" w:rsidRPr="00B626A6">
        <w:rPr>
          <w:rFonts w:cs="Arial"/>
          <w:color w:val="000000"/>
          <w:sz w:val="24"/>
          <w:szCs w:val="24"/>
        </w:rPr>
        <w:t xml:space="preserve"> (see Discussion section)</w:t>
      </w:r>
      <w:r w:rsidRPr="00B626A6">
        <w:rPr>
          <w:rFonts w:cs="Arial"/>
          <w:color w:val="000000"/>
          <w:sz w:val="24"/>
          <w:szCs w:val="24"/>
        </w:rPr>
        <w:t>.</w:t>
      </w:r>
    </w:p>
    <w:p w14:paraId="1865164E" w14:textId="77777777" w:rsidR="00DA6D74" w:rsidRDefault="00DA6D74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578D1258" w14:textId="08574E57" w:rsidR="00BC7029" w:rsidRDefault="00BC7029" w:rsidP="00BC7029">
      <w:pPr>
        <w:spacing w:after="0" w:line="480" w:lineRule="auto"/>
        <w:jc w:val="both"/>
        <w:rPr>
          <w:rFonts w:cs="Arial"/>
          <w:b/>
          <w:color w:val="000000"/>
          <w:sz w:val="24"/>
          <w:szCs w:val="24"/>
        </w:rPr>
      </w:pPr>
      <w:r w:rsidRPr="00BC7029">
        <w:rPr>
          <w:rFonts w:cs="Arial"/>
          <w:b/>
          <w:color w:val="000000"/>
          <w:sz w:val="24"/>
          <w:szCs w:val="24"/>
        </w:rPr>
        <w:lastRenderedPageBreak/>
        <w:t>SUPPLEMENTARY TABLES</w:t>
      </w:r>
    </w:p>
    <w:p w14:paraId="688634F7" w14:textId="77777777" w:rsidR="00BC7029" w:rsidRPr="00BC7029" w:rsidRDefault="00BC7029" w:rsidP="00BC7029">
      <w:pPr>
        <w:spacing w:after="0" w:line="480" w:lineRule="auto"/>
        <w:jc w:val="both"/>
        <w:rPr>
          <w:rFonts w:cs="Arial"/>
          <w:b/>
          <w:color w:val="000000"/>
          <w:sz w:val="24"/>
          <w:szCs w:val="24"/>
        </w:rPr>
      </w:pPr>
    </w:p>
    <w:p w14:paraId="21F04A4A" w14:textId="77777777" w:rsidR="00BC7029" w:rsidRPr="00E77A09" w:rsidRDefault="00BC702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E77A09">
        <w:rPr>
          <w:rFonts w:cs="Times New Roman"/>
          <w:b/>
          <w:color w:val="000000"/>
          <w:sz w:val="24"/>
          <w:szCs w:val="24"/>
          <w:lang w:val="en-US"/>
        </w:rPr>
        <w:t xml:space="preserve">Supplementary </w:t>
      </w:r>
      <w:r w:rsidRPr="00E77A09">
        <w:rPr>
          <w:rFonts w:cs="Times New Roman"/>
          <w:b/>
          <w:color w:val="000000"/>
          <w:sz w:val="24"/>
          <w:szCs w:val="24"/>
        </w:rPr>
        <w:t xml:space="preserve">table 1 </w:t>
      </w:r>
      <w:r w:rsidRPr="00E77A09">
        <w:rPr>
          <w:rFonts w:cs="Times New Roman"/>
          <w:color w:val="000000"/>
          <w:sz w:val="24"/>
          <w:szCs w:val="24"/>
        </w:rPr>
        <w:t xml:space="preserve">Mean (SD) number of artefact-free segments in each ERP average </w:t>
      </w:r>
      <w:r>
        <w:rPr>
          <w:rFonts w:cs="Times New Roman"/>
          <w:color w:val="000000"/>
          <w:sz w:val="24"/>
          <w:szCs w:val="24"/>
        </w:rPr>
        <w:t xml:space="preserve">by </w:t>
      </w:r>
      <w:r w:rsidRPr="00E77A09">
        <w:rPr>
          <w:rFonts w:cs="Times New Roman"/>
          <w:color w:val="000000"/>
          <w:sz w:val="24"/>
          <w:szCs w:val="24"/>
        </w:rPr>
        <w:t xml:space="preserve">group </w:t>
      </w:r>
      <w:r>
        <w:rPr>
          <w:rFonts w:cs="Times New Roman"/>
          <w:color w:val="000000"/>
          <w:sz w:val="24"/>
          <w:szCs w:val="24"/>
        </w:rPr>
        <w:t xml:space="preserve">and condition </w:t>
      </w:r>
      <w:r w:rsidRPr="00E77A09">
        <w:rPr>
          <w:rFonts w:cs="Times New Roman"/>
          <w:color w:val="000000"/>
          <w:sz w:val="24"/>
          <w:szCs w:val="24"/>
        </w:rPr>
        <w:t>during the CPT-OX.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879"/>
        <w:gridCol w:w="1803"/>
        <w:gridCol w:w="1939"/>
      </w:tblGrid>
      <w:tr w:rsidR="00BC7029" w:rsidRPr="00E77A09" w14:paraId="4C52BB1C" w14:textId="77777777" w:rsidTr="00463114">
        <w:trPr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1A5EB7E6" w14:textId="77777777" w:rsidR="00BC7029" w:rsidRPr="00E77A09" w:rsidRDefault="00BC7029" w:rsidP="00D34AD0">
            <w:pPr>
              <w:autoSpaceDE w:val="0"/>
              <w:autoSpaceDN w:val="0"/>
              <w:adjustRightInd w:val="0"/>
              <w:spacing w:after="0" w:line="48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1C32E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ADHD (n=20)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</w:p>
          <w:p w14:paraId="2A698046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C6AB8A0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BD (n=20)</w:t>
            </w:r>
          </w:p>
          <w:p w14:paraId="153998A3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5DA155C4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Controls (n=20)</w:t>
            </w:r>
          </w:p>
          <w:p w14:paraId="11643505" w14:textId="77777777" w:rsidR="00BC7029" w:rsidRPr="00E77A09" w:rsidRDefault="00BC702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77A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</w:tr>
      <w:tr w:rsidR="00BC7029" w:rsidRPr="00E77A09" w14:paraId="14AA9ACC" w14:textId="77777777" w:rsidTr="00463114">
        <w:trPr>
          <w:jc w:val="center"/>
        </w:trPr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E10727" w14:textId="77777777" w:rsidR="00BC7029" w:rsidRPr="00E77A09" w:rsidRDefault="00BC7029" w:rsidP="00D34AD0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b/>
                <w:color w:val="000000"/>
                <w:sz w:val="24"/>
                <w:szCs w:val="24"/>
              </w:rPr>
              <w:t>Cue</w:t>
            </w:r>
          </w:p>
        </w:tc>
        <w:tc>
          <w:tcPr>
            <w:tcW w:w="18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DC1ECF" w14:textId="77777777" w:rsidR="00BC7029" w:rsidRPr="00E77A09" w:rsidRDefault="00BC7029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58.35 (11.65)</w:t>
            </w: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96DB84" w14:textId="77777777" w:rsidR="00BC7029" w:rsidRPr="00E77A09" w:rsidRDefault="00BC7029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60.10 (10.28)</w:t>
            </w:r>
          </w:p>
        </w:tc>
        <w:tc>
          <w:tcPr>
            <w:tcW w:w="1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703B95" w14:textId="77777777" w:rsidR="00BC7029" w:rsidRPr="00E77A09" w:rsidRDefault="00BC7029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60.80 (9.05)</w:t>
            </w:r>
          </w:p>
        </w:tc>
      </w:tr>
      <w:tr w:rsidR="00463114" w:rsidRPr="00E77A09" w14:paraId="16620CE5" w14:textId="77777777" w:rsidTr="00463114">
        <w:trPr>
          <w:jc w:val="center"/>
        </w:trPr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</w:tcPr>
          <w:p w14:paraId="4F713DC1" w14:textId="3EF236E0" w:rsidR="00463114" w:rsidRPr="00463114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63114">
              <w:rPr>
                <w:rFonts w:cs="Times New Roman"/>
                <w:b/>
                <w:color w:val="000000"/>
                <w:sz w:val="24"/>
                <w:szCs w:val="24"/>
              </w:rPr>
              <w:t>NoGo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</w:tcPr>
          <w:p w14:paraId="465AFD30" w14:textId="6D2FF701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30.75 (3.78)</w:t>
            </w:r>
          </w:p>
        </w:tc>
        <w:tc>
          <w:tcPr>
            <w:tcW w:w="1803" w:type="dxa"/>
            <w:tcBorders>
              <w:top w:val="nil"/>
              <w:bottom w:val="nil"/>
            </w:tcBorders>
            <w:shd w:val="clear" w:color="auto" w:fill="auto"/>
          </w:tcPr>
          <w:p w14:paraId="2BAFFFBE" w14:textId="6423D414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30.05 (4.73)</w:t>
            </w: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auto"/>
          </w:tcPr>
          <w:p w14:paraId="19F2E5AE" w14:textId="4D8BE0B3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77A09">
              <w:rPr>
                <w:rFonts w:cs="Times New Roman"/>
                <w:color w:val="000000"/>
                <w:sz w:val="24"/>
                <w:szCs w:val="24"/>
              </w:rPr>
              <w:t>30.30 (3.85)</w:t>
            </w:r>
          </w:p>
        </w:tc>
      </w:tr>
      <w:tr w:rsidR="00463114" w:rsidRPr="00E77A09" w14:paraId="06DC2070" w14:textId="77777777" w:rsidTr="00463114">
        <w:trPr>
          <w:jc w:val="center"/>
        </w:trPr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F7978" w14:textId="0A382047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D3C86">
              <w:rPr>
                <w:rFonts w:cs="Times New Roman"/>
                <w:b/>
                <w:color w:val="000000"/>
                <w:sz w:val="24"/>
                <w:szCs w:val="24"/>
              </w:rPr>
              <w:t>Go</w:t>
            </w: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3A437" w14:textId="263AF0D4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3C86">
              <w:rPr>
                <w:rFonts w:cs="Times New Roman"/>
                <w:color w:val="000000"/>
                <w:sz w:val="24"/>
                <w:szCs w:val="24"/>
              </w:rPr>
              <w:t>29.22 (5.99)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FD7F3" w14:textId="3E35AEDC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3C86">
              <w:rPr>
                <w:rFonts w:cs="Times New Roman"/>
                <w:color w:val="000000"/>
                <w:sz w:val="24"/>
                <w:szCs w:val="24"/>
              </w:rPr>
              <w:t>29.20 (5.29)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C7CC9" w14:textId="2C821074" w:rsidR="00463114" w:rsidRPr="00E77A09" w:rsidRDefault="00463114" w:rsidP="00D34AD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D3C86">
              <w:rPr>
                <w:rFonts w:cs="Times New Roman"/>
                <w:color w:val="000000"/>
                <w:sz w:val="24"/>
                <w:szCs w:val="24"/>
              </w:rPr>
              <w:t>30.65 (4.87)</w:t>
            </w:r>
          </w:p>
        </w:tc>
      </w:tr>
    </w:tbl>
    <w:p w14:paraId="3660A1FE" w14:textId="77777777" w:rsidR="00BC7029" w:rsidRDefault="00BC702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E77A09">
        <w:rPr>
          <w:rFonts w:cs="Times New Roman"/>
          <w:color w:val="000000"/>
          <w:sz w:val="24"/>
          <w:szCs w:val="24"/>
        </w:rPr>
        <w:t>Abbreviations: ADHD, attention deficit hyperactivity disorder; BD, bipolar disorder.</w:t>
      </w:r>
    </w:p>
    <w:p w14:paraId="34336218" w14:textId="77777777" w:rsidR="00BC7029" w:rsidRPr="00E77A09" w:rsidRDefault="00BC702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*Only 18 ADHD participants were included in the average of the Go condition, as two subjects did not have at least 20 artefact-free segments.</w:t>
      </w:r>
    </w:p>
    <w:p w14:paraId="5A058C9D" w14:textId="77777777" w:rsidR="00BC7029" w:rsidRPr="00BC7029" w:rsidRDefault="00BC7029" w:rsidP="00BC7029">
      <w:pPr>
        <w:spacing w:after="0" w:line="480" w:lineRule="auto"/>
        <w:jc w:val="both"/>
        <w:sectPr w:rsidR="00BC7029" w:rsidRPr="00BC7029" w:rsidSect="00FC77C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EF92BB" w14:textId="77777777" w:rsidR="00EE2A99" w:rsidRPr="00175EA7" w:rsidRDefault="00EE2A9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Supplementary t</w:t>
      </w:r>
      <w:r w:rsidRPr="00175EA7">
        <w:rPr>
          <w:rFonts w:cs="Times New Roman"/>
          <w:b/>
          <w:color w:val="000000"/>
          <w:sz w:val="24"/>
          <w:szCs w:val="24"/>
        </w:rPr>
        <w:t xml:space="preserve">able </w:t>
      </w:r>
      <w:r>
        <w:rPr>
          <w:rFonts w:cs="Times New Roman"/>
          <w:b/>
          <w:color w:val="000000"/>
          <w:sz w:val="24"/>
          <w:szCs w:val="24"/>
        </w:rPr>
        <w:t>2</w:t>
      </w:r>
      <w:r w:rsidRPr="00175EA7">
        <w:rPr>
          <w:rFonts w:cs="Times New Roman"/>
          <w:color w:val="000000"/>
          <w:sz w:val="24"/>
          <w:szCs w:val="24"/>
        </w:rPr>
        <w:t xml:space="preserve"> ERP measures from the CPT-OX</w:t>
      </w:r>
      <w:r w:rsidR="00FD3C86">
        <w:rPr>
          <w:rFonts w:cs="Times New Roman"/>
          <w:color w:val="000000"/>
          <w:sz w:val="24"/>
          <w:szCs w:val="24"/>
        </w:rPr>
        <w:t xml:space="preserve"> (without baseline correction)</w:t>
      </w:r>
      <w:r w:rsidRPr="00175EA7">
        <w:rPr>
          <w:rFonts w:cs="Times New Roman"/>
          <w:color w:val="000000"/>
          <w:sz w:val="24"/>
          <w:szCs w:val="24"/>
        </w:rPr>
        <w:t xml:space="preserve">: means (SDs), effect sizes (Cohen’s d) and significance of </w:t>
      </w:r>
      <w:r w:rsidRPr="00175EA7">
        <w:rPr>
          <w:rFonts w:cs="Times New Roman"/>
          <w:sz w:val="24"/>
          <w:szCs w:val="24"/>
        </w:rPr>
        <w:t>group comparisons</w:t>
      </w:r>
      <w:r w:rsidRPr="00175EA7">
        <w:rPr>
          <w:rFonts w:cs="Times New Roman"/>
          <w:color w:val="000000"/>
          <w:sz w:val="24"/>
          <w:szCs w:val="24"/>
        </w:rPr>
        <w:t>.</w:t>
      </w:r>
    </w:p>
    <w:tbl>
      <w:tblPr>
        <w:tblW w:w="1365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09"/>
        <w:gridCol w:w="2065"/>
        <w:gridCol w:w="1827"/>
        <w:gridCol w:w="1973"/>
        <w:gridCol w:w="2093"/>
        <w:gridCol w:w="1899"/>
      </w:tblGrid>
      <w:tr w:rsidR="00EE2A99" w:rsidRPr="00175EA7" w14:paraId="3003AF74" w14:textId="77777777" w:rsidTr="002B2226">
        <w:trPr>
          <w:trHeight w:val="629"/>
          <w:jc w:val="center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61C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A8E029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ADHD (n=20)</w:t>
            </w:r>
            <w:r w:rsidR="00F02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</w:p>
          <w:p w14:paraId="59AC6361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D6774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BD (n=20)</w:t>
            </w:r>
          </w:p>
          <w:p w14:paraId="11269BD2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021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Controls (n=20)</w:t>
            </w:r>
          </w:p>
          <w:p w14:paraId="23BE553E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mean (SD)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8E84A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ADHD vs. BD </w:t>
            </w:r>
          </w:p>
          <w:p w14:paraId="375444A3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effect size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(d)</w:t>
            </w:r>
          </w:p>
        </w:tc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14:paraId="36D9EE51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ADHD vs. Controls </w:t>
            </w: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effect size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(d)</w:t>
            </w:r>
          </w:p>
        </w:tc>
        <w:tc>
          <w:tcPr>
            <w:tcW w:w="1899" w:type="dxa"/>
            <w:tcBorders>
              <w:bottom w:val="single" w:sz="4" w:space="0" w:color="auto"/>
              <w:right w:val="nil"/>
            </w:tcBorders>
            <w:vAlign w:val="center"/>
          </w:tcPr>
          <w:p w14:paraId="61986FBE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BD vs. Controls </w:t>
            </w:r>
            <w:r w:rsidRPr="00175EA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effect size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(d)</w:t>
            </w:r>
          </w:p>
        </w:tc>
      </w:tr>
      <w:tr w:rsidR="00EE2A99" w:rsidRPr="00175EA7" w14:paraId="2C1D4651" w14:textId="77777777" w:rsidTr="002B2226">
        <w:trPr>
          <w:trHeight w:val="315"/>
          <w:jc w:val="center"/>
        </w:trPr>
        <w:tc>
          <w:tcPr>
            <w:tcW w:w="19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068" w14:textId="77777777" w:rsidR="00EE2A99" w:rsidRPr="00175EA7" w:rsidRDefault="00EE2A99" w:rsidP="00D34AD0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Cue-P3 at Pz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E3DE265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 (1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37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233ADF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41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25A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47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67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242A1" w14:textId="565BC971" w:rsidR="00EE2A99" w:rsidRPr="00B8362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B626A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0.</w:t>
            </w:r>
            <w:r w:rsidR="00F02B3F" w:rsidRPr="00B626A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75</w:t>
            </w:r>
            <w:r w:rsidR="00F02B3F" w:rsidRPr="002F05C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2522DEC0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center"/>
          </w:tcPr>
          <w:p w14:paraId="45C8316F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0.</w:t>
            </w:r>
            <w:r w:rsidR="00F02B3F" w:rsidRPr="00F02B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EE2A99" w:rsidRPr="00175EA7" w14:paraId="12675E81" w14:textId="77777777" w:rsidTr="002B2226">
        <w:trPr>
          <w:trHeight w:val="315"/>
          <w:jc w:val="center"/>
        </w:trPr>
        <w:tc>
          <w:tcPr>
            <w:tcW w:w="19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6D7" w14:textId="77777777" w:rsidR="00EE2A99" w:rsidRPr="00175EA7" w:rsidRDefault="00EE2A99" w:rsidP="00D34AD0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CNV at Cz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1B94902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33 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0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C3291CA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79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29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7D7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50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235A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74</w:t>
            </w: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80455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7F2B17AD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0.</w:t>
            </w:r>
            <w:r w:rsidR="00F02B3F"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85</w:t>
            </w: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center"/>
          </w:tcPr>
          <w:p w14:paraId="33385025" w14:textId="1A4BDD41" w:rsidR="00EE2A99" w:rsidRPr="00B626A6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B626A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  <w:lang w:eastAsia="en-GB"/>
              </w:rPr>
              <w:t>0.</w:t>
            </w:r>
            <w:r w:rsidR="00F02B3F" w:rsidRPr="00B626A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B626A6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  <w:lang w:eastAsia="en-GB"/>
              </w:rPr>
              <w:t>8</w:t>
            </w:r>
          </w:p>
        </w:tc>
      </w:tr>
      <w:tr w:rsidR="00EE2A99" w:rsidRPr="00175EA7" w14:paraId="385437F3" w14:textId="77777777" w:rsidTr="002B2226">
        <w:trPr>
          <w:trHeight w:val="315"/>
          <w:jc w:val="center"/>
        </w:trPr>
        <w:tc>
          <w:tcPr>
            <w:tcW w:w="19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425" w14:textId="77777777" w:rsidR="00EE2A99" w:rsidRPr="00175EA7" w:rsidRDefault="00EE2A99" w:rsidP="00D34AD0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NoGo-N2 at Fz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FC00BA5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-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0.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45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96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B885E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90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94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64D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-0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64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88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4F51A" w14:textId="77777777" w:rsidR="00EE2A99" w:rsidRPr="00941EC5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41EC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90</w:t>
            </w:r>
            <w:r w:rsidRPr="00941EC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2CFBCD79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0.1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center"/>
          </w:tcPr>
          <w:p w14:paraId="53066B6E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0.</w:t>
            </w:r>
            <w:r w:rsidR="00F02B3F"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83</w:t>
            </w: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</w:tr>
      <w:tr w:rsidR="00EE2A99" w:rsidRPr="00175EA7" w14:paraId="150FA4DD" w14:textId="77777777" w:rsidTr="002B2226">
        <w:trPr>
          <w:trHeight w:val="315"/>
          <w:jc w:val="center"/>
        </w:trPr>
        <w:tc>
          <w:tcPr>
            <w:tcW w:w="19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8B7" w14:textId="77777777" w:rsidR="00EE2A99" w:rsidRPr="00175EA7" w:rsidRDefault="00EE2A99" w:rsidP="00D34AD0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NoGo-P3 at Cz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86DBA3D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92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206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8E941E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93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4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A8F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4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50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69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45CDD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2DB46C1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0.</w:t>
            </w:r>
            <w:r w:rsidR="00F02B3F" w:rsidRPr="00F02B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67</w:t>
            </w:r>
            <w:r w:rsidR="00F02B3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center"/>
          </w:tcPr>
          <w:p w14:paraId="013623FF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0.7</w:t>
            </w:r>
            <w:r w:rsidR="00F02B3F"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9</w:t>
            </w:r>
            <w:r w:rsidRPr="00F02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</w:p>
        </w:tc>
      </w:tr>
      <w:tr w:rsidR="00EE2A99" w:rsidRPr="00175EA7" w14:paraId="5CF0A778" w14:textId="77777777" w:rsidTr="002B2226">
        <w:trPr>
          <w:trHeight w:val="315"/>
          <w:jc w:val="center"/>
        </w:trPr>
        <w:tc>
          <w:tcPr>
            <w:tcW w:w="19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0BF" w14:textId="77777777" w:rsidR="00EE2A99" w:rsidRPr="00175EA7" w:rsidRDefault="00EE2A99" w:rsidP="00D34AD0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Go-P3 at CPz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02FAE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77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76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1EF74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20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85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100" w14:textId="77777777" w:rsidR="00EE2A99" w:rsidRPr="00175EA7" w:rsidRDefault="00235AAB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63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 xml:space="preserve"> (</w:t>
            </w:r>
            <w:r w:rsidR="00EE2A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2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11</w:t>
            </w:r>
            <w:r w:rsidR="00EE2A99"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en-GB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5215E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ADCA13" w14:textId="77777777" w:rsidR="00EE2A99" w:rsidRPr="00F02B3F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0.4</w:t>
            </w:r>
            <w:r w:rsidR="00F02B3F" w:rsidRP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2DF3D8" w14:textId="77777777" w:rsidR="00EE2A99" w:rsidRPr="00175EA7" w:rsidRDefault="00EE2A99" w:rsidP="00D34AD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175E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</w:t>
            </w:r>
            <w:r w:rsidR="00F02B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</w:tr>
    </w:tbl>
    <w:p w14:paraId="17558621" w14:textId="355452CF" w:rsidR="00EE2A99" w:rsidRPr="00175EA7" w:rsidRDefault="00EE2A9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175EA7">
        <w:rPr>
          <w:rFonts w:cs="Times New Roman"/>
          <w:color w:val="000000"/>
          <w:sz w:val="24"/>
          <w:szCs w:val="24"/>
        </w:rPr>
        <w:t xml:space="preserve">Note: mean and SD were calculated on raw data. </w:t>
      </w:r>
      <w:r>
        <w:rPr>
          <w:rFonts w:cs="Times New Roman"/>
          <w:color w:val="000000"/>
          <w:sz w:val="24"/>
          <w:szCs w:val="24"/>
        </w:rPr>
        <w:t>Large effect sizes are given in bold, m</w:t>
      </w:r>
      <w:r w:rsidRPr="00175EA7">
        <w:rPr>
          <w:rFonts w:cs="Times New Roman"/>
          <w:color w:val="000000"/>
          <w:sz w:val="24"/>
          <w:szCs w:val="24"/>
        </w:rPr>
        <w:t>edium effect sizes are given in italics; *p</w:t>
      </w:r>
      <w:r>
        <w:rPr>
          <w:rFonts w:cs="Times New Roman"/>
          <w:color w:val="000000"/>
          <w:sz w:val="24"/>
          <w:szCs w:val="24"/>
        </w:rPr>
        <w:t>&lt;</w:t>
      </w:r>
      <w:r w:rsidRPr="00175EA7">
        <w:rPr>
          <w:rFonts w:cs="Times New Roman"/>
          <w:color w:val="000000"/>
          <w:sz w:val="24"/>
          <w:szCs w:val="24"/>
        </w:rPr>
        <w:t>0.05, †p</w:t>
      </w:r>
      <w:r>
        <w:rPr>
          <w:rFonts w:cs="Times New Roman"/>
          <w:color w:val="000000"/>
          <w:sz w:val="24"/>
          <w:szCs w:val="24"/>
        </w:rPr>
        <w:t>&lt;</w:t>
      </w:r>
      <w:r w:rsidRPr="00175EA7">
        <w:rPr>
          <w:rFonts w:cs="Times New Roman"/>
          <w:color w:val="000000"/>
          <w:sz w:val="24"/>
          <w:szCs w:val="24"/>
        </w:rPr>
        <w:t>0.</w:t>
      </w:r>
      <w:r>
        <w:rPr>
          <w:rFonts w:cs="Times New Roman"/>
          <w:color w:val="000000"/>
          <w:sz w:val="24"/>
          <w:szCs w:val="24"/>
        </w:rPr>
        <w:t>1</w:t>
      </w:r>
      <w:r w:rsidRPr="00175EA7">
        <w:rPr>
          <w:rFonts w:cs="Times New Roman"/>
          <w:color w:val="000000"/>
          <w:sz w:val="24"/>
          <w:szCs w:val="24"/>
        </w:rPr>
        <w:t>0</w:t>
      </w:r>
      <w:r w:rsidR="00C76903">
        <w:rPr>
          <w:rFonts w:cs="Times New Roman"/>
          <w:color w:val="000000"/>
          <w:sz w:val="24"/>
          <w:szCs w:val="24"/>
        </w:rPr>
        <w:t>;</w:t>
      </w:r>
      <w:r w:rsidR="002F05C8">
        <w:rPr>
          <w:rFonts w:cs="Times New Roman"/>
          <w:color w:val="000000"/>
          <w:sz w:val="24"/>
          <w:szCs w:val="24"/>
        </w:rPr>
        <w:t xml:space="preserve"> </w:t>
      </w:r>
      <w:r w:rsidR="00C7690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</w:t>
      </w:r>
      <w:r w:rsidR="00B83627" w:rsidRPr="00B8362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esult</w:t>
      </w:r>
      <w:r w:rsidR="002B1D5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</w:t>
      </w:r>
      <w:r w:rsidR="00B83627" w:rsidRPr="00B8362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="00766AB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changing compared to analysis of</w:t>
      </w:r>
      <w:r w:rsidR="00B83627" w:rsidRPr="00B83627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data with baseline correction</w:t>
      </w:r>
      <w:r w:rsidR="002B1D5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are underlined</w:t>
      </w:r>
      <w:r w:rsidRPr="00175EA7">
        <w:rPr>
          <w:rFonts w:cs="Times New Roman"/>
          <w:color w:val="000000"/>
          <w:sz w:val="24"/>
          <w:szCs w:val="24"/>
        </w:rPr>
        <w:t>.</w:t>
      </w:r>
    </w:p>
    <w:p w14:paraId="47076A2B" w14:textId="77777777" w:rsidR="00EE2A99" w:rsidRDefault="00EE2A99" w:rsidP="00BC7029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175EA7">
        <w:rPr>
          <w:rFonts w:cs="Times New Roman"/>
          <w:color w:val="000000"/>
          <w:sz w:val="24"/>
          <w:szCs w:val="24"/>
        </w:rPr>
        <w:t xml:space="preserve">Abbreviations: </w:t>
      </w:r>
      <w:r w:rsidRPr="00175EA7">
        <w:rPr>
          <w:rFonts w:cs="Times New Roman"/>
          <w:sz w:val="24"/>
          <w:szCs w:val="24"/>
        </w:rPr>
        <w:t xml:space="preserve">ADHD, attention deficit hyperactivity </w:t>
      </w:r>
      <w:r>
        <w:rPr>
          <w:rFonts w:cs="Times New Roman"/>
          <w:sz w:val="24"/>
          <w:szCs w:val="24"/>
        </w:rPr>
        <w:t>disorder; BD, bipolar disorder</w:t>
      </w:r>
      <w:r w:rsidR="00FD3C86">
        <w:rPr>
          <w:rFonts w:cs="Times New Roman"/>
          <w:sz w:val="24"/>
          <w:szCs w:val="24"/>
        </w:rPr>
        <w:t>; CNV, contingent negative variation</w:t>
      </w:r>
      <w:r>
        <w:rPr>
          <w:rFonts w:cs="Times New Roman"/>
          <w:sz w:val="24"/>
          <w:szCs w:val="24"/>
        </w:rPr>
        <w:t>.</w:t>
      </w:r>
    </w:p>
    <w:p w14:paraId="2154452E" w14:textId="1075D8AE" w:rsidR="00F02B3F" w:rsidRDefault="00CB12EA" w:rsidP="00BC7029">
      <w:pPr>
        <w:autoSpaceDE w:val="0"/>
        <w:autoSpaceDN w:val="0"/>
        <w:adjustRightInd w:val="0"/>
        <w:spacing w:after="0" w:line="480" w:lineRule="auto"/>
        <w:jc w:val="both"/>
      </w:pPr>
      <w:r w:rsidRPr="00255CDE">
        <w:rPr>
          <w:rFonts w:cs="Times New Roman"/>
          <w:color w:val="000000"/>
          <w:sz w:val="24"/>
          <w:szCs w:val="24"/>
        </w:rPr>
        <w:t>*Only 18 participants</w:t>
      </w:r>
      <w:r>
        <w:rPr>
          <w:rFonts w:cs="Times New Roman"/>
          <w:color w:val="000000"/>
          <w:sz w:val="24"/>
          <w:szCs w:val="24"/>
        </w:rPr>
        <w:t xml:space="preserve"> with </w:t>
      </w:r>
      <w:r w:rsidRPr="00255CDE">
        <w:rPr>
          <w:rFonts w:cs="Times New Roman"/>
          <w:color w:val="000000"/>
          <w:sz w:val="24"/>
          <w:szCs w:val="24"/>
        </w:rPr>
        <w:t xml:space="preserve">ADHD were included in the average of the Go condition, as two </w:t>
      </w:r>
      <w:r w:rsidR="002B1D59" w:rsidRPr="00255CDE">
        <w:rPr>
          <w:rFonts w:cs="Times New Roman"/>
          <w:color w:val="000000"/>
          <w:sz w:val="24"/>
          <w:szCs w:val="24"/>
        </w:rPr>
        <w:t>participants</w:t>
      </w:r>
      <w:r w:rsidR="002B1D59">
        <w:rPr>
          <w:rFonts w:cs="Times New Roman"/>
          <w:color w:val="000000"/>
          <w:sz w:val="24"/>
          <w:szCs w:val="24"/>
        </w:rPr>
        <w:t xml:space="preserve"> </w:t>
      </w:r>
      <w:r w:rsidRPr="00255CDE">
        <w:rPr>
          <w:rFonts w:cs="Times New Roman"/>
          <w:color w:val="000000"/>
          <w:sz w:val="24"/>
          <w:szCs w:val="24"/>
        </w:rPr>
        <w:t xml:space="preserve">did not have at least 20 </w:t>
      </w:r>
      <w:r w:rsidR="00BC7029">
        <w:rPr>
          <w:rFonts w:cs="Times New Roman"/>
          <w:color w:val="000000"/>
          <w:sz w:val="24"/>
          <w:szCs w:val="24"/>
        </w:rPr>
        <w:t>artefact-free segments.</w:t>
      </w:r>
    </w:p>
    <w:sectPr w:rsidR="00F02B3F" w:rsidSect="00EE2A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66FE1C" w15:done="0"/>
  <w15:commentEx w15:paraId="42B2CF20" w15:done="0"/>
  <w15:commentEx w15:paraId="122F43ED" w15:done="0"/>
  <w15:commentEx w15:paraId="2F12E2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enn Kitsune">
    <w15:presenceInfo w15:providerId="None" w15:userId="Glenn Kitsune"/>
  </w15:person>
  <w15:person w15:author="Giorgia Michelini">
    <w15:presenceInfo w15:providerId="None" w15:userId="Giorgia Michel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5A"/>
    <w:rsid w:val="00106D5A"/>
    <w:rsid w:val="0016324A"/>
    <w:rsid w:val="00195264"/>
    <w:rsid w:val="00235AAB"/>
    <w:rsid w:val="00242ECF"/>
    <w:rsid w:val="0026631D"/>
    <w:rsid w:val="002B1D59"/>
    <w:rsid w:val="002F05C8"/>
    <w:rsid w:val="00303CE6"/>
    <w:rsid w:val="003157A9"/>
    <w:rsid w:val="004468DD"/>
    <w:rsid w:val="00463114"/>
    <w:rsid w:val="005C1D04"/>
    <w:rsid w:val="005D2FC8"/>
    <w:rsid w:val="00761620"/>
    <w:rsid w:val="00766ABC"/>
    <w:rsid w:val="00945239"/>
    <w:rsid w:val="009F79F7"/>
    <w:rsid w:val="00AF13E2"/>
    <w:rsid w:val="00B3035A"/>
    <w:rsid w:val="00B626A6"/>
    <w:rsid w:val="00B83627"/>
    <w:rsid w:val="00BC7029"/>
    <w:rsid w:val="00BD799F"/>
    <w:rsid w:val="00C469DB"/>
    <w:rsid w:val="00C76903"/>
    <w:rsid w:val="00CB12EA"/>
    <w:rsid w:val="00D34AD0"/>
    <w:rsid w:val="00DA6D74"/>
    <w:rsid w:val="00E77A09"/>
    <w:rsid w:val="00E937E5"/>
    <w:rsid w:val="00EE2A99"/>
    <w:rsid w:val="00F02B3F"/>
    <w:rsid w:val="00F1394D"/>
    <w:rsid w:val="00F3035D"/>
    <w:rsid w:val="00F321AC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fondochiaro1">
    <w:name w:val="Sfondo chiaro1"/>
    <w:basedOn w:val="TableNormal"/>
    <w:uiPriority w:val="60"/>
    <w:rsid w:val="00106D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5A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35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fondochiaro1">
    <w:name w:val="Sfondo chiaro1"/>
    <w:basedOn w:val="TableNormal"/>
    <w:uiPriority w:val="60"/>
    <w:rsid w:val="00106D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5A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35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Michelini</dc:creator>
  <cp:lastModifiedBy>Giorgia Michelini</cp:lastModifiedBy>
  <cp:revision>2</cp:revision>
  <dcterms:created xsi:type="dcterms:W3CDTF">2015-02-18T19:06:00Z</dcterms:created>
  <dcterms:modified xsi:type="dcterms:W3CDTF">2015-02-18T19:06:00Z</dcterms:modified>
</cp:coreProperties>
</file>