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22" w:rsidRDefault="00C15722" w:rsidP="00D14006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DA" w:rsidRPr="00D14006" w:rsidRDefault="00B76665" w:rsidP="00B76665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14006"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>
        <w:rPr>
          <w:rFonts w:ascii="Times New Roman" w:hAnsi="Times New Roman" w:cs="Times New Roman"/>
          <w:b/>
          <w:sz w:val="24"/>
          <w:szCs w:val="24"/>
        </w:rPr>
        <w:t>MATERIAL</w:t>
      </w:r>
    </w:p>
    <w:p w:rsidR="00F719DA" w:rsidRPr="00D14006" w:rsidRDefault="00F719DA" w:rsidP="00421BB6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Effects</w:t>
      </w:r>
      <w:r w:rsidRPr="00D14006">
        <w:rPr>
          <w:rFonts w:ascii="Times New Roman" w:hAnsi="Times New Roman" w:cs="Times New Roman"/>
          <w:i/>
          <w:sz w:val="24"/>
          <w:szCs w:val="24"/>
        </w:rPr>
        <w:t xml:space="preserve"> of medication and depression severity levels on group results</w:t>
      </w:r>
    </w:p>
    <w:p w:rsidR="00F719DA" w:rsidRPr="00D14006" w:rsidRDefault="00F719DA" w:rsidP="00421BB6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4006">
        <w:rPr>
          <w:rFonts w:ascii="Times New Roman" w:hAnsi="Times New Roman" w:cs="Times New Roman"/>
          <w:sz w:val="24"/>
          <w:szCs w:val="24"/>
        </w:rPr>
        <w:t xml:space="preserve">We examined whether the group effects observed in the caudate were influenced by higher depressive symptom severity in the patients (see Table 1). The </w:t>
      </w:r>
      <w:r>
        <w:rPr>
          <w:rFonts w:ascii="Times New Roman" w:hAnsi="Times New Roman" w:cs="Times New Roman"/>
          <w:sz w:val="24"/>
          <w:szCs w:val="24"/>
        </w:rPr>
        <w:t>ANOVA</w:t>
      </w:r>
      <w:r w:rsidRPr="00D14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D14006">
        <w:rPr>
          <w:rFonts w:ascii="Times New Roman" w:hAnsi="Times New Roman" w:cs="Times New Roman"/>
          <w:sz w:val="24"/>
          <w:szCs w:val="24"/>
        </w:rPr>
        <w:t xml:space="preserve"> caudate activation was repeated with MADRS scores added as a covariate. The interaction remained highly significant (</w:t>
      </w:r>
      <w:proofErr w:type="gramStart"/>
      <w:r w:rsidRPr="00D14006">
        <w:rPr>
          <w:rFonts w:ascii="Times New Roman" w:hAnsi="Times New Roman" w:cs="Times New Roman"/>
          <w:i/>
          <w:sz w:val="24"/>
          <w:szCs w:val="24"/>
        </w:rPr>
        <w:t>F</w:t>
      </w:r>
      <w:r w:rsidRPr="00D140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4006">
        <w:rPr>
          <w:rFonts w:ascii="Times New Roman" w:hAnsi="Times New Roman" w:cs="Times New Roman"/>
          <w:sz w:val="24"/>
          <w:szCs w:val="24"/>
        </w:rPr>
        <w:t xml:space="preserve">1,35)=25.39, </w:t>
      </w:r>
      <w:r w:rsidRPr="00D14006">
        <w:rPr>
          <w:rFonts w:ascii="Times New Roman" w:hAnsi="Times New Roman" w:cs="Times New Roman"/>
          <w:i/>
          <w:sz w:val="24"/>
          <w:szCs w:val="24"/>
        </w:rPr>
        <w:t>p</w:t>
      </w:r>
      <w:r w:rsidRPr="00D14006">
        <w:rPr>
          <w:rFonts w:ascii="Times New Roman" w:hAnsi="Times New Roman" w:cs="Times New Roman"/>
          <w:sz w:val="24"/>
          <w:szCs w:val="24"/>
        </w:rPr>
        <w:t>=0.00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4006">
        <w:rPr>
          <w:rFonts w:ascii="Times New Roman" w:hAnsi="Times New Roman" w:cs="Times New Roman"/>
          <w:sz w:val="24"/>
          <w:szCs w:val="24"/>
        </w:rPr>
        <w:t>). Again there was greater ac</w:t>
      </w:r>
      <w:r>
        <w:rPr>
          <w:rFonts w:ascii="Times New Roman" w:hAnsi="Times New Roman" w:cs="Times New Roman"/>
          <w:sz w:val="24"/>
          <w:szCs w:val="24"/>
        </w:rPr>
        <w:t>tivation in controls compared with</w:t>
      </w:r>
      <w:r w:rsidRPr="00D14006">
        <w:rPr>
          <w:rFonts w:ascii="Times New Roman" w:hAnsi="Times New Roman" w:cs="Times New Roman"/>
          <w:sz w:val="24"/>
          <w:szCs w:val="24"/>
        </w:rPr>
        <w:t xml:space="preserve"> patients for shifting (</w:t>
      </w:r>
      <w:proofErr w:type="gramStart"/>
      <w:r w:rsidRPr="00D14006">
        <w:rPr>
          <w:rFonts w:ascii="Times New Roman" w:hAnsi="Times New Roman" w:cs="Times New Roman"/>
          <w:i/>
          <w:sz w:val="24"/>
          <w:szCs w:val="24"/>
        </w:rPr>
        <w:t>F</w:t>
      </w:r>
      <w:r w:rsidRPr="00D140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4006">
        <w:rPr>
          <w:rFonts w:ascii="Times New Roman" w:hAnsi="Times New Roman" w:cs="Times New Roman"/>
          <w:sz w:val="24"/>
          <w:szCs w:val="24"/>
        </w:rPr>
        <w:t xml:space="preserve">1,35)=13.031, </w:t>
      </w:r>
      <w:r w:rsidRPr="00D14006">
        <w:rPr>
          <w:rFonts w:ascii="Times New Roman" w:hAnsi="Times New Roman" w:cs="Times New Roman"/>
          <w:i/>
          <w:sz w:val="24"/>
          <w:szCs w:val="24"/>
        </w:rPr>
        <w:t>p</w:t>
      </w:r>
      <w:r w:rsidRPr="00D14006">
        <w:rPr>
          <w:rFonts w:ascii="Times New Roman" w:hAnsi="Times New Roman" w:cs="Times New Roman"/>
          <w:sz w:val="24"/>
          <w:szCs w:val="24"/>
        </w:rPr>
        <w:t>=0.001) and greater ac</w:t>
      </w:r>
      <w:r>
        <w:rPr>
          <w:rFonts w:ascii="Times New Roman" w:hAnsi="Times New Roman" w:cs="Times New Roman"/>
          <w:sz w:val="24"/>
          <w:szCs w:val="24"/>
        </w:rPr>
        <w:t>tivation in patients compared with</w:t>
      </w:r>
      <w:r w:rsidRPr="00D14006">
        <w:rPr>
          <w:rFonts w:ascii="Times New Roman" w:hAnsi="Times New Roman" w:cs="Times New Roman"/>
          <w:sz w:val="24"/>
          <w:szCs w:val="24"/>
        </w:rPr>
        <w:t xml:space="preserve"> controls for stopping (</w:t>
      </w:r>
      <w:r w:rsidRPr="00D14006">
        <w:rPr>
          <w:rFonts w:ascii="Times New Roman" w:hAnsi="Times New Roman" w:cs="Times New Roman"/>
          <w:i/>
          <w:sz w:val="24"/>
          <w:szCs w:val="24"/>
        </w:rPr>
        <w:t>F</w:t>
      </w:r>
      <w:r w:rsidRPr="00D14006">
        <w:rPr>
          <w:rFonts w:ascii="Times New Roman" w:hAnsi="Times New Roman" w:cs="Times New Roman"/>
          <w:sz w:val="24"/>
          <w:szCs w:val="24"/>
        </w:rPr>
        <w:t xml:space="preserve">(1,35)=6.07, </w:t>
      </w:r>
      <w:r w:rsidRPr="00D14006">
        <w:rPr>
          <w:rFonts w:ascii="Times New Roman" w:hAnsi="Times New Roman" w:cs="Times New Roman"/>
          <w:i/>
          <w:sz w:val="24"/>
          <w:szCs w:val="24"/>
        </w:rPr>
        <w:t>p</w:t>
      </w:r>
      <w:r w:rsidRPr="00D14006">
        <w:rPr>
          <w:rFonts w:ascii="Times New Roman" w:hAnsi="Times New Roman" w:cs="Times New Roman"/>
          <w:sz w:val="24"/>
          <w:szCs w:val="24"/>
        </w:rPr>
        <w:t xml:space="preserve">=0.019). Additionally, we examined </w:t>
      </w:r>
      <w:r>
        <w:rPr>
          <w:rFonts w:ascii="Times New Roman" w:hAnsi="Times New Roman" w:cs="Times New Roman"/>
          <w:sz w:val="24"/>
          <w:szCs w:val="24"/>
        </w:rPr>
        <w:t>whether</w:t>
      </w:r>
      <w:r w:rsidRPr="00D14006">
        <w:rPr>
          <w:rFonts w:ascii="Times New Roman" w:hAnsi="Times New Roman" w:cs="Times New Roman"/>
          <w:sz w:val="24"/>
          <w:szCs w:val="24"/>
        </w:rPr>
        <w:t xml:space="preserve"> depressive severity</w:t>
      </w:r>
      <w:r>
        <w:rPr>
          <w:rFonts w:ascii="Times New Roman" w:hAnsi="Times New Roman" w:cs="Times New Roman"/>
          <w:sz w:val="24"/>
          <w:szCs w:val="24"/>
        </w:rPr>
        <w:t xml:space="preserve"> underlined the </w:t>
      </w:r>
      <w:r w:rsidRPr="00D14006">
        <w:rPr>
          <w:rFonts w:ascii="Times New Roman" w:hAnsi="Times New Roman" w:cs="Times New Roman"/>
          <w:sz w:val="24"/>
          <w:szCs w:val="24"/>
        </w:rPr>
        <w:t xml:space="preserve">reduced activation in </w:t>
      </w:r>
      <w:r>
        <w:rPr>
          <w:rFonts w:ascii="Times New Roman" w:hAnsi="Times New Roman" w:cs="Times New Roman"/>
          <w:sz w:val="24"/>
          <w:szCs w:val="24"/>
        </w:rPr>
        <w:t xml:space="preserve">patients in the </w:t>
      </w:r>
      <w:r w:rsidRPr="00D14006">
        <w:rPr>
          <w:rFonts w:ascii="Times New Roman" w:hAnsi="Times New Roman" w:cs="Times New Roman"/>
          <w:sz w:val="24"/>
          <w:szCs w:val="24"/>
        </w:rPr>
        <w:t xml:space="preserve">executive function </w:t>
      </w:r>
      <w:proofErr w:type="spellStart"/>
      <w:r w:rsidRPr="00D14006">
        <w:rPr>
          <w:rFonts w:ascii="Times New Roman" w:hAnsi="Times New Roman" w:cs="Times New Roman"/>
          <w:sz w:val="24"/>
          <w:szCs w:val="24"/>
        </w:rPr>
        <w:t>fronto</w:t>
      </w:r>
      <w:proofErr w:type="spellEnd"/>
      <w:r w:rsidRPr="00D14006">
        <w:rPr>
          <w:rFonts w:ascii="Times New Roman" w:hAnsi="Times New Roman" w:cs="Times New Roman"/>
          <w:sz w:val="24"/>
          <w:szCs w:val="24"/>
        </w:rPr>
        <w:t>-parietal areas associated with shifting. Activation across this search area remained redu</w:t>
      </w:r>
      <w:r>
        <w:rPr>
          <w:rFonts w:ascii="Times New Roman" w:hAnsi="Times New Roman" w:cs="Times New Roman"/>
          <w:sz w:val="24"/>
          <w:szCs w:val="24"/>
        </w:rPr>
        <w:t>ced in the OCD group compared with</w:t>
      </w:r>
      <w:r w:rsidRPr="00D14006">
        <w:rPr>
          <w:rFonts w:ascii="Times New Roman" w:hAnsi="Times New Roman" w:cs="Times New Roman"/>
          <w:sz w:val="24"/>
          <w:szCs w:val="24"/>
        </w:rPr>
        <w:t xml:space="preserve"> controls for shifting (</w:t>
      </w:r>
      <w:proofErr w:type="gramStart"/>
      <w:r w:rsidRPr="00D14006">
        <w:rPr>
          <w:rFonts w:ascii="Times New Roman" w:hAnsi="Times New Roman" w:cs="Times New Roman"/>
          <w:i/>
          <w:sz w:val="24"/>
          <w:szCs w:val="24"/>
        </w:rPr>
        <w:t>F</w:t>
      </w:r>
      <w:r w:rsidRPr="00D140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4006">
        <w:rPr>
          <w:rFonts w:ascii="Times New Roman" w:hAnsi="Times New Roman" w:cs="Times New Roman"/>
          <w:sz w:val="24"/>
          <w:szCs w:val="24"/>
        </w:rPr>
        <w:t xml:space="preserve">1,34)=20.47, </w:t>
      </w:r>
      <w:r w:rsidRPr="00D14006">
        <w:rPr>
          <w:rFonts w:ascii="Times New Roman" w:hAnsi="Times New Roman" w:cs="Times New Roman"/>
          <w:i/>
          <w:sz w:val="24"/>
          <w:szCs w:val="24"/>
        </w:rPr>
        <w:t>p</w:t>
      </w:r>
      <w:r w:rsidRPr="00D14006">
        <w:rPr>
          <w:rFonts w:ascii="Times New Roman" w:hAnsi="Times New Roman" w:cs="Times New Roman"/>
          <w:sz w:val="24"/>
          <w:szCs w:val="24"/>
        </w:rPr>
        <w:t xml:space="preserve">&lt;0.001). Although both increased anxiety and lower mood can be considered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D14006">
        <w:rPr>
          <w:rFonts w:ascii="Times New Roman" w:hAnsi="Times New Roman" w:cs="Times New Roman"/>
          <w:sz w:val="24"/>
          <w:szCs w:val="24"/>
        </w:rPr>
        <w:t xml:space="preserve">core </w:t>
      </w:r>
      <w:r>
        <w:rPr>
          <w:rFonts w:ascii="Times New Roman" w:hAnsi="Times New Roman" w:cs="Times New Roman"/>
          <w:sz w:val="24"/>
          <w:szCs w:val="24"/>
        </w:rPr>
        <w:t>symptoms of</w:t>
      </w:r>
      <w:r w:rsidRPr="00D14006">
        <w:rPr>
          <w:rFonts w:ascii="Times New Roman" w:hAnsi="Times New Roman" w:cs="Times New Roman"/>
          <w:sz w:val="24"/>
          <w:szCs w:val="24"/>
        </w:rPr>
        <w:t xml:space="preserve"> the disorder, we further examined correlations between ROI effect sizes and STAI and MADRS scores and noted no significant correlations within the patient group.</w:t>
      </w:r>
    </w:p>
    <w:p w:rsidR="00F719DA" w:rsidRPr="00D14006" w:rsidRDefault="00F719DA" w:rsidP="00421BB6">
      <w:pPr>
        <w:pStyle w:val="NoSpacing"/>
        <w:spacing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14006">
        <w:rPr>
          <w:rFonts w:ascii="Times New Roman" w:hAnsi="Times New Roman" w:cs="Times New Roman"/>
          <w:sz w:val="24"/>
          <w:szCs w:val="24"/>
        </w:rPr>
        <w:t xml:space="preserve">We also compared </w:t>
      </w:r>
      <w:proofErr w:type="spellStart"/>
      <w:r w:rsidRPr="00D14006">
        <w:rPr>
          <w:rFonts w:ascii="Times New Roman" w:hAnsi="Times New Roman" w:cs="Times New Roman"/>
          <w:sz w:val="24"/>
          <w:szCs w:val="24"/>
        </w:rPr>
        <w:t>unmedicated</w:t>
      </w:r>
      <w:proofErr w:type="spellEnd"/>
      <w:r w:rsidRPr="00D14006">
        <w:rPr>
          <w:rFonts w:ascii="Times New Roman" w:hAnsi="Times New Roman" w:cs="Times New Roman"/>
          <w:sz w:val="24"/>
          <w:szCs w:val="24"/>
        </w:rPr>
        <w:t xml:space="preserve"> and medicated patients directly to assess differences in caudate activation as well as activation across </w:t>
      </w:r>
      <w:proofErr w:type="spellStart"/>
      <w:r w:rsidRPr="00D14006">
        <w:rPr>
          <w:rFonts w:ascii="Times New Roman" w:hAnsi="Times New Roman" w:cs="Times New Roman"/>
          <w:sz w:val="24"/>
          <w:szCs w:val="24"/>
        </w:rPr>
        <w:t>fronto</w:t>
      </w:r>
      <w:proofErr w:type="spellEnd"/>
      <w:r w:rsidRPr="00D14006">
        <w:rPr>
          <w:rFonts w:ascii="Times New Roman" w:hAnsi="Times New Roman" w:cs="Times New Roman"/>
          <w:sz w:val="24"/>
          <w:szCs w:val="24"/>
        </w:rPr>
        <w:t xml:space="preserve">-parietal executive areas. No significant group effects emerged (p&gt;0.55 for all comparisons). As the comparison was between two small groups, Cohen’s d effect size measure was computed. In the caudate </w:t>
      </w:r>
      <w:proofErr w:type="gramStart"/>
      <w:r w:rsidRPr="00D14006">
        <w:rPr>
          <w:rFonts w:ascii="Times New Roman" w:hAnsi="Times New Roman" w:cs="Times New Roman"/>
          <w:sz w:val="24"/>
          <w:szCs w:val="24"/>
        </w:rPr>
        <w:t>stopping</w:t>
      </w:r>
      <w:proofErr w:type="gramEnd"/>
      <w:r w:rsidRPr="00D14006">
        <w:rPr>
          <w:rFonts w:ascii="Times New Roman" w:hAnsi="Times New Roman" w:cs="Times New Roman"/>
          <w:sz w:val="24"/>
          <w:szCs w:val="24"/>
        </w:rPr>
        <w:t xml:space="preserve"> related activation was associated with a Cohen’s d of 0.01, and shifting related activation was associated with a C</w:t>
      </w:r>
      <w:r>
        <w:rPr>
          <w:rFonts w:ascii="Times New Roman" w:hAnsi="Times New Roman" w:cs="Times New Roman"/>
          <w:sz w:val="24"/>
          <w:szCs w:val="24"/>
        </w:rPr>
        <w:t xml:space="preserve">ohen’s d of 0.23 between the medicated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unmedicated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subgroups</w:t>
      </w:r>
      <w:r w:rsidRPr="00D14006">
        <w:rPr>
          <w:rFonts w:ascii="Times New Roman" w:hAnsi="Times New Roman" w:cs="Times New Roman"/>
          <w:sz w:val="24"/>
          <w:szCs w:val="24"/>
        </w:rPr>
        <w:t xml:space="preserve">. Shifting related activation was associated with an effect size of 0.08 in the </w:t>
      </w:r>
      <w:proofErr w:type="spellStart"/>
      <w:r w:rsidRPr="00D14006">
        <w:rPr>
          <w:rFonts w:ascii="Times New Roman" w:hAnsi="Times New Roman" w:cs="Times New Roman"/>
          <w:sz w:val="24"/>
          <w:szCs w:val="24"/>
        </w:rPr>
        <w:t>fronto</w:t>
      </w:r>
      <w:proofErr w:type="spellEnd"/>
      <w:r w:rsidRPr="00D14006">
        <w:rPr>
          <w:rFonts w:ascii="Times New Roman" w:hAnsi="Times New Roman" w:cs="Times New Roman"/>
          <w:sz w:val="24"/>
          <w:szCs w:val="24"/>
        </w:rPr>
        <w:t xml:space="preserve">-parietal </w:t>
      </w:r>
      <w:r>
        <w:rPr>
          <w:rFonts w:ascii="Times New Roman" w:hAnsi="Times New Roman" w:cs="Times New Roman"/>
          <w:sz w:val="24"/>
          <w:szCs w:val="24"/>
        </w:rPr>
        <w:t>search</w:t>
      </w:r>
      <w:r w:rsidRPr="00D14006">
        <w:rPr>
          <w:rFonts w:ascii="Times New Roman" w:hAnsi="Times New Roman" w:cs="Times New Roman"/>
          <w:sz w:val="24"/>
          <w:szCs w:val="24"/>
        </w:rPr>
        <w:t xml:space="preserve"> area. Taken together it appears that the group differences reported </w:t>
      </w:r>
      <w:r>
        <w:rPr>
          <w:rFonts w:ascii="Times New Roman" w:hAnsi="Times New Roman" w:cs="Times New Roman"/>
          <w:sz w:val="24"/>
          <w:szCs w:val="24"/>
        </w:rPr>
        <w:t>above are unlikely to have been driven by</w:t>
      </w:r>
      <w:r w:rsidRPr="00D14006">
        <w:rPr>
          <w:rFonts w:ascii="Times New Roman" w:hAnsi="Times New Roman" w:cs="Times New Roman"/>
          <w:sz w:val="24"/>
          <w:szCs w:val="24"/>
        </w:rPr>
        <w:t xml:space="preserve"> increase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4006">
        <w:rPr>
          <w:rFonts w:ascii="Times New Roman" w:hAnsi="Times New Roman" w:cs="Times New Roman"/>
          <w:sz w:val="24"/>
          <w:szCs w:val="24"/>
        </w:rPr>
        <w:t xml:space="preserve"> depression severity or medication in the OCD patient group.</w:t>
      </w: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14006">
        <w:rPr>
          <w:rFonts w:ascii="Times New Roman" w:hAnsi="Times New Roman" w:cs="Times New Roman"/>
          <w:i/>
          <w:sz w:val="24"/>
          <w:szCs w:val="24"/>
        </w:rPr>
        <w:lastRenderedPageBreak/>
        <w:t>Investigating shifting in the inferior parietal cortex</w:t>
      </w:r>
    </w:p>
    <w:p w:rsidR="00F719DA" w:rsidRDefault="00F719DA" w:rsidP="007433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4006">
        <w:rPr>
          <w:rFonts w:ascii="Times New Roman" w:hAnsi="Times New Roman" w:cs="Times New Roman"/>
          <w:sz w:val="24"/>
          <w:szCs w:val="24"/>
        </w:rPr>
        <w:tab/>
      </w:r>
      <w:r w:rsidRPr="00BC3372">
        <w:rPr>
          <w:rFonts w:ascii="Times New Roman" w:hAnsi="Times New Roman" w:cs="Times New Roman"/>
          <w:sz w:val="24"/>
          <w:szCs w:val="24"/>
        </w:rPr>
        <w:t>Prior studies using the stop-shift task reported greater activation for shifting than stopping in the left inferior parietal cortex (IPC)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Dodds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341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2011)</w:t>
      </w:r>
      <w:r w:rsidRPr="00BC3372">
        <w:rPr>
          <w:rFonts w:ascii="Times New Roman" w:hAnsi="Times New Roman" w:cs="Times New Roman"/>
          <w:sz w:val="24"/>
          <w:szCs w:val="24"/>
        </w:rPr>
        <w:t xml:space="preserve">. To ascertain whether this was presently the case, mean effect sizes were computed for this anatomical ROI in the same method as described in the main text </w:t>
      </w:r>
      <w:r w:rsidRPr="007433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3341">
        <w:rPr>
          <w:rFonts w:ascii="Times New Roman" w:hAnsi="Times New Roman" w:cs="Times New Roman"/>
          <w:sz w:val="24"/>
          <w:szCs w:val="24"/>
        </w:rPr>
        <w:t>Tzourio-Mazoyer</w:t>
      </w:r>
      <w:proofErr w:type="spellEnd"/>
      <w:r w:rsidRPr="00743341">
        <w:rPr>
          <w:rFonts w:ascii="Times New Roman" w:hAnsi="Times New Roman" w:cs="Times New Roman"/>
          <w:sz w:val="24"/>
          <w:szCs w:val="24"/>
        </w:rPr>
        <w:t xml:space="preserve"> </w:t>
      </w:r>
      <w:r w:rsidRPr="00743341">
        <w:rPr>
          <w:rFonts w:ascii="Times New Roman" w:hAnsi="Times New Roman" w:cs="Times New Roman"/>
          <w:i/>
          <w:sz w:val="24"/>
          <w:szCs w:val="24"/>
        </w:rPr>
        <w:t>et al</w:t>
      </w:r>
      <w:r w:rsidRPr="00743341">
        <w:rPr>
          <w:rFonts w:ascii="Times New Roman" w:hAnsi="Times New Roman" w:cs="Times New Roman"/>
          <w:sz w:val="24"/>
          <w:szCs w:val="24"/>
        </w:rPr>
        <w:t>., 2002)</w:t>
      </w:r>
      <w:r w:rsidRPr="00BC3372">
        <w:rPr>
          <w:rFonts w:ascii="Times New Roman" w:hAnsi="Times New Roman" w:cs="Times New Roman"/>
          <w:sz w:val="24"/>
          <w:szCs w:val="24"/>
        </w:rPr>
        <w:t>. Significantly greater activation for shift compared to stopping was noted in the control group (</w:t>
      </w:r>
      <w:proofErr w:type="gramStart"/>
      <w:r w:rsidRPr="00BC3372">
        <w:rPr>
          <w:rFonts w:ascii="Times New Roman" w:hAnsi="Times New Roman" w:cs="Times New Roman"/>
          <w:i/>
          <w:sz w:val="24"/>
          <w:szCs w:val="24"/>
        </w:rPr>
        <w:t>t</w:t>
      </w:r>
      <w:r w:rsidRPr="00BC337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3372">
        <w:rPr>
          <w:rFonts w:ascii="Times New Roman" w:hAnsi="Times New Roman" w:cs="Times New Roman"/>
          <w:sz w:val="24"/>
          <w:szCs w:val="24"/>
        </w:rPr>
        <w:t xml:space="preserve">18)=4.45, </w:t>
      </w:r>
      <w:r w:rsidRPr="00BC3372">
        <w:rPr>
          <w:rFonts w:ascii="Times New Roman" w:hAnsi="Times New Roman" w:cs="Times New Roman"/>
          <w:i/>
          <w:sz w:val="24"/>
          <w:szCs w:val="24"/>
        </w:rPr>
        <w:t>p</w:t>
      </w:r>
      <w:r w:rsidRPr="00BC3372">
        <w:rPr>
          <w:rFonts w:ascii="Times New Roman" w:hAnsi="Times New Roman" w:cs="Times New Roman"/>
          <w:sz w:val="24"/>
          <w:szCs w:val="24"/>
        </w:rPr>
        <w:t xml:space="preserve">&lt;0.001) and separately in the OCD patient group (t(18)=2.40, </w:t>
      </w:r>
      <w:r w:rsidRPr="00BC3372">
        <w:rPr>
          <w:rFonts w:ascii="Times New Roman" w:hAnsi="Times New Roman" w:cs="Times New Roman"/>
          <w:i/>
          <w:sz w:val="24"/>
          <w:szCs w:val="24"/>
        </w:rPr>
        <w:t>p</w:t>
      </w:r>
      <w:r w:rsidRPr="00BC3372">
        <w:rPr>
          <w:rFonts w:ascii="Times New Roman" w:hAnsi="Times New Roman" w:cs="Times New Roman"/>
          <w:sz w:val="24"/>
          <w:szCs w:val="24"/>
        </w:rPr>
        <w:t>=0.011). Nevertheless, controls demonstrated greater shifting</w:t>
      </w:r>
      <w:r w:rsidRPr="00D14006">
        <w:rPr>
          <w:rFonts w:ascii="Times New Roman" w:hAnsi="Times New Roman" w:cs="Times New Roman"/>
          <w:sz w:val="24"/>
          <w:szCs w:val="24"/>
        </w:rPr>
        <w:t xml:space="preserve"> versus stopping compared to the patients in this ROI (</w:t>
      </w:r>
      <w:proofErr w:type="gramStart"/>
      <w:r w:rsidRPr="00D14006">
        <w:rPr>
          <w:rFonts w:ascii="Times New Roman" w:hAnsi="Times New Roman" w:cs="Times New Roman"/>
          <w:i/>
          <w:sz w:val="24"/>
          <w:szCs w:val="24"/>
        </w:rPr>
        <w:t>t</w:t>
      </w:r>
      <w:r w:rsidRPr="00D140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4006">
        <w:rPr>
          <w:rFonts w:ascii="Times New Roman" w:hAnsi="Times New Roman" w:cs="Times New Roman"/>
          <w:sz w:val="24"/>
          <w:szCs w:val="24"/>
        </w:rPr>
        <w:t xml:space="preserve">36)=1.92, </w:t>
      </w:r>
      <w:r w:rsidRPr="00D14006">
        <w:rPr>
          <w:rFonts w:ascii="Times New Roman" w:hAnsi="Times New Roman" w:cs="Times New Roman"/>
          <w:i/>
          <w:sz w:val="24"/>
          <w:szCs w:val="24"/>
        </w:rPr>
        <w:t>p</w:t>
      </w:r>
      <w:r w:rsidRPr="00D14006">
        <w:rPr>
          <w:rFonts w:ascii="Times New Roman" w:hAnsi="Times New Roman" w:cs="Times New Roman"/>
          <w:sz w:val="24"/>
          <w:szCs w:val="24"/>
        </w:rPr>
        <w:t>=0.031). Thus, while both groups demonstrate greater activation for shifting compared to stopping</w:t>
      </w:r>
      <w:r>
        <w:rPr>
          <w:rFonts w:ascii="Times New Roman" w:hAnsi="Times New Roman" w:cs="Times New Roman"/>
          <w:sz w:val="24"/>
          <w:szCs w:val="24"/>
        </w:rPr>
        <w:t xml:space="preserve"> activity</w:t>
      </w:r>
      <w:r w:rsidRPr="00D14006">
        <w:rPr>
          <w:rFonts w:ascii="Times New Roman" w:hAnsi="Times New Roman" w:cs="Times New Roman"/>
          <w:sz w:val="24"/>
          <w:szCs w:val="24"/>
        </w:rPr>
        <w:t xml:space="preserve"> in the left IPC, </w:t>
      </w:r>
      <w:r>
        <w:rPr>
          <w:rFonts w:ascii="Times New Roman" w:hAnsi="Times New Roman" w:cs="Times New Roman"/>
          <w:sz w:val="24"/>
          <w:szCs w:val="24"/>
        </w:rPr>
        <w:t>there was also</w:t>
      </w:r>
      <w:r w:rsidRPr="00D1400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D14006">
        <w:rPr>
          <w:rFonts w:ascii="Times New Roman" w:hAnsi="Times New Roman" w:cs="Times New Roman"/>
          <w:sz w:val="24"/>
          <w:szCs w:val="24"/>
        </w:rPr>
        <w:t>hypoactivation</w:t>
      </w:r>
      <w:proofErr w:type="spellEnd"/>
      <w:r w:rsidRPr="00D14006">
        <w:rPr>
          <w:rFonts w:ascii="Times New Roman" w:hAnsi="Times New Roman" w:cs="Times New Roman"/>
          <w:sz w:val="24"/>
          <w:szCs w:val="24"/>
        </w:rPr>
        <w:t xml:space="preserve"> during shifting in the patients.</w:t>
      </w:r>
    </w:p>
    <w:p w:rsidR="00F719DA" w:rsidRPr="00D14006" w:rsidRDefault="00F719DA" w:rsidP="00421BB6">
      <w:pPr>
        <w:pStyle w:val="NoSpacing"/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14006">
        <w:rPr>
          <w:rFonts w:ascii="Times New Roman" w:hAnsi="Times New Roman" w:cs="Times New Roman"/>
          <w:i/>
          <w:sz w:val="24"/>
          <w:szCs w:val="24"/>
        </w:rPr>
        <w:t>Investigating stopping in complex and simple blocks</w:t>
      </w:r>
    </w:p>
    <w:p w:rsidR="00F719DA" w:rsidRDefault="00F719DA" w:rsidP="00421BB6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14006">
        <w:rPr>
          <w:rFonts w:ascii="Times New Roman" w:hAnsi="Times New Roman" w:cs="Times New Roman"/>
          <w:sz w:val="24"/>
          <w:szCs w:val="24"/>
        </w:rPr>
        <w:t>Activations common to both complex and simple stops compared to go trials were investigated using random effects conjunction analyses against the conjunction null hypothesis. These served as a search area to inspect potential group differences in overall activation related to stopping. The conjunction whole brain analyses corrected at FWE p&lt;0.05 across all individuals revealed clusters with peaks in the right IFC (peak coordinate=[32, 24,6], cluster extent (K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)=120, Z=6.50), the left IFC ([-32, 22,0],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=84, Z=5.95) as well as the right inferior cortex ([34, -54,48],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=482, Z=6.10) and right precentral gyrus ([46, 8,30],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=24, Z=4.97). Additionally there was small activations in the left pre-supplementary motor area ([-6,12,48],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=4, Z=5.07), right anterior cingulate ([8,14,42],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=1, Z=4.67), right superior temporal lobe ([56,-40,18],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=1, Z=4.67), left occipital lobe ([-40,-88,14],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=12, Z=5.34) and fusiform gyrus ([-34,-46,-18], K</w:t>
      </w:r>
      <w:r w:rsidRPr="00D14006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D14006">
        <w:rPr>
          <w:rFonts w:ascii="Times New Roman" w:hAnsi="Times New Roman" w:cs="Times New Roman"/>
          <w:sz w:val="24"/>
          <w:szCs w:val="24"/>
        </w:rPr>
        <w:t>=6, Z=5.18). Using the results of the conjunction as a search area did not reveal any significant differences between the OCD and controls groups for complex stopping (</w:t>
      </w:r>
      <w:proofErr w:type="gramStart"/>
      <w:r w:rsidRPr="00D14006">
        <w:rPr>
          <w:rFonts w:ascii="Times New Roman" w:hAnsi="Times New Roman" w:cs="Times New Roman"/>
          <w:i/>
          <w:sz w:val="24"/>
          <w:szCs w:val="24"/>
        </w:rPr>
        <w:t>t</w:t>
      </w:r>
      <w:r w:rsidRPr="00D140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14006">
        <w:rPr>
          <w:rFonts w:ascii="Times New Roman" w:hAnsi="Times New Roman" w:cs="Times New Roman"/>
          <w:sz w:val="24"/>
          <w:szCs w:val="24"/>
        </w:rPr>
        <w:t xml:space="preserve">36)=0.44, </w:t>
      </w:r>
      <w:r w:rsidRPr="00D14006">
        <w:rPr>
          <w:rFonts w:ascii="Times New Roman" w:hAnsi="Times New Roman" w:cs="Times New Roman"/>
          <w:sz w:val="24"/>
          <w:szCs w:val="24"/>
        </w:rPr>
        <w:lastRenderedPageBreak/>
        <w:t>p=0.667) or simple stopping (</w:t>
      </w:r>
      <w:r w:rsidRPr="00D14006">
        <w:rPr>
          <w:rFonts w:ascii="Times New Roman" w:hAnsi="Times New Roman" w:cs="Times New Roman"/>
          <w:i/>
          <w:sz w:val="24"/>
          <w:szCs w:val="24"/>
        </w:rPr>
        <w:t>t</w:t>
      </w:r>
      <w:r w:rsidRPr="00D14006">
        <w:rPr>
          <w:rFonts w:ascii="Times New Roman" w:hAnsi="Times New Roman" w:cs="Times New Roman"/>
          <w:sz w:val="24"/>
          <w:szCs w:val="24"/>
        </w:rPr>
        <w:t xml:space="preserve">(36)=0.44, p=0.668). These results remained when the conjunction-based search area was defined by a more liberal threshold (p&lt;0.001 uncorrected) and with a search area defined in a previous study </w:t>
      </w:r>
      <w:r>
        <w:rPr>
          <w:rFonts w:ascii="Times New Roman" w:hAnsi="Times New Roman" w:cs="Times New Roman"/>
          <w:noProof/>
          <w:sz w:val="24"/>
          <w:szCs w:val="24"/>
        </w:rPr>
        <w:t>(Morein-Zamir</w:t>
      </w:r>
      <w:r w:rsidRPr="006A5CAE">
        <w:rPr>
          <w:rFonts w:ascii="Times New Roman" w:hAnsi="Times New Roman" w:cs="Times New Roman"/>
          <w:i/>
          <w:noProof/>
          <w:sz w:val="24"/>
          <w:szCs w:val="24"/>
        </w:rPr>
        <w:t xml:space="preserve"> et al.</w:t>
      </w:r>
      <w:r>
        <w:rPr>
          <w:rFonts w:ascii="Times New Roman" w:hAnsi="Times New Roman" w:cs="Times New Roman"/>
          <w:noProof/>
          <w:sz w:val="24"/>
          <w:szCs w:val="24"/>
        </w:rPr>
        <w:t>, 2014)</w:t>
      </w:r>
      <w:r w:rsidRPr="00D14006">
        <w:rPr>
          <w:rFonts w:ascii="Times New Roman" w:hAnsi="Times New Roman" w:cs="Times New Roman"/>
          <w:sz w:val="24"/>
          <w:szCs w:val="24"/>
        </w:rPr>
        <w:t xml:space="preserve">. Taken together, these results reaffirm the findings put forth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14006">
        <w:rPr>
          <w:rFonts w:ascii="Times New Roman" w:hAnsi="Times New Roman" w:cs="Times New Roman"/>
          <w:sz w:val="24"/>
          <w:szCs w:val="24"/>
        </w:rPr>
        <w:t xml:space="preserve">main text regarding </w:t>
      </w:r>
      <w:r>
        <w:rPr>
          <w:rFonts w:ascii="Times New Roman" w:hAnsi="Times New Roman" w:cs="Times New Roman"/>
          <w:sz w:val="24"/>
          <w:szCs w:val="24"/>
        </w:rPr>
        <w:t>limited</w:t>
      </w:r>
      <w:r w:rsidRPr="00D14006">
        <w:rPr>
          <w:rFonts w:ascii="Times New Roman" w:hAnsi="Times New Roman" w:cs="Times New Roman"/>
          <w:sz w:val="24"/>
          <w:szCs w:val="24"/>
        </w:rPr>
        <w:t xml:space="preserve"> evidence for stop-related group differences in </w:t>
      </w:r>
      <w:proofErr w:type="spellStart"/>
      <w:r w:rsidRPr="00D14006">
        <w:rPr>
          <w:rFonts w:ascii="Times New Roman" w:hAnsi="Times New Roman" w:cs="Times New Roman"/>
          <w:sz w:val="24"/>
          <w:szCs w:val="24"/>
        </w:rPr>
        <w:t>fronto</w:t>
      </w:r>
      <w:proofErr w:type="spellEnd"/>
      <w:r w:rsidRPr="00D14006">
        <w:rPr>
          <w:rFonts w:ascii="Times New Roman" w:hAnsi="Times New Roman" w:cs="Times New Roman"/>
          <w:sz w:val="24"/>
          <w:szCs w:val="24"/>
        </w:rPr>
        <w:t>-parietal regions. Note that subcortical structures such as the caudate and thalamus were not found in the conjunction and thus these results do not speak to any OCD-related abnormalities in these regions.</w:t>
      </w:r>
    </w:p>
    <w:p w:rsidR="00F719DA" w:rsidRPr="006D01EE" w:rsidRDefault="00F719DA" w:rsidP="00421BB6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719DA" w:rsidRDefault="00F719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19DA" w:rsidRPr="00D14006" w:rsidRDefault="00F719DA" w:rsidP="006170E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4006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Pr="00D14006">
        <w:rPr>
          <w:rFonts w:ascii="Times New Roman" w:hAnsi="Times New Roman" w:cs="Times New Roman"/>
          <w:sz w:val="24"/>
          <w:szCs w:val="24"/>
        </w:rPr>
        <w:t>. Group activations relating to complex and simple stopping in whole brain analyses, family-wise error corrected p&lt;0.05.</w:t>
      </w:r>
    </w:p>
    <w:tbl>
      <w:tblPr>
        <w:tblStyle w:val="TableGrid"/>
        <w:tblW w:w="10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51"/>
        <w:gridCol w:w="951"/>
        <w:gridCol w:w="833"/>
        <w:gridCol w:w="654"/>
        <w:gridCol w:w="641"/>
        <w:gridCol w:w="960"/>
        <w:gridCol w:w="2350"/>
      </w:tblGrid>
      <w:tr w:rsidR="00F719DA" w:rsidRPr="00D14006" w:rsidTr="008449A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Hemisphere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Z-score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Peak coordinates MNI (mm)</w:t>
            </w:r>
          </w:p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Cluster size (voxel)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Brain Region</w:t>
            </w:r>
          </w:p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DA" w:rsidRPr="00D14006" w:rsidTr="008449A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DA" w:rsidRPr="00D14006" w:rsidTr="008449A8">
        <w:tc>
          <w:tcPr>
            <w:tcW w:w="1809" w:type="dxa"/>
            <w:tcBorders>
              <w:top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Complex stop&gt;go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Anterior insula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Angular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Anterior insula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-88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Middle occipital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Middle occipital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Middle occipital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OCD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Middle occipital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operculum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-52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Thalamus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Angular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Simple stop&gt;go</w:t>
            </w: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Lingual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Angular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Angular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Angular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Supramarginal</w:t>
            </w:r>
            <w:proofErr w:type="spellEnd"/>
            <w:r w:rsidRPr="00D14006">
              <w:rPr>
                <w:rFonts w:ascii="Times New Roman" w:hAnsi="Times New Roman" w:cs="Times New Roman"/>
                <w:sz w:val="24"/>
                <w:szCs w:val="24"/>
              </w:rPr>
              <w:t xml:space="preserve"> gyrus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Anterior insula</w:t>
            </w:r>
          </w:p>
        </w:tc>
      </w:tr>
      <w:tr w:rsidR="00F719DA" w:rsidRPr="00D14006" w:rsidTr="008449A8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Fusiform gyrus</w:t>
            </w:r>
          </w:p>
        </w:tc>
      </w:tr>
      <w:tr w:rsidR="00F719DA" w:rsidRPr="00D14006" w:rsidTr="00E267CD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Inferior parietal</w:t>
            </w:r>
          </w:p>
        </w:tc>
      </w:tr>
      <w:tr w:rsidR="00F719DA" w:rsidRPr="00D14006" w:rsidTr="00E267CD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Precentral gyrus</w:t>
            </w:r>
          </w:p>
        </w:tc>
      </w:tr>
      <w:tr w:rsidR="00F719DA" w:rsidRPr="00D14006" w:rsidTr="00841BA3">
        <w:tc>
          <w:tcPr>
            <w:tcW w:w="1809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OCD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5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33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654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641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960" w:type="dxa"/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Fusiform gyrus</w:t>
            </w:r>
          </w:p>
        </w:tc>
      </w:tr>
      <w:tr w:rsidR="00F719DA" w:rsidRPr="00D14006" w:rsidTr="00841BA3">
        <w:tc>
          <w:tcPr>
            <w:tcW w:w="1809" w:type="dxa"/>
            <w:tcBorders>
              <w:bottom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19DA" w:rsidRPr="00D14006" w:rsidRDefault="00F719DA" w:rsidP="00C866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F719DA" w:rsidRPr="00D14006" w:rsidRDefault="00F719DA" w:rsidP="00D140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6">
              <w:rPr>
                <w:rFonts w:ascii="Times New Roman" w:hAnsi="Times New Roman" w:cs="Times New Roman"/>
                <w:sz w:val="24"/>
                <w:szCs w:val="24"/>
              </w:rPr>
              <w:t>Anterior insula</w:t>
            </w:r>
          </w:p>
        </w:tc>
      </w:tr>
    </w:tbl>
    <w:p w:rsidR="00F719DA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4B64" w:rsidRDefault="00B64B64">
      <w:pPr>
        <w:spacing w:after="160" w:line="259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:rsidR="00F719DA" w:rsidRDefault="00F719DA" w:rsidP="00FE0F42">
      <w:pPr>
        <w:spacing w:line="480" w:lineRule="auto"/>
      </w:pPr>
      <w:r w:rsidRPr="00F403F6">
        <w:rPr>
          <w:rFonts w:asciiTheme="majorBidi" w:hAnsiTheme="majorBidi" w:cstheme="majorBidi"/>
          <w:b/>
        </w:rPr>
        <w:lastRenderedPageBreak/>
        <w:t xml:space="preserve">Figure </w:t>
      </w:r>
      <w:r>
        <w:rPr>
          <w:rFonts w:asciiTheme="majorBidi" w:hAnsiTheme="majorBidi" w:cstheme="majorBidi"/>
          <w:b/>
        </w:rPr>
        <w:t>S</w:t>
      </w:r>
      <w:r w:rsidRPr="00F403F6">
        <w:rPr>
          <w:rFonts w:asciiTheme="majorBidi" w:hAnsiTheme="majorBidi" w:cstheme="majorBidi"/>
          <w:b/>
        </w:rPr>
        <w:t>1:</w:t>
      </w:r>
      <w:r w:rsidRPr="00F403F6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Illustration of a series of trials in the complex condition. Stimuli consist of superimposed images of faces and houses. In this instance, a red border indicates faces are the relevant dimension with responding to female and withholding responding to male faces, whereas a blue border indicates houses are the relevant dimension with responding to two-story houses and withholding responding to one-</w:t>
      </w:r>
      <w:proofErr w:type="spellStart"/>
      <w:r>
        <w:rPr>
          <w:rFonts w:asciiTheme="majorBidi" w:hAnsiTheme="majorBidi" w:cstheme="majorBidi"/>
        </w:rPr>
        <w:t>storey</w:t>
      </w:r>
      <w:proofErr w:type="spellEnd"/>
      <w:r>
        <w:rPr>
          <w:rFonts w:asciiTheme="majorBidi" w:hAnsiTheme="majorBidi" w:cstheme="majorBidi"/>
        </w:rPr>
        <w:t xml:space="preserve"> houses. Trial type is delineated under each stimulus. The inset describes individual trial structure, with an initial blank frame (1000 </w:t>
      </w:r>
      <w:proofErr w:type="spellStart"/>
      <w:r>
        <w:rPr>
          <w:rFonts w:asciiTheme="majorBidi" w:hAnsiTheme="majorBidi" w:cstheme="majorBidi"/>
        </w:rPr>
        <w:t>msec</w:t>
      </w:r>
      <w:proofErr w:type="spellEnd"/>
      <w:r>
        <w:rPr>
          <w:rFonts w:asciiTheme="majorBidi" w:hAnsiTheme="majorBidi" w:cstheme="majorBidi"/>
        </w:rPr>
        <w:t xml:space="preserve">) followed by the stimulus (725 </w:t>
      </w:r>
      <w:proofErr w:type="spellStart"/>
      <w:r>
        <w:rPr>
          <w:rFonts w:asciiTheme="majorBidi" w:hAnsiTheme="majorBidi" w:cstheme="majorBidi"/>
        </w:rPr>
        <w:t>msec</w:t>
      </w:r>
      <w:proofErr w:type="spellEnd"/>
      <w:r>
        <w:rPr>
          <w:rFonts w:asciiTheme="majorBidi" w:hAnsiTheme="majorBidi" w:cstheme="majorBidi"/>
        </w:rPr>
        <w:t xml:space="preserve">) and either a blank frame following correct responding or feedback following incorrect responding (1000 </w:t>
      </w:r>
      <w:proofErr w:type="spellStart"/>
      <w:r>
        <w:rPr>
          <w:rFonts w:asciiTheme="majorBidi" w:hAnsiTheme="majorBidi" w:cstheme="majorBidi"/>
        </w:rPr>
        <w:t>msec</w:t>
      </w:r>
      <w:proofErr w:type="spellEnd"/>
      <w:r>
        <w:rPr>
          <w:rFonts w:asciiTheme="majorBidi" w:hAnsiTheme="majorBidi" w:cstheme="majorBidi"/>
        </w:rPr>
        <w:t xml:space="preserve">). </w:t>
      </w:r>
    </w:p>
    <w:p w:rsidR="00F719DA" w:rsidRDefault="00F719DA" w:rsidP="00FE0F42">
      <w:pPr>
        <w:spacing w:line="480" w:lineRule="auto"/>
        <w:rPr>
          <w:b/>
        </w:rPr>
      </w:pPr>
    </w:p>
    <w:p w:rsidR="00F719DA" w:rsidRDefault="00F719DA" w:rsidP="00FE0F4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53C815D7" wp14:editId="3DFAC574">
            <wp:extent cx="5947410" cy="4460875"/>
            <wp:effectExtent l="0" t="0" r="0" b="0"/>
            <wp:docPr id="2" name="Picture 2" descr="C:\Shar\Compul2010\ISM.OCD.ms\Fig1Method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har\Compul2010\ISM.OCD.ms\Fig1Methods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DA" w:rsidRDefault="00F719DA" w:rsidP="00FE0F42">
      <w:pPr>
        <w:spacing w:line="480" w:lineRule="auto"/>
        <w:rPr>
          <w:rFonts w:ascii="Arial" w:hAnsi="Arial" w:cs="Arial"/>
          <w:sz w:val="20"/>
          <w:szCs w:val="20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14006">
        <w:rPr>
          <w:rFonts w:ascii="Times New Roman" w:hAnsi="Times New Roman" w:cs="Times New Roman"/>
          <w:sz w:val="24"/>
          <w:szCs w:val="24"/>
        </w:rPr>
        <w:br w:type="page"/>
      </w:r>
      <w:r w:rsidR="00B76665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bookmarkStart w:id="0" w:name="_GoBack"/>
      <w:bookmarkEnd w:id="0"/>
      <w:r w:rsidRPr="00D14006">
        <w:rPr>
          <w:rFonts w:ascii="Times New Roman" w:hAnsi="Times New Roman" w:cs="Times New Roman"/>
          <w:b/>
          <w:sz w:val="24"/>
          <w:szCs w:val="24"/>
        </w:rPr>
        <w:t xml:space="preserve"> References</w:t>
      </w:r>
    </w:p>
    <w:p w:rsidR="00F719DA" w:rsidRPr="00743341" w:rsidRDefault="00F719DA" w:rsidP="00743341">
      <w:pPr>
        <w:pStyle w:val="NoSpacing"/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Dodds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C. M.,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Morein-Zamir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S. &amp; Robbins, T. W. 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(2011). Dissociating inhibition, attention, and response control in the </w:t>
      </w:r>
      <w:proofErr w:type="spellStart"/>
      <w:r w:rsidRPr="00743341">
        <w:rPr>
          <w:rFonts w:ascii="Times New Roman" w:hAnsi="Times New Roman" w:cs="Times New Roman"/>
          <w:sz w:val="24"/>
          <w:szCs w:val="24"/>
          <w:lang w:val="en-GB"/>
        </w:rPr>
        <w:t>frontoparietal</w:t>
      </w:r>
      <w:proofErr w:type="spellEnd"/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network using functional magnetic resonance imaging. </w:t>
      </w:r>
      <w:r w:rsidRPr="00743341">
        <w:rPr>
          <w:rFonts w:ascii="Times New Roman" w:hAnsi="Times New Roman" w:cs="Times New Roman"/>
          <w:i/>
          <w:iCs/>
          <w:sz w:val="24"/>
          <w:szCs w:val="24"/>
          <w:lang w:val="en-GB"/>
        </w:rPr>
        <w:t>Cerebral Cortex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21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>, 1155-65.</w:t>
      </w:r>
    </w:p>
    <w:p w:rsidR="00F719DA" w:rsidRPr="00743341" w:rsidRDefault="00F719DA" w:rsidP="00743341">
      <w:pPr>
        <w:pStyle w:val="NoSpacing"/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Morein-Zamir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S.,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Dodds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C., van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Hartevelt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T. J.,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Schwarzkopt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W.,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Sahakian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B. J., Muller, U. &amp; Robbins, T. W. 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(2014). </w:t>
      </w:r>
      <w:proofErr w:type="spellStart"/>
      <w:r w:rsidRPr="00743341">
        <w:rPr>
          <w:rFonts w:ascii="Times New Roman" w:hAnsi="Times New Roman" w:cs="Times New Roman"/>
          <w:sz w:val="24"/>
          <w:szCs w:val="24"/>
          <w:lang w:val="en-GB"/>
        </w:rPr>
        <w:t>Hypoactivation</w:t>
      </w:r>
      <w:proofErr w:type="spellEnd"/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in Right Inferior Frontal Cortex is Specifically Associated </w:t>
      </w:r>
      <w:proofErr w:type="gramStart"/>
      <w:r w:rsidRPr="00743341">
        <w:rPr>
          <w:rFonts w:ascii="Times New Roman" w:hAnsi="Times New Roman" w:cs="Times New Roman"/>
          <w:sz w:val="24"/>
          <w:szCs w:val="24"/>
          <w:lang w:val="en-GB"/>
        </w:rPr>
        <w:t>With</w:t>
      </w:r>
      <w:proofErr w:type="gramEnd"/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Motor Response Inhibition in Adult ADHD. </w:t>
      </w:r>
      <w:r w:rsidRPr="00743341">
        <w:rPr>
          <w:rFonts w:ascii="Times New Roman" w:hAnsi="Times New Roman" w:cs="Times New Roman"/>
          <w:i/>
          <w:iCs/>
          <w:sz w:val="24"/>
          <w:szCs w:val="24"/>
          <w:lang w:val="en-GB"/>
        </w:rPr>
        <w:t>Human Brain Mapping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35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>, 5141-52.</w:t>
      </w:r>
    </w:p>
    <w:p w:rsidR="00F719DA" w:rsidRPr="00BC3372" w:rsidRDefault="00F719DA" w:rsidP="00743341">
      <w:pPr>
        <w:pStyle w:val="NoSpacing"/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Tzourio-Mazoyer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N.,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Landeau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B., Papathanassiou, D.,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Crivello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F.,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Etard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O., Delcroix, N., </w:t>
      </w:r>
      <w:proofErr w:type="spellStart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Mazoyer</w:t>
      </w:r>
      <w:proofErr w:type="spellEnd"/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B. &amp; Joliot, M. 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(2002). Automated anatomical </w:t>
      </w:r>
      <w:proofErr w:type="spellStart"/>
      <w:r w:rsidRPr="00743341">
        <w:rPr>
          <w:rFonts w:ascii="Times New Roman" w:hAnsi="Times New Roman" w:cs="Times New Roman"/>
          <w:sz w:val="24"/>
          <w:szCs w:val="24"/>
          <w:lang w:val="en-GB"/>
        </w:rPr>
        <w:t>labeling</w:t>
      </w:r>
      <w:proofErr w:type="spellEnd"/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of activations in SPM using a macroscopic anatomical </w:t>
      </w:r>
      <w:proofErr w:type="spellStart"/>
      <w:r w:rsidRPr="00743341">
        <w:rPr>
          <w:rFonts w:ascii="Times New Roman" w:hAnsi="Times New Roman" w:cs="Times New Roman"/>
          <w:sz w:val="24"/>
          <w:szCs w:val="24"/>
          <w:lang w:val="en-GB"/>
        </w:rPr>
        <w:t>parcellation</w:t>
      </w:r>
      <w:proofErr w:type="spellEnd"/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of the MNI MRI single-subject brain. </w:t>
      </w:r>
      <w:proofErr w:type="spellStart"/>
      <w:r w:rsidRPr="00743341">
        <w:rPr>
          <w:rFonts w:ascii="Times New Roman" w:hAnsi="Times New Roman" w:cs="Times New Roman"/>
          <w:i/>
          <w:iCs/>
          <w:sz w:val="24"/>
          <w:szCs w:val="24"/>
          <w:lang w:val="en-GB"/>
        </w:rPr>
        <w:t>Neuroimage</w:t>
      </w:r>
      <w:proofErr w:type="spellEnd"/>
      <w:r w:rsidRPr="007433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43341">
        <w:rPr>
          <w:rFonts w:ascii="Times New Roman" w:hAnsi="Times New Roman" w:cs="Times New Roman"/>
          <w:b/>
          <w:bCs/>
          <w:sz w:val="24"/>
          <w:szCs w:val="24"/>
          <w:lang w:val="en-GB"/>
        </w:rPr>
        <w:t>15</w:t>
      </w:r>
      <w:r w:rsidRPr="00743341">
        <w:rPr>
          <w:rFonts w:ascii="Times New Roman" w:hAnsi="Times New Roman" w:cs="Times New Roman"/>
          <w:sz w:val="24"/>
          <w:szCs w:val="24"/>
          <w:lang w:val="en-GB"/>
        </w:rPr>
        <w:t>, 273-89.</w:t>
      </w: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719DA" w:rsidRPr="00D14006" w:rsidRDefault="00F719DA" w:rsidP="00D1400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2CFB" w:rsidRDefault="00042CFB"/>
    <w:sectPr w:rsidR="00042CFB" w:rsidSect="00270D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02" w:rsidRDefault="00512902">
      <w:pPr>
        <w:spacing w:after="0" w:line="240" w:lineRule="auto"/>
      </w:pPr>
      <w:r>
        <w:separator/>
      </w:r>
    </w:p>
  </w:endnote>
  <w:endnote w:type="continuationSeparator" w:id="0">
    <w:p w:rsidR="00512902" w:rsidRDefault="0051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847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E79" w:rsidRDefault="00B64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6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6E79" w:rsidRDefault="00512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02" w:rsidRDefault="00512902">
      <w:pPr>
        <w:spacing w:after="0" w:line="240" w:lineRule="auto"/>
      </w:pPr>
      <w:r>
        <w:separator/>
      </w:r>
    </w:p>
  </w:footnote>
  <w:footnote w:type="continuationSeparator" w:id="0">
    <w:p w:rsidR="00512902" w:rsidRDefault="0051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A7E"/>
    <w:multiLevelType w:val="hybridMultilevel"/>
    <w:tmpl w:val="C1743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2573"/>
    <w:multiLevelType w:val="hybridMultilevel"/>
    <w:tmpl w:val="C2A84104"/>
    <w:lvl w:ilvl="0" w:tplc="23CCA8D6">
      <w:start w:val="2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C9C5F81"/>
    <w:multiLevelType w:val="hybridMultilevel"/>
    <w:tmpl w:val="8C90DF38"/>
    <w:lvl w:ilvl="0" w:tplc="2592A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13E"/>
    <w:multiLevelType w:val="hybridMultilevel"/>
    <w:tmpl w:val="6A36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535B3"/>
    <w:multiLevelType w:val="hybridMultilevel"/>
    <w:tmpl w:val="18640AC8"/>
    <w:lvl w:ilvl="0" w:tplc="04B6147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5275FB"/>
    <w:multiLevelType w:val="hybridMultilevel"/>
    <w:tmpl w:val="DA56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7500"/>
    <w:multiLevelType w:val="hybridMultilevel"/>
    <w:tmpl w:val="05D63F60"/>
    <w:lvl w:ilvl="0" w:tplc="322878E2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719DA"/>
    <w:rsid w:val="00042CFB"/>
    <w:rsid w:val="00384273"/>
    <w:rsid w:val="00512902"/>
    <w:rsid w:val="007F2AC6"/>
    <w:rsid w:val="00994367"/>
    <w:rsid w:val="00B64B64"/>
    <w:rsid w:val="00B76665"/>
    <w:rsid w:val="00C15722"/>
    <w:rsid w:val="00D500B6"/>
    <w:rsid w:val="00E13BCC"/>
    <w:rsid w:val="00F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890D-CECB-4C68-99BE-38CA9A9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DA"/>
    <w:pPr>
      <w:spacing w:after="200" w:line="276" w:lineRule="auto"/>
    </w:pPr>
    <w:rPr>
      <w:rFonts w:eastAsiaTheme="min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9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9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19D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19D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9D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9DA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9D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9D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9DA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9DA"/>
    <w:pPr>
      <w:spacing w:after="0" w:line="240" w:lineRule="auto"/>
    </w:pPr>
    <w:rPr>
      <w:rFonts w:eastAsiaTheme="minorHAnsi"/>
      <w:lang w:val="en-US"/>
    </w:rPr>
  </w:style>
  <w:style w:type="character" w:customStyle="1" w:styleId="Heading1Char">
    <w:name w:val="Heading 1 Char"/>
    <w:link w:val="Heading1"/>
    <w:uiPriority w:val="9"/>
    <w:rsid w:val="00F719DA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F719DA"/>
    <w:rPr>
      <w:rFonts w:ascii="Cambria" w:eastAsia="Times New Roman" w:hAnsi="Cambria" w:cs="Times New Roman"/>
      <w:b/>
      <w:bCs/>
      <w:color w:val="2DA2BF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F719DA"/>
    <w:rPr>
      <w:rFonts w:ascii="Cambria" w:eastAsia="Times New Roman" w:hAnsi="Cambria" w:cs="Times New Roman"/>
      <w:b/>
      <w:bCs/>
      <w:color w:val="2DA2BF"/>
      <w:lang w:val="en-US"/>
    </w:rPr>
  </w:style>
  <w:style w:type="character" w:customStyle="1" w:styleId="Heading4Char">
    <w:name w:val="Heading 4 Char"/>
    <w:link w:val="Heading4"/>
    <w:uiPriority w:val="9"/>
    <w:rsid w:val="00F719DA"/>
    <w:rPr>
      <w:rFonts w:ascii="Cambria" w:eastAsia="Times New Roman" w:hAnsi="Cambria" w:cs="Times New Roman"/>
      <w:b/>
      <w:bCs/>
      <w:i/>
      <w:iCs/>
      <w:color w:val="2DA2BF"/>
      <w:lang w:val="en-US"/>
    </w:rPr>
  </w:style>
  <w:style w:type="character" w:customStyle="1" w:styleId="Heading5Char">
    <w:name w:val="Heading 5 Char"/>
    <w:link w:val="Heading5"/>
    <w:uiPriority w:val="9"/>
    <w:semiHidden/>
    <w:rsid w:val="00F719DA"/>
    <w:rPr>
      <w:rFonts w:ascii="Cambria" w:eastAsia="Times New Roman" w:hAnsi="Cambria" w:cs="Times New Roman"/>
      <w:color w:val="16505E"/>
      <w:lang w:val="en-US"/>
    </w:rPr>
  </w:style>
  <w:style w:type="character" w:customStyle="1" w:styleId="Heading6Char">
    <w:name w:val="Heading 6 Char"/>
    <w:link w:val="Heading6"/>
    <w:uiPriority w:val="9"/>
    <w:semiHidden/>
    <w:rsid w:val="00F719DA"/>
    <w:rPr>
      <w:rFonts w:ascii="Cambria" w:eastAsia="Times New Roman" w:hAnsi="Cambria" w:cs="Times New Roman"/>
      <w:i/>
      <w:iCs/>
      <w:color w:val="16505E"/>
      <w:lang w:val="en-US"/>
    </w:rPr>
  </w:style>
  <w:style w:type="character" w:customStyle="1" w:styleId="Heading7Char">
    <w:name w:val="Heading 7 Char"/>
    <w:link w:val="Heading7"/>
    <w:uiPriority w:val="9"/>
    <w:semiHidden/>
    <w:rsid w:val="00F719DA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">
    <w:name w:val="Heading 8 Char"/>
    <w:link w:val="Heading8"/>
    <w:uiPriority w:val="9"/>
    <w:semiHidden/>
    <w:rsid w:val="00F719DA"/>
    <w:rPr>
      <w:rFonts w:ascii="Cambria" w:eastAsia="Times New Roman" w:hAnsi="Cambria" w:cs="Times New Roman"/>
      <w:color w:val="2DA2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F719DA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19DA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719D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719DA"/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9DA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719DA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en-US"/>
    </w:rPr>
  </w:style>
  <w:style w:type="character" w:styleId="Strong">
    <w:name w:val="Strong"/>
    <w:uiPriority w:val="22"/>
    <w:qFormat/>
    <w:rsid w:val="00F719DA"/>
    <w:rPr>
      <w:b/>
      <w:bCs/>
    </w:rPr>
  </w:style>
  <w:style w:type="character" w:styleId="Emphasis">
    <w:name w:val="Emphasis"/>
    <w:uiPriority w:val="20"/>
    <w:qFormat/>
    <w:rsid w:val="00F719DA"/>
    <w:rPr>
      <w:i/>
      <w:iCs/>
    </w:rPr>
  </w:style>
  <w:style w:type="paragraph" w:styleId="ListParagraph">
    <w:name w:val="List Paragraph"/>
    <w:basedOn w:val="Normal"/>
    <w:uiPriority w:val="34"/>
    <w:qFormat/>
    <w:rsid w:val="00F719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19D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719DA"/>
    <w:rPr>
      <w:rFonts w:eastAsiaTheme="minorHAnsi"/>
      <w:i/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9D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F719DA"/>
    <w:rPr>
      <w:rFonts w:eastAsiaTheme="minorHAnsi"/>
      <w:b/>
      <w:bCs/>
      <w:i/>
      <w:iCs/>
      <w:color w:val="2DA2BF"/>
      <w:lang w:val="en-US"/>
    </w:rPr>
  </w:style>
  <w:style w:type="character" w:styleId="SubtleEmphasis">
    <w:name w:val="Subtle Emphasis"/>
    <w:uiPriority w:val="19"/>
    <w:qFormat/>
    <w:rsid w:val="00F719DA"/>
    <w:rPr>
      <w:i/>
      <w:iCs/>
      <w:color w:val="808080"/>
    </w:rPr>
  </w:style>
  <w:style w:type="character" w:styleId="IntenseEmphasis">
    <w:name w:val="Intense Emphasis"/>
    <w:uiPriority w:val="21"/>
    <w:qFormat/>
    <w:rsid w:val="00F719DA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F719DA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F719DA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F719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19DA"/>
    <w:pPr>
      <w:outlineLvl w:val="9"/>
    </w:pPr>
  </w:style>
  <w:style w:type="character" w:styleId="Hyperlink">
    <w:name w:val="Hyperlink"/>
    <w:rsid w:val="00F719DA"/>
    <w:rPr>
      <w:color w:val="0000FF"/>
      <w:u w:val="single"/>
    </w:rPr>
  </w:style>
  <w:style w:type="table" w:styleId="TableGrid">
    <w:name w:val="Table Grid"/>
    <w:basedOn w:val="TableNormal"/>
    <w:uiPriority w:val="59"/>
    <w:rsid w:val="00F719D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DA"/>
    <w:rPr>
      <w:rFonts w:ascii="Tahoma" w:eastAsiaTheme="minorHAns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DA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DA"/>
    <w:rPr>
      <w:rFonts w:eastAsia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19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9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9DA"/>
    <w:rPr>
      <w:rFonts w:eastAsiaTheme="minorHAns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719DA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User</cp:lastModifiedBy>
  <cp:revision>4</cp:revision>
  <dcterms:created xsi:type="dcterms:W3CDTF">2015-10-05T11:17:00Z</dcterms:created>
  <dcterms:modified xsi:type="dcterms:W3CDTF">2015-10-15T19:16:00Z</dcterms:modified>
</cp:coreProperties>
</file>