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98B" w:rsidRDefault="002E698B" w:rsidP="002E698B">
      <w:pPr>
        <w:rPr>
          <w:rFonts w:cs="Times New Roman"/>
          <w:b/>
          <w:bCs/>
          <w:u w:val="single"/>
          <w:lang w:val="en-US"/>
        </w:rPr>
      </w:pPr>
      <w:r>
        <w:rPr>
          <w:rFonts w:cs="Times New Roman"/>
          <w:b/>
          <w:bCs/>
          <w:u w:val="single"/>
          <w:lang w:val="en-US"/>
        </w:rPr>
        <w:t>Online Supplementary Material</w:t>
      </w:r>
    </w:p>
    <w:p w:rsidR="002E698B" w:rsidRPr="009716BC" w:rsidRDefault="002E698B" w:rsidP="002E698B">
      <w:pPr>
        <w:spacing w:after="120" w:line="240" w:lineRule="auto"/>
        <w:ind w:left="-851" w:right="2946"/>
        <w:rPr>
          <w:sz w:val="20"/>
          <w:szCs w:val="20"/>
          <w:lang w:val="en-US"/>
        </w:rPr>
      </w:pPr>
      <w:proofErr w:type="gramStart"/>
      <w:r>
        <w:rPr>
          <w:sz w:val="20"/>
          <w:szCs w:val="20"/>
          <w:lang w:val="en-US"/>
        </w:rPr>
        <w:t>e</w:t>
      </w:r>
      <w:r w:rsidRPr="009716BC">
        <w:rPr>
          <w:sz w:val="20"/>
          <w:szCs w:val="20"/>
          <w:lang w:val="en-US"/>
        </w:rPr>
        <w:t>Table</w:t>
      </w:r>
      <w:proofErr w:type="gramEnd"/>
      <w:r w:rsidRPr="009716BC">
        <w:rPr>
          <w:sz w:val="20"/>
          <w:szCs w:val="20"/>
          <w:lang w:val="en-US"/>
        </w:rPr>
        <w:t xml:space="preserve"> </w:t>
      </w:r>
      <w:r>
        <w:rPr>
          <w:sz w:val="20"/>
          <w:szCs w:val="20"/>
          <w:lang w:val="en-US"/>
        </w:rPr>
        <w:t>1</w:t>
      </w:r>
      <w:r w:rsidRPr="009716BC">
        <w:rPr>
          <w:sz w:val="20"/>
          <w:szCs w:val="20"/>
          <w:lang w:val="en-US"/>
        </w:rPr>
        <w:t xml:space="preserve">. Censoring in the analyses of </w:t>
      </w:r>
      <w:r w:rsidR="000D48AD">
        <w:rPr>
          <w:sz w:val="20"/>
          <w:szCs w:val="20"/>
          <w:lang w:val="en-US"/>
        </w:rPr>
        <w:t>the rate of</w:t>
      </w:r>
      <w:bookmarkStart w:id="0" w:name="_GoBack"/>
      <w:bookmarkEnd w:id="0"/>
      <w:r w:rsidRPr="009716BC">
        <w:rPr>
          <w:sz w:val="20"/>
          <w:szCs w:val="20"/>
          <w:lang w:val="en-US"/>
        </w:rPr>
        <w:t xml:space="preserve"> remission, recurrence of depression and conversion to bipolar disorder, respectively, after the first lifetime episode of depression</w:t>
      </w:r>
    </w:p>
    <w:tbl>
      <w:tblPr>
        <w:tblStyle w:val="Tabel-Gitter"/>
        <w:tblW w:w="11624" w:type="dxa"/>
        <w:tblInd w:w="-743" w:type="dxa"/>
        <w:tblLayout w:type="fixed"/>
        <w:tblLook w:val="04A0" w:firstRow="1" w:lastRow="0" w:firstColumn="1" w:lastColumn="0" w:noHBand="0" w:noVBand="1"/>
      </w:tblPr>
      <w:tblGrid>
        <w:gridCol w:w="2694"/>
        <w:gridCol w:w="567"/>
        <w:gridCol w:w="992"/>
        <w:gridCol w:w="1134"/>
        <w:gridCol w:w="993"/>
        <w:gridCol w:w="1134"/>
        <w:gridCol w:w="1134"/>
        <w:gridCol w:w="1134"/>
        <w:gridCol w:w="992"/>
        <w:gridCol w:w="850"/>
      </w:tblGrid>
      <w:tr w:rsidR="002E698B" w:rsidRPr="00180347" w:rsidTr="00DA0D76">
        <w:tc>
          <w:tcPr>
            <w:tcW w:w="2694" w:type="dxa"/>
            <w:vMerge w:val="restart"/>
          </w:tcPr>
          <w:p w:rsidR="002E698B" w:rsidRPr="00A62C65" w:rsidRDefault="002E698B" w:rsidP="00DA0D76">
            <w:pPr>
              <w:rPr>
                <w:rFonts w:ascii="Times New Roman" w:hAnsi="Times New Roman" w:cs="Times New Roman"/>
                <w:sz w:val="20"/>
                <w:szCs w:val="20"/>
                <w:lang w:val="en-US"/>
              </w:rPr>
            </w:pPr>
          </w:p>
        </w:tc>
        <w:tc>
          <w:tcPr>
            <w:tcW w:w="567" w:type="dxa"/>
            <w:vMerge w:val="restart"/>
            <w:tcBorders>
              <w:right w:val="single" w:sz="12" w:space="0" w:color="auto"/>
            </w:tcBorders>
          </w:tcPr>
          <w:p w:rsidR="002E698B" w:rsidRPr="00A62C65" w:rsidRDefault="002E698B" w:rsidP="00DA0D76">
            <w:pPr>
              <w:jc w:val="center"/>
              <w:rPr>
                <w:rFonts w:ascii="Times New Roman" w:hAnsi="Times New Roman" w:cs="Times New Roman"/>
                <w:sz w:val="20"/>
                <w:szCs w:val="20"/>
                <w:lang w:val="en-US"/>
              </w:rPr>
            </w:pPr>
          </w:p>
          <w:p w:rsidR="002E698B" w:rsidRPr="00457626" w:rsidRDefault="002E698B" w:rsidP="00DA0D76">
            <w:pPr>
              <w:jc w:val="center"/>
              <w:rPr>
                <w:rFonts w:ascii="Times New Roman" w:hAnsi="Times New Roman" w:cs="Times New Roman"/>
                <w:sz w:val="20"/>
                <w:szCs w:val="20"/>
                <w:lang w:val="en-US"/>
              </w:rPr>
            </w:pPr>
          </w:p>
          <w:p w:rsidR="002E698B" w:rsidRPr="00457626" w:rsidRDefault="002E698B" w:rsidP="00DA0D76">
            <w:pPr>
              <w:jc w:val="center"/>
              <w:rPr>
                <w:rFonts w:ascii="Times New Roman" w:hAnsi="Times New Roman" w:cs="Times New Roman"/>
                <w:sz w:val="20"/>
                <w:szCs w:val="20"/>
                <w:lang w:val="en-US"/>
              </w:rPr>
            </w:pPr>
          </w:p>
          <w:p w:rsidR="002E698B" w:rsidRPr="00180347" w:rsidRDefault="002E698B" w:rsidP="00DA0D76">
            <w:pPr>
              <w:jc w:val="center"/>
              <w:rPr>
                <w:rFonts w:ascii="Times New Roman" w:hAnsi="Times New Roman" w:cs="Times New Roman"/>
                <w:sz w:val="20"/>
                <w:szCs w:val="20"/>
              </w:rPr>
            </w:pPr>
            <w:r>
              <w:rPr>
                <w:rFonts w:ascii="Times New Roman" w:hAnsi="Times New Roman" w:cs="Times New Roman"/>
                <w:sz w:val="20"/>
                <w:szCs w:val="20"/>
              </w:rPr>
              <w:t xml:space="preserve">N </w:t>
            </w:r>
          </w:p>
        </w:tc>
        <w:tc>
          <w:tcPr>
            <w:tcW w:w="8363" w:type="dxa"/>
            <w:gridSpan w:val="8"/>
            <w:tcBorders>
              <w:left w:val="single" w:sz="12" w:space="0" w:color="auto"/>
              <w:bottom w:val="single" w:sz="8" w:space="0" w:color="auto"/>
            </w:tcBorders>
          </w:tcPr>
          <w:p w:rsidR="002E698B" w:rsidRDefault="002E698B" w:rsidP="00DA0D76">
            <w:pPr>
              <w:jc w:val="center"/>
              <w:rPr>
                <w:rFonts w:ascii="Times New Roman" w:hAnsi="Times New Roman" w:cs="Times New Roman"/>
                <w:sz w:val="20"/>
                <w:szCs w:val="20"/>
              </w:rPr>
            </w:pPr>
            <w:proofErr w:type="spellStart"/>
            <w:r w:rsidRPr="00180347">
              <w:rPr>
                <w:rFonts w:ascii="Times New Roman" w:hAnsi="Times New Roman" w:cs="Times New Roman"/>
                <w:sz w:val="20"/>
                <w:szCs w:val="20"/>
              </w:rPr>
              <w:t>Censoring</w:t>
            </w:r>
            <w:proofErr w:type="spellEnd"/>
          </w:p>
          <w:p w:rsidR="002E698B" w:rsidRPr="00180347" w:rsidRDefault="002E698B" w:rsidP="00DA0D76">
            <w:pPr>
              <w:jc w:val="center"/>
              <w:rPr>
                <w:rFonts w:ascii="Times New Roman" w:hAnsi="Times New Roman" w:cs="Times New Roman"/>
                <w:sz w:val="20"/>
                <w:szCs w:val="20"/>
              </w:rPr>
            </w:pPr>
          </w:p>
        </w:tc>
      </w:tr>
      <w:tr w:rsidR="002E698B" w:rsidRPr="00180347" w:rsidTr="00DA0D76">
        <w:tc>
          <w:tcPr>
            <w:tcW w:w="2694" w:type="dxa"/>
            <w:vMerge/>
          </w:tcPr>
          <w:p w:rsidR="002E698B" w:rsidRPr="00180347" w:rsidRDefault="002E698B" w:rsidP="00DA0D76">
            <w:pPr>
              <w:rPr>
                <w:rFonts w:ascii="Times New Roman" w:hAnsi="Times New Roman" w:cs="Times New Roman"/>
                <w:sz w:val="20"/>
                <w:szCs w:val="20"/>
              </w:rPr>
            </w:pPr>
          </w:p>
        </w:tc>
        <w:tc>
          <w:tcPr>
            <w:tcW w:w="567" w:type="dxa"/>
            <w:vMerge/>
            <w:tcBorders>
              <w:right w:val="single" w:sz="12" w:space="0" w:color="auto"/>
            </w:tcBorders>
          </w:tcPr>
          <w:p w:rsidR="002E698B" w:rsidRPr="00180347" w:rsidRDefault="002E698B" w:rsidP="00DA0D76">
            <w:pPr>
              <w:jc w:val="center"/>
              <w:rPr>
                <w:rFonts w:ascii="Times New Roman" w:hAnsi="Times New Roman" w:cs="Times New Roman"/>
                <w:sz w:val="20"/>
                <w:szCs w:val="20"/>
              </w:rPr>
            </w:pPr>
          </w:p>
        </w:tc>
        <w:tc>
          <w:tcPr>
            <w:tcW w:w="2126" w:type="dxa"/>
            <w:gridSpan w:val="2"/>
            <w:tcBorders>
              <w:top w:val="single" w:sz="8" w:space="0" w:color="auto"/>
              <w:left w:val="single" w:sz="12" w:space="0" w:color="auto"/>
              <w:right w:val="single" w:sz="12" w:space="0" w:color="auto"/>
            </w:tcBorders>
          </w:tcPr>
          <w:p w:rsidR="002E698B" w:rsidRDefault="002E698B" w:rsidP="00DA0D76">
            <w:pPr>
              <w:jc w:val="center"/>
              <w:rPr>
                <w:rFonts w:ascii="Times New Roman" w:hAnsi="Times New Roman" w:cs="Times New Roman"/>
                <w:sz w:val="20"/>
                <w:szCs w:val="20"/>
              </w:rPr>
            </w:pPr>
            <w:proofErr w:type="spellStart"/>
            <w:r w:rsidRPr="00180347">
              <w:rPr>
                <w:rFonts w:ascii="Times New Roman" w:hAnsi="Times New Roman" w:cs="Times New Roman"/>
                <w:sz w:val="20"/>
                <w:szCs w:val="20"/>
              </w:rPr>
              <w:t>Remission</w:t>
            </w:r>
            <w:proofErr w:type="spellEnd"/>
          </w:p>
          <w:p w:rsidR="002E698B" w:rsidRPr="00180347" w:rsidRDefault="002E698B" w:rsidP="00DA0D76">
            <w:pPr>
              <w:jc w:val="center"/>
              <w:rPr>
                <w:rFonts w:ascii="Times New Roman" w:hAnsi="Times New Roman" w:cs="Times New Roman"/>
                <w:sz w:val="20"/>
                <w:szCs w:val="20"/>
              </w:rPr>
            </w:pPr>
            <w:r>
              <w:rPr>
                <w:rFonts w:ascii="Times New Roman" w:hAnsi="Times New Roman" w:cs="Times New Roman"/>
                <w:sz w:val="20"/>
                <w:szCs w:val="20"/>
              </w:rPr>
              <w:t>(N=301)</w:t>
            </w:r>
          </w:p>
        </w:tc>
        <w:tc>
          <w:tcPr>
            <w:tcW w:w="4395" w:type="dxa"/>
            <w:gridSpan w:val="4"/>
            <w:tcBorders>
              <w:top w:val="single" w:sz="8" w:space="0" w:color="auto"/>
              <w:left w:val="single" w:sz="12" w:space="0" w:color="auto"/>
              <w:right w:val="single" w:sz="12" w:space="0" w:color="auto"/>
            </w:tcBorders>
          </w:tcPr>
          <w:p w:rsidR="002E698B" w:rsidRDefault="002E698B" w:rsidP="00DA0D76">
            <w:pPr>
              <w:jc w:val="center"/>
              <w:rPr>
                <w:rFonts w:ascii="Times New Roman" w:hAnsi="Times New Roman" w:cs="Times New Roman"/>
                <w:sz w:val="20"/>
                <w:szCs w:val="20"/>
              </w:rPr>
            </w:pPr>
            <w:proofErr w:type="spellStart"/>
            <w:r w:rsidRPr="00180347">
              <w:rPr>
                <w:rFonts w:ascii="Times New Roman" w:hAnsi="Times New Roman" w:cs="Times New Roman"/>
                <w:sz w:val="20"/>
                <w:szCs w:val="20"/>
              </w:rPr>
              <w:t>Recurrence</w:t>
            </w:r>
            <w:proofErr w:type="spellEnd"/>
          </w:p>
          <w:p w:rsidR="002E698B" w:rsidRPr="00180347" w:rsidRDefault="002E698B" w:rsidP="00DA0D76">
            <w:pPr>
              <w:jc w:val="center"/>
              <w:rPr>
                <w:rFonts w:ascii="Times New Roman" w:hAnsi="Times New Roman" w:cs="Times New Roman"/>
                <w:sz w:val="20"/>
                <w:szCs w:val="20"/>
              </w:rPr>
            </w:pPr>
            <w:r>
              <w:rPr>
                <w:rFonts w:ascii="Times New Roman" w:hAnsi="Times New Roman" w:cs="Times New Roman"/>
                <w:sz w:val="20"/>
                <w:szCs w:val="20"/>
              </w:rPr>
              <w:t>(N=246)</w:t>
            </w:r>
          </w:p>
          <w:p w:rsidR="002E698B" w:rsidRPr="00180347" w:rsidRDefault="002E698B" w:rsidP="00DA0D76">
            <w:pPr>
              <w:jc w:val="center"/>
              <w:rPr>
                <w:rFonts w:ascii="Times New Roman" w:hAnsi="Times New Roman" w:cs="Times New Roman"/>
                <w:sz w:val="20"/>
                <w:szCs w:val="20"/>
              </w:rPr>
            </w:pPr>
          </w:p>
        </w:tc>
        <w:tc>
          <w:tcPr>
            <w:tcW w:w="1842" w:type="dxa"/>
            <w:gridSpan w:val="2"/>
            <w:tcBorders>
              <w:top w:val="single" w:sz="8" w:space="0" w:color="auto"/>
              <w:left w:val="single" w:sz="12" w:space="0" w:color="auto"/>
              <w:right w:val="single" w:sz="8" w:space="0" w:color="auto"/>
            </w:tcBorders>
          </w:tcPr>
          <w:p w:rsidR="002E698B" w:rsidRDefault="002E698B" w:rsidP="00DA0D76">
            <w:pPr>
              <w:jc w:val="center"/>
              <w:rPr>
                <w:rFonts w:ascii="Times New Roman" w:hAnsi="Times New Roman" w:cs="Times New Roman"/>
                <w:sz w:val="20"/>
                <w:szCs w:val="20"/>
              </w:rPr>
            </w:pPr>
            <w:r w:rsidRPr="00180347">
              <w:rPr>
                <w:rFonts w:ascii="Times New Roman" w:hAnsi="Times New Roman" w:cs="Times New Roman"/>
                <w:sz w:val="20"/>
                <w:szCs w:val="20"/>
              </w:rPr>
              <w:t>Conversion to bipolar</w:t>
            </w:r>
            <w:r>
              <w:rPr>
                <w:rFonts w:ascii="Times New Roman" w:hAnsi="Times New Roman" w:cs="Times New Roman"/>
                <w:sz w:val="20"/>
                <w:szCs w:val="20"/>
              </w:rPr>
              <w:t xml:space="preserve"> </w:t>
            </w:r>
          </w:p>
          <w:p w:rsidR="002E698B" w:rsidRPr="00180347" w:rsidRDefault="002E698B" w:rsidP="00DA0D76">
            <w:pPr>
              <w:jc w:val="center"/>
              <w:rPr>
                <w:rFonts w:ascii="Times New Roman" w:hAnsi="Times New Roman" w:cs="Times New Roman"/>
                <w:sz w:val="20"/>
                <w:szCs w:val="20"/>
              </w:rPr>
            </w:pPr>
            <w:r>
              <w:rPr>
                <w:rFonts w:ascii="Times New Roman" w:hAnsi="Times New Roman" w:cs="Times New Roman"/>
                <w:sz w:val="20"/>
                <w:szCs w:val="20"/>
              </w:rPr>
              <w:t>(N=301)</w:t>
            </w:r>
          </w:p>
        </w:tc>
      </w:tr>
      <w:tr w:rsidR="002E698B" w:rsidRPr="00180347" w:rsidTr="00DA0D76">
        <w:tc>
          <w:tcPr>
            <w:tcW w:w="2694" w:type="dxa"/>
            <w:vMerge/>
          </w:tcPr>
          <w:p w:rsidR="002E698B" w:rsidRPr="00180347" w:rsidRDefault="002E698B" w:rsidP="00DA0D76">
            <w:pPr>
              <w:rPr>
                <w:rFonts w:ascii="Times New Roman" w:hAnsi="Times New Roman" w:cs="Times New Roman"/>
                <w:sz w:val="20"/>
                <w:szCs w:val="20"/>
              </w:rPr>
            </w:pPr>
          </w:p>
        </w:tc>
        <w:tc>
          <w:tcPr>
            <w:tcW w:w="567" w:type="dxa"/>
            <w:vMerge/>
            <w:tcBorders>
              <w:right w:val="single" w:sz="12" w:space="0" w:color="auto"/>
            </w:tcBorders>
          </w:tcPr>
          <w:p w:rsidR="002E698B" w:rsidRPr="00180347" w:rsidRDefault="002E698B" w:rsidP="00DA0D76">
            <w:pPr>
              <w:jc w:val="center"/>
              <w:rPr>
                <w:rFonts w:ascii="Times New Roman" w:hAnsi="Times New Roman" w:cs="Times New Roman"/>
                <w:sz w:val="20"/>
                <w:szCs w:val="20"/>
              </w:rPr>
            </w:pPr>
          </w:p>
        </w:tc>
        <w:tc>
          <w:tcPr>
            <w:tcW w:w="992" w:type="dxa"/>
            <w:tcBorders>
              <w:left w:val="single" w:sz="12" w:space="0" w:color="auto"/>
            </w:tcBorders>
          </w:tcPr>
          <w:p w:rsidR="002E698B" w:rsidRPr="00180347" w:rsidRDefault="002E698B" w:rsidP="00DA0D76">
            <w:pPr>
              <w:jc w:val="center"/>
              <w:rPr>
                <w:rFonts w:ascii="Times New Roman" w:hAnsi="Times New Roman" w:cs="Times New Roman"/>
                <w:sz w:val="20"/>
                <w:szCs w:val="20"/>
              </w:rPr>
            </w:pPr>
            <w:r>
              <w:rPr>
                <w:rFonts w:ascii="Times New Roman" w:hAnsi="Times New Roman" w:cs="Times New Roman"/>
                <w:sz w:val="20"/>
                <w:szCs w:val="20"/>
              </w:rPr>
              <w:t xml:space="preserve">Right </w:t>
            </w:r>
            <w:proofErr w:type="spellStart"/>
            <w:r>
              <w:rPr>
                <w:rFonts w:ascii="Times New Roman" w:hAnsi="Times New Roman" w:cs="Times New Roman"/>
                <w:sz w:val="20"/>
                <w:szCs w:val="20"/>
              </w:rPr>
              <w:t>censored</w:t>
            </w:r>
            <w:proofErr w:type="spellEnd"/>
            <w:r>
              <w:rPr>
                <w:rFonts w:ascii="Times New Roman" w:hAnsi="Times New Roman" w:cs="Times New Roman"/>
                <w:sz w:val="20"/>
                <w:szCs w:val="20"/>
                <w:vertAlign w:val="superscript"/>
                <w:lang w:val="en-US"/>
              </w:rPr>
              <w:t>2</w:t>
            </w:r>
          </w:p>
        </w:tc>
        <w:tc>
          <w:tcPr>
            <w:tcW w:w="1134" w:type="dxa"/>
          </w:tcPr>
          <w:p w:rsidR="002E698B" w:rsidRPr="00180347" w:rsidRDefault="002E698B" w:rsidP="00DA0D76">
            <w:pPr>
              <w:jc w:val="center"/>
              <w:rPr>
                <w:rFonts w:ascii="Times New Roman" w:hAnsi="Times New Roman" w:cs="Times New Roman"/>
                <w:sz w:val="20"/>
                <w:szCs w:val="20"/>
              </w:rPr>
            </w:pPr>
            <w:r>
              <w:rPr>
                <w:rFonts w:ascii="Times New Roman" w:hAnsi="Times New Roman" w:cs="Times New Roman"/>
                <w:sz w:val="20"/>
                <w:szCs w:val="20"/>
              </w:rPr>
              <w:t xml:space="preserve">Events (interval </w:t>
            </w:r>
            <w:proofErr w:type="spellStart"/>
            <w:r>
              <w:rPr>
                <w:rFonts w:ascii="Times New Roman" w:hAnsi="Times New Roman" w:cs="Times New Roman"/>
                <w:sz w:val="20"/>
                <w:szCs w:val="20"/>
              </w:rPr>
              <w:t>censored</w:t>
            </w:r>
            <w:proofErr w:type="spellEnd"/>
            <w:r>
              <w:rPr>
                <w:rFonts w:ascii="Times New Roman" w:hAnsi="Times New Roman" w:cs="Times New Roman"/>
                <w:sz w:val="20"/>
                <w:szCs w:val="20"/>
              </w:rPr>
              <w:t>)</w:t>
            </w:r>
            <w:r>
              <w:rPr>
                <w:rFonts w:ascii="Times New Roman" w:hAnsi="Times New Roman" w:cs="Times New Roman"/>
                <w:sz w:val="20"/>
                <w:szCs w:val="20"/>
                <w:vertAlign w:val="superscript"/>
                <w:lang w:val="en-US"/>
              </w:rPr>
              <w:t>3</w:t>
            </w:r>
          </w:p>
        </w:tc>
        <w:tc>
          <w:tcPr>
            <w:tcW w:w="993" w:type="dxa"/>
            <w:tcBorders>
              <w:left w:val="single" w:sz="12" w:space="0" w:color="auto"/>
            </w:tcBorders>
          </w:tcPr>
          <w:p w:rsidR="002E698B" w:rsidRPr="00180347" w:rsidRDefault="002E698B" w:rsidP="00DA0D76">
            <w:pPr>
              <w:jc w:val="center"/>
              <w:rPr>
                <w:rFonts w:ascii="Times New Roman" w:hAnsi="Times New Roman" w:cs="Times New Roman"/>
                <w:sz w:val="20"/>
                <w:szCs w:val="20"/>
              </w:rPr>
            </w:pPr>
            <w:r>
              <w:rPr>
                <w:rFonts w:ascii="Times New Roman" w:hAnsi="Times New Roman" w:cs="Times New Roman"/>
                <w:sz w:val="20"/>
                <w:szCs w:val="20"/>
              </w:rPr>
              <w:t xml:space="preserve">Right </w:t>
            </w:r>
            <w:proofErr w:type="spellStart"/>
            <w:r>
              <w:rPr>
                <w:rFonts w:ascii="Times New Roman" w:hAnsi="Times New Roman" w:cs="Times New Roman"/>
                <w:sz w:val="20"/>
                <w:szCs w:val="20"/>
              </w:rPr>
              <w:t>censored</w:t>
            </w:r>
            <w:proofErr w:type="spellEnd"/>
          </w:p>
        </w:tc>
        <w:tc>
          <w:tcPr>
            <w:tcW w:w="1134" w:type="dxa"/>
          </w:tcPr>
          <w:p w:rsidR="002E698B" w:rsidRPr="00180347" w:rsidRDefault="002E698B" w:rsidP="00DA0D76">
            <w:pPr>
              <w:jc w:val="center"/>
              <w:rPr>
                <w:rFonts w:ascii="Times New Roman" w:hAnsi="Times New Roman" w:cs="Times New Roman"/>
                <w:sz w:val="20"/>
                <w:szCs w:val="20"/>
              </w:rPr>
            </w:pPr>
            <w:r>
              <w:rPr>
                <w:rFonts w:ascii="Times New Roman" w:hAnsi="Times New Roman" w:cs="Times New Roman"/>
                <w:sz w:val="20"/>
                <w:szCs w:val="20"/>
              </w:rPr>
              <w:t xml:space="preserve">Events (interval </w:t>
            </w:r>
            <w:proofErr w:type="spellStart"/>
            <w:r>
              <w:rPr>
                <w:rFonts w:ascii="Times New Roman" w:hAnsi="Times New Roman" w:cs="Times New Roman"/>
                <w:sz w:val="20"/>
                <w:szCs w:val="20"/>
              </w:rPr>
              <w:t>censored</w:t>
            </w:r>
            <w:proofErr w:type="spellEnd"/>
            <w:r>
              <w:rPr>
                <w:rFonts w:ascii="Times New Roman" w:hAnsi="Times New Roman" w:cs="Times New Roman"/>
                <w:sz w:val="20"/>
                <w:szCs w:val="20"/>
              </w:rPr>
              <w:t>)</w:t>
            </w:r>
            <w:r>
              <w:rPr>
                <w:rFonts w:ascii="Times New Roman" w:hAnsi="Times New Roman" w:cs="Times New Roman"/>
                <w:sz w:val="20"/>
                <w:szCs w:val="20"/>
                <w:vertAlign w:val="superscript"/>
                <w:lang w:val="en-US"/>
              </w:rPr>
              <w:t>3</w:t>
            </w:r>
          </w:p>
        </w:tc>
        <w:tc>
          <w:tcPr>
            <w:tcW w:w="1134" w:type="dxa"/>
          </w:tcPr>
          <w:p w:rsidR="002E698B" w:rsidRPr="009156DA" w:rsidRDefault="002E698B" w:rsidP="00DA0D76">
            <w:pPr>
              <w:jc w:val="center"/>
              <w:rPr>
                <w:rFonts w:ascii="Times New Roman" w:hAnsi="Times New Roman" w:cs="Times New Roman"/>
                <w:sz w:val="20"/>
                <w:szCs w:val="20"/>
                <w:lang w:val="en-US"/>
              </w:rPr>
            </w:pPr>
            <w:r w:rsidRPr="009156DA">
              <w:rPr>
                <w:rFonts w:ascii="Times New Roman" w:hAnsi="Times New Roman" w:cs="Times New Roman"/>
                <w:sz w:val="20"/>
                <w:szCs w:val="20"/>
                <w:lang w:val="en-US"/>
              </w:rPr>
              <w:t>Competing risk</w:t>
            </w:r>
            <w:r>
              <w:rPr>
                <w:rFonts w:ascii="Times New Roman" w:hAnsi="Times New Roman" w:cs="Times New Roman"/>
                <w:sz w:val="20"/>
                <w:szCs w:val="20"/>
                <w:vertAlign w:val="superscript"/>
                <w:lang w:val="en-US"/>
              </w:rPr>
              <w:t>4</w:t>
            </w:r>
          </w:p>
        </w:tc>
        <w:tc>
          <w:tcPr>
            <w:tcW w:w="1134" w:type="dxa"/>
            <w:tcBorders>
              <w:right w:val="single" w:sz="12" w:space="0" w:color="auto"/>
            </w:tcBorders>
          </w:tcPr>
          <w:p w:rsidR="002E698B" w:rsidRPr="00180347" w:rsidRDefault="002E698B" w:rsidP="00DA0D76">
            <w:pPr>
              <w:jc w:val="center"/>
              <w:rPr>
                <w:rFonts w:ascii="Times New Roman" w:hAnsi="Times New Roman" w:cs="Times New Roman"/>
                <w:sz w:val="20"/>
                <w:szCs w:val="20"/>
              </w:rPr>
            </w:pPr>
            <w:proofErr w:type="spellStart"/>
            <w:r>
              <w:rPr>
                <w:rFonts w:ascii="Times New Roman" w:hAnsi="Times New Roman" w:cs="Times New Roman"/>
                <w:sz w:val="20"/>
                <w:szCs w:val="20"/>
              </w:rPr>
              <w:t>Excluded</w:t>
            </w:r>
            <w:proofErr w:type="spellEnd"/>
            <w:r>
              <w:rPr>
                <w:rFonts w:ascii="Times New Roman" w:hAnsi="Times New Roman" w:cs="Times New Roman"/>
                <w:sz w:val="20"/>
                <w:szCs w:val="20"/>
                <w:vertAlign w:val="superscript"/>
                <w:lang w:val="en-US"/>
              </w:rPr>
              <w:t>5</w:t>
            </w:r>
          </w:p>
        </w:tc>
        <w:tc>
          <w:tcPr>
            <w:tcW w:w="992" w:type="dxa"/>
            <w:tcBorders>
              <w:left w:val="single" w:sz="12" w:space="0" w:color="auto"/>
              <w:right w:val="single" w:sz="8" w:space="0" w:color="auto"/>
            </w:tcBorders>
          </w:tcPr>
          <w:p w:rsidR="002E698B" w:rsidRPr="00180347" w:rsidRDefault="002E698B" w:rsidP="00DA0D76">
            <w:pPr>
              <w:jc w:val="center"/>
              <w:rPr>
                <w:rFonts w:ascii="Times New Roman" w:hAnsi="Times New Roman" w:cs="Times New Roman"/>
                <w:sz w:val="20"/>
                <w:szCs w:val="20"/>
              </w:rPr>
            </w:pPr>
            <w:r>
              <w:rPr>
                <w:rFonts w:ascii="Times New Roman" w:hAnsi="Times New Roman" w:cs="Times New Roman"/>
                <w:sz w:val="20"/>
                <w:szCs w:val="20"/>
              </w:rPr>
              <w:t xml:space="preserve">Right </w:t>
            </w:r>
            <w:proofErr w:type="spellStart"/>
            <w:r>
              <w:rPr>
                <w:rFonts w:ascii="Times New Roman" w:hAnsi="Times New Roman" w:cs="Times New Roman"/>
                <w:sz w:val="20"/>
                <w:szCs w:val="20"/>
              </w:rPr>
              <w:t>censored</w:t>
            </w:r>
            <w:proofErr w:type="spellEnd"/>
          </w:p>
        </w:tc>
        <w:tc>
          <w:tcPr>
            <w:tcW w:w="850" w:type="dxa"/>
            <w:tcBorders>
              <w:left w:val="single" w:sz="8" w:space="0" w:color="auto"/>
            </w:tcBorders>
          </w:tcPr>
          <w:p w:rsidR="002E698B" w:rsidRPr="00180347" w:rsidRDefault="002E698B" w:rsidP="00DA0D76">
            <w:pPr>
              <w:jc w:val="center"/>
              <w:rPr>
                <w:rFonts w:ascii="Times New Roman" w:hAnsi="Times New Roman" w:cs="Times New Roman"/>
                <w:sz w:val="20"/>
                <w:szCs w:val="20"/>
              </w:rPr>
            </w:pPr>
            <w:r>
              <w:rPr>
                <w:rFonts w:ascii="Times New Roman" w:hAnsi="Times New Roman" w:cs="Times New Roman"/>
                <w:sz w:val="20"/>
                <w:szCs w:val="20"/>
              </w:rPr>
              <w:t>Events</w:t>
            </w:r>
          </w:p>
        </w:tc>
      </w:tr>
      <w:tr w:rsidR="002E698B" w:rsidRPr="00180347" w:rsidTr="00DA0D76">
        <w:tc>
          <w:tcPr>
            <w:tcW w:w="2694" w:type="dxa"/>
          </w:tcPr>
          <w:p w:rsidR="002E698B" w:rsidRDefault="002E698B" w:rsidP="00DA0D76">
            <w:pPr>
              <w:rPr>
                <w:rFonts w:ascii="Times New Roman" w:hAnsi="Times New Roman" w:cs="Times New Roman"/>
                <w:sz w:val="20"/>
                <w:szCs w:val="20"/>
                <w:lang w:val="en-US"/>
              </w:rPr>
            </w:pPr>
          </w:p>
          <w:p w:rsidR="002E698B" w:rsidRPr="009C486F" w:rsidRDefault="002E698B" w:rsidP="00DA0D76">
            <w:pPr>
              <w:rPr>
                <w:rFonts w:ascii="Times New Roman" w:hAnsi="Times New Roman" w:cs="Times New Roman"/>
                <w:sz w:val="20"/>
                <w:szCs w:val="20"/>
                <w:lang w:val="en-US"/>
              </w:rPr>
            </w:pPr>
            <w:r w:rsidRPr="00180347">
              <w:rPr>
                <w:rFonts w:ascii="Times New Roman" w:hAnsi="Times New Roman" w:cs="Times New Roman"/>
                <w:sz w:val="20"/>
                <w:szCs w:val="20"/>
                <w:lang w:val="en-US"/>
              </w:rPr>
              <w:t>Outcome established by diagnostic interview</w:t>
            </w:r>
            <w:r>
              <w:rPr>
                <w:rFonts w:ascii="Times New Roman" w:hAnsi="Times New Roman" w:cs="Times New Roman"/>
                <w:sz w:val="20"/>
                <w:szCs w:val="20"/>
                <w:vertAlign w:val="superscript"/>
                <w:lang w:val="en-US"/>
              </w:rPr>
              <w:t>1</w:t>
            </w:r>
          </w:p>
        </w:tc>
        <w:tc>
          <w:tcPr>
            <w:tcW w:w="567" w:type="dxa"/>
            <w:tcBorders>
              <w:right w:val="single" w:sz="12" w:space="0" w:color="auto"/>
            </w:tcBorders>
          </w:tcPr>
          <w:p w:rsidR="002E698B" w:rsidRPr="00F960F9" w:rsidRDefault="002E698B" w:rsidP="00DA0D76">
            <w:pPr>
              <w:jc w:val="center"/>
              <w:rPr>
                <w:rFonts w:ascii="Times New Roman" w:hAnsi="Times New Roman" w:cs="Times New Roman"/>
                <w:sz w:val="20"/>
                <w:szCs w:val="20"/>
                <w:lang w:val="en-US"/>
              </w:rPr>
            </w:pPr>
          </w:p>
          <w:p w:rsidR="002E698B" w:rsidRPr="00180347" w:rsidRDefault="002E698B" w:rsidP="00DA0D76">
            <w:pPr>
              <w:jc w:val="center"/>
              <w:rPr>
                <w:rFonts w:ascii="Times New Roman" w:hAnsi="Times New Roman" w:cs="Times New Roman"/>
                <w:sz w:val="20"/>
                <w:szCs w:val="20"/>
              </w:rPr>
            </w:pPr>
            <w:r w:rsidRPr="00180347">
              <w:rPr>
                <w:rFonts w:ascii="Times New Roman" w:hAnsi="Times New Roman" w:cs="Times New Roman"/>
                <w:sz w:val="20"/>
                <w:szCs w:val="20"/>
              </w:rPr>
              <w:t>263</w:t>
            </w:r>
            <w:r>
              <w:rPr>
                <w:rFonts w:ascii="Times New Roman" w:hAnsi="Times New Roman" w:cs="Times New Roman"/>
                <w:sz w:val="20"/>
                <w:szCs w:val="20"/>
              </w:rPr>
              <w:t xml:space="preserve"> </w:t>
            </w:r>
          </w:p>
        </w:tc>
        <w:tc>
          <w:tcPr>
            <w:tcW w:w="992" w:type="dxa"/>
            <w:tcBorders>
              <w:left w:val="single" w:sz="12" w:space="0" w:color="auto"/>
            </w:tcBorders>
          </w:tcPr>
          <w:p w:rsidR="002E698B" w:rsidRDefault="002E698B" w:rsidP="00DA0D76">
            <w:pPr>
              <w:jc w:val="center"/>
              <w:rPr>
                <w:rFonts w:ascii="Times New Roman" w:hAnsi="Times New Roman" w:cs="Times New Roman"/>
                <w:sz w:val="20"/>
                <w:szCs w:val="20"/>
              </w:rPr>
            </w:pPr>
          </w:p>
          <w:p w:rsidR="002E698B" w:rsidRPr="00180347" w:rsidRDefault="002E698B" w:rsidP="00DA0D76">
            <w:pPr>
              <w:jc w:val="center"/>
              <w:rPr>
                <w:rFonts w:ascii="Times New Roman" w:hAnsi="Times New Roman" w:cs="Times New Roman"/>
                <w:sz w:val="20"/>
                <w:szCs w:val="20"/>
              </w:rPr>
            </w:pPr>
            <w:r>
              <w:rPr>
                <w:rFonts w:ascii="Times New Roman" w:hAnsi="Times New Roman" w:cs="Times New Roman"/>
                <w:sz w:val="20"/>
                <w:szCs w:val="20"/>
              </w:rPr>
              <w:t>19</w:t>
            </w:r>
          </w:p>
        </w:tc>
        <w:tc>
          <w:tcPr>
            <w:tcW w:w="1134" w:type="dxa"/>
          </w:tcPr>
          <w:p w:rsidR="002E698B" w:rsidRDefault="002E698B" w:rsidP="00DA0D76">
            <w:pPr>
              <w:jc w:val="center"/>
              <w:rPr>
                <w:rFonts w:ascii="Times New Roman" w:hAnsi="Times New Roman" w:cs="Times New Roman"/>
                <w:sz w:val="20"/>
                <w:szCs w:val="20"/>
              </w:rPr>
            </w:pPr>
          </w:p>
          <w:p w:rsidR="002E698B" w:rsidRPr="00180347" w:rsidRDefault="002E698B" w:rsidP="00DA0D76">
            <w:pPr>
              <w:jc w:val="center"/>
              <w:rPr>
                <w:rFonts w:ascii="Times New Roman" w:hAnsi="Times New Roman" w:cs="Times New Roman"/>
                <w:sz w:val="20"/>
                <w:szCs w:val="20"/>
              </w:rPr>
            </w:pPr>
            <w:r>
              <w:rPr>
                <w:rFonts w:ascii="Times New Roman" w:hAnsi="Times New Roman" w:cs="Times New Roman"/>
                <w:sz w:val="20"/>
                <w:szCs w:val="20"/>
              </w:rPr>
              <w:t>244 (115)</w:t>
            </w:r>
          </w:p>
        </w:tc>
        <w:tc>
          <w:tcPr>
            <w:tcW w:w="993" w:type="dxa"/>
            <w:tcBorders>
              <w:left w:val="single" w:sz="12" w:space="0" w:color="auto"/>
            </w:tcBorders>
          </w:tcPr>
          <w:p w:rsidR="002E698B" w:rsidRDefault="002E698B" w:rsidP="00DA0D76">
            <w:pPr>
              <w:jc w:val="center"/>
              <w:rPr>
                <w:rFonts w:ascii="Times New Roman" w:hAnsi="Times New Roman" w:cs="Times New Roman"/>
                <w:sz w:val="20"/>
                <w:szCs w:val="20"/>
              </w:rPr>
            </w:pPr>
          </w:p>
          <w:p w:rsidR="002E698B" w:rsidRPr="00180347" w:rsidRDefault="002E698B" w:rsidP="00DA0D76">
            <w:pPr>
              <w:jc w:val="center"/>
              <w:rPr>
                <w:rFonts w:ascii="Times New Roman" w:hAnsi="Times New Roman" w:cs="Times New Roman"/>
                <w:sz w:val="20"/>
                <w:szCs w:val="20"/>
              </w:rPr>
            </w:pPr>
            <w:r>
              <w:rPr>
                <w:rFonts w:ascii="Times New Roman" w:hAnsi="Times New Roman" w:cs="Times New Roman"/>
                <w:sz w:val="20"/>
                <w:szCs w:val="20"/>
              </w:rPr>
              <w:t>146</w:t>
            </w:r>
          </w:p>
        </w:tc>
        <w:tc>
          <w:tcPr>
            <w:tcW w:w="1134" w:type="dxa"/>
          </w:tcPr>
          <w:p w:rsidR="002E698B" w:rsidRDefault="002E698B" w:rsidP="00DA0D76">
            <w:pPr>
              <w:jc w:val="center"/>
              <w:rPr>
                <w:rFonts w:ascii="Times New Roman" w:hAnsi="Times New Roman" w:cs="Times New Roman"/>
                <w:sz w:val="20"/>
                <w:szCs w:val="20"/>
              </w:rPr>
            </w:pPr>
          </w:p>
          <w:p w:rsidR="002E698B" w:rsidRPr="00180347" w:rsidRDefault="002E698B" w:rsidP="00DA0D76">
            <w:pPr>
              <w:jc w:val="center"/>
              <w:rPr>
                <w:rFonts w:ascii="Times New Roman" w:hAnsi="Times New Roman" w:cs="Times New Roman"/>
                <w:sz w:val="20"/>
                <w:szCs w:val="20"/>
              </w:rPr>
            </w:pPr>
            <w:r>
              <w:rPr>
                <w:rFonts w:ascii="Times New Roman" w:hAnsi="Times New Roman" w:cs="Times New Roman"/>
                <w:sz w:val="20"/>
                <w:szCs w:val="20"/>
              </w:rPr>
              <w:t>80 (33)</w:t>
            </w:r>
          </w:p>
        </w:tc>
        <w:tc>
          <w:tcPr>
            <w:tcW w:w="1134" w:type="dxa"/>
          </w:tcPr>
          <w:p w:rsidR="002E698B" w:rsidRDefault="002E698B" w:rsidP="00DA0D76">
            <w:pPr>
              <w:jc w:val="center"/>
              <w:rPr>
                <w:rFonts w:ascii="Times New Roman" w:hAnsi="Times New Roman" w:cs="Times New Roman"/>
                <w:sz w:val="20"/>
                <w:szCs w:val="20"/>
              </w:rPr>
            </w:pPr>
          </w:p>
          <w:p w:rsidR="002E698B" w:rsidRPr="00180347" w:rsidRDefault="002E698B" w:rsidP="00DA0D76">
            <w:pPr>
              <w:jc w:val="center"/>
              <w:rPr>
                <w:rFonts w:ascii="Times New Roman" w:hAnsi="Times New Roman" w:cs="Times New Roman"/>
                <w:sz w:val="20"/>
                <w:szCs w:val="20"/>
              </w:rPr>
            </w:pPr>
            <w:r>
              <w:rPr>
                <w:rFonts w:ascii="Times New Roman" w:hAnsi="Times New Roman" w:cs="Times New Roman"/>
                <w:sz w:val="20"/>
                <w:szCs w:val="20"/>
              </w:rPr>
              <w:t>18</w:t>
            </w:r>
          </w:p>
        </w:tc>
        <w:tc>
          <w:tcPr>
            <w:tcW w:w="1134" w:type="dxa"/>
            <w:tcBorders>
              <w:right w:val="single" w:sz="12" w:space="0" w:color="auto"/>
            </w:tcBorders>
          </w:tcPr>
          <w:p w:rsidR="002E698B" w:rsidRDefault="002E698B" w:rsidP="00DA0D76">
            <w:pPr>
              <w:jc w:val="center"/>
              <w:rPr>
                <w:rFonts w:ascii="Times New Roman" w:hAnsi="Times New Roman" w:cs="Times New Roman"/>
                <w:sz w:val="20"/>
                <w:szCs w:val="20"/>
              </w:rPr>
            </w:pPr>
          </w:p>
          <w:p w:rsidR="002E698B" w:rsidRPr="00180347" w:rsidRDefault="002E698B" w:rsidP="00DA0D76">
            <w:pPr>
              <w:jc w:val="center"/>
              <w:rPr>
                <w:rFonts w:ascii="Times New Roman" w:hAnsi="Times New Roman" w:cs="Times New Roman"/>
                <w:sz w:val="20"/>
                <w:szCs w:val="20"/>
              </w:rPr>
            </w:pPr>
            <w:r>
              <w:rPr>
                <w:rFonts w:ascii="Times New Roman" w:hAnsi="Times New Roman" w:cs="Times New Roman"/>
                <w:sz w:val="20"/>
                <w:szCs w:val="20"/>
              </w:rPr>
              <w:t>19</w:t>
            </w:r>
          </w:p>
        </w:tc>
        <w:tc>
          <w:tcPr>
            <w:tcW w:w="992" w:type="dxa"/>
            <w:tcBorders>
              <w:left w:val="single" w:sz="12" w:space="0" w:color="auto"/>
              <w:right w:val="single" w:sz="8" w:space="0" w:color="auto"/>
            </w:tcBorders>
          </w:tcPr>
          <w:p w:rsidR="002E698B" w:rsidRDefault="002E698B" w:rsidP="00DA0D76">
            <w:pPr>
              <w:jc w:val="center"/>
              <w:rPr>
                <w:rFonts w:ascii="Times New Roman" w:hAnsi="Times New Roman" w:cs="Times New Roman"/>
                <w:sz w:val="20"/>
                <w:szCs w:val="20"/>
              </w:rPr>
            </w:pPr>
          </w:p>
          <w:p w:rsidR="002E698B" w:rsidRPr="00180347" w:rsidRDefault="002E698B" w:rsidP="00DA0D76">
            <w:pPr>
              <w:jc w:val="center"/>
              <w:rPr>
                <w:rFonts w:ascii="Times New Roman" w:hAnsi="Times New Roman" w:cs="Times New Roman"/>
                <w:sz w:val="20"/>
                <w:szCs w:val="20"/>
              </w:rPr>
            </w:pPr>
            <w:r>
              <w:rPr>
                <w:rFonts w:ascii="Times New Roman" w:hAnsi="Times New Roman" w:cs="Times New Roman"/>
                <w:sz w:val="20"/>
                <w:szCs w:val="20"/>
              </w:rPr>
              <w:t>236</w:t>
            </w:r>
          </w:p>
        </w:tc>
        <w:tc>
          <w:tcPr>
            <w:tcW w:w="850" w:type="dxa"/>
            <w:tcBorders>
              <w:left w:val="single" w:sz="8" w:space="0" w:color="auto"/>
            </w:tcBorders>
          </w:tcPr>
          <w:p w:rsidR="002E698B" w:rsidRDefault="002E698B" w:rsidP="00DA0D76">
            <w:pPr>
              <w:jc w:val="center"/>
              <w:rPr>
                <w:rFonts w:ascii="Times New Roman" w:hAnsi="Times New Roman" w:cs="Times New Roman"/>
                <w:sz w:val="20"/>
                <w:szCs w:val="20"/>
              </w:rPr>
            </w:pPr>
          </w:p>
          <w:p w:rsidR="002E698B" w:rsidRPr="00180347" w:rsidRDefault="002E698B" w:rsidP="00DA0D76">
            <w:pPr>
              <w:jc w:val="center"/>
              <w:rPr>
                <w:rFonts w:ascii="Times New Roman" w:hAnsi="Times New Roman" w:cs="Times New Roman"/>
                <w:sz w:val="20"/>
                <w:szCs w:val="20"/>
              </w:rPr>
            </w:pPr>
            <w:r>
              <w:rPr>
                <w:rFonts w:ascii="Times New Roman" w:hAnsi="Times New Roman" w:cs="Times New Roman"/>
                <w:sz w:val="20"/>
                <w:szCs w:val="20"/>
              </w:rPr>
              <w:t>27</w:t>
            </w:r>
          </w:p>
        </w:tc>
      </w:tr>
      <w:tr w:rsidR="002E698B" w:rsidRPr="00180347" w:rsidTr="00DA0D76">
        <w:tc>
          <w:tcPr>
            <w:tcW w:w="2694" w:type="dxa"/>
          </w:tcPr>
          <w:p w:rsidR="002E698B" w:rsidRDefault="002E698B" w:rsidP="00DA0D76">
            <w:pPr>
              <w:rPr>
                <w:rFonts w:ascii="Times New Roman" w:hAnsi="Times New Roman" w:cs="Times New Roman"/>
                <w:sz w:val="20"/>
                <w:szCs w:val="20"/>
                <w:lang w:val="en-US"/>
              </w:rPr>
            </w:pPr>
          </w:p>
          <w:p w:rsidR="002E698B" w:rsidRDefault="002E698B" w:rsidP="00DA0D76">
            <w:pPr>
              <w:rPr>
                <w:rFonts w:ascii="Times New Roman" w:hAnsi="Times New Roman" w:cs="Times New Roman"/>
                <w:sz w:val="20"/>
                <w:szCs w:val="20"/>
                <w:lang w:val="en-US"/>
              </w:rPr>
            </w:pPr>
            <w:r w:rsidRPr="00180347">
              <w:rPr>
                <w:rFonts w:ascii="Times New Roman" w:hAnsi="Times New Roman" w:cs="Times New Roman"/>
                <w:sz w:val="20"/>
                <w:szCs w:val="20"/>
                <w:lang w:val="en-US"/>
              </w:rPr>
              <w:t>Non-participants</w:t>
            </w:r>
            <w:r>
              <w:rPr>
                <w:rFonts w:ascii="Times New Roman" w:hAnsi="Times New Roman" w:cs="Times New Roman"/>
                <w:sz w:val="20"/>
                <w:szCs w:val="20"/>
                <w:lang w:val="en-US"/>
              </w:rPr>
              <w:t xml:space="preserve"> at follow-</w:t>
            </w:r>
            <w:r w:rsidRPr="00180347">
              <w:rPr>
                <w:rFonts w:ascii="Times New Roman" w:hAnsi="Times New Roman" w:cs="Times New Roman"/>
                <w:sz w:val="20"/>
                <w:szCs w:val="20"/>
                <w:lang w:val="en-US"/>
              </w:rPr>
              <w:t>up</w:t>
            </w:r>
          </w:p>
          <w:p w:rsidR="002E698B" w:rsidRPr="00E96EB8" w:rsidRDefault="002E698B" w:rsidP="00DA0D76">
            <w:pPr>
              <w:ind w:left="113"/>
              <w:rPr>
                <w:rFonts w:ascii="Times New Roman" w:hAnsi="Times New Roman" w:cs="Times New Roman"/>
                <w:sz w:val="20"/>
                <w:szCs w:val="20"/>
                <w:lang w:val="en-US"/>
              </w:rPr>
            </w:pPr>
            <w:r w:rsidRPr="00E96EB8">
              <w:rPr>
                <w:rFonts w:ascii="Times New Roman" w:hAnsi="Times New Roman" w:cs="Times New Roman"/>
                <w:sz w:val="20"/>
                <w:szCs w:val="20"/>
                <w:lang w:val="en-US"/>
              </w:rPr>
              <w:t>Remission at baseline</w:t>
            </w:r>
          </w:p>
          <w:p w:rsidR="002E698B" w:rsidRPr="00180347" w:rsidRDefault="002E698B" w:rsidP="00DA0D76">
            <w:pPr>
              <w:ind w:left="226"/>
              <w:rPr>
                <w:rFonts w:ascii="Times New Roman" w:hAnsi="Times New Roman" w:cs="Times New Roman"/>
                <w:sz w:val="20"/>
                <w:szCs w:val="20"/>
                <w:lang w:val="en-US"/>
              </w:rPr>
            </w:pPr>
            <w:r w:rsidRPr="00180347">
              <w:rPr>
                <w:rFonts w:ascii="Times New Roman" w:hAnsi="Times New Roman" w:cs="Times New Roman"/>
                <w:sz w:val="20"/>
                <w:szCs w:val="20"/>
                <w:lang w:val="en-US"/>
              </w:rPr>
              <w:t>No further information</w:t>
            </w:r>
          </w:p>
          <w:p w:rsidR="002E698B" w:rsidRDefault="002E698B" w:rsidP="00DA0D76">
            <w:pPr>
              <w:ind w:left="226"/>
              <w:rPr>
                <w:rFonts w:ascii="Times New Roman" w:hAnsi="Times New Roman" w:cs="Times New Roman"/>
                <w:sz w:val="20"/>
                <w:szCs w:val="20"/>
                <w:lang w:val="en-US"/>
              </w:rPr>
            </w:pPr>
            <w:r w:rsidRPr="00180347">
              <w:rPr>
                <w:rFonts w:ascii="Times New Roman" w:hAnsi="Times New Roman" w:cs="Times New Roman"/>
                <w:sz w:val="20"/>
                <w:szCs w:val="20"/>
                <w:lang w:val="en-US"/>
              </w:rPr>
              <w:t>Admitted with depression</w:t>
            </w:r>
            <w:r>
              <w:rPr>
                <w:rFonts w:ascii="Times New Roman" w:hAnsi="Times New Roman" w:cs="Times New Roman"/>
                <w:sz w:val="20"/>
                <w:szCs w:val="20"/>
                <w:lang w:val="en-US"/>
              </w:rPr>
              <w:t xml:space="preserve"> </w:t>
            </w:r>
          </w:p>
          <w:p w:rsidR="002E698B" w:rsidRPr="00180347" w:rsidRDefault="002E698B" w:rsidP="00DA0D76">
            <w:pPr>
              <w:ind w:left="226"/>
              <w:rPr>
                <w:rFonts w:ascii="Times New Roman" w:hAnsi="Times New Roman" w:cs="Times New Roman"/>
                <w:sz w:val="20"/>
                <w:szCs w:val="20"/>
                <w:lang w:val="en-US"/>
              </w:rPr>
            </w:pPr>
            <w:r w:rsidRPr="00180347">
              <w:rPr>
                <w:rFonts w:ascii="Times New Roman" w:hAnsi="Times New Roman" w:cs="Times New Roman"/>
                <w:sz w:val="20"/>
                <w:szCs w:val="20"/>
                <w:lang w:val="en-US"/>
              </w:rPr>
              <w:t>Dead</w:t>
            </w:r>
          </w:p>
          <w:p w:rsidR="002E698B" w:rsidRPr="00180347" w:rsidRDefault="002E698B" w:rsidP="00DA0D76">
            <w:pPr>
              <w:ind w:left="113"/>
              <w:rPr>
                <w:rFonts w:ascii="Times New Roman" w:hAnsi="Times New Roman" w:cs="Times New Roman"/>
                <w:sz w:val="20"/>
                <w:szCs w:val="20"/>
                <w:lang w:val="en-US"/>
              </w:rPr>
            </w:pPr>
            <w:r w:rsidRPr="00180347">
              <w:rPr>
                <w:rFonts w:ascii="Times New Roman" w:hAnsi="Times New Roman" w:cs="Times New Roman"/>
                <w:sz w:val="20"/>
                <w:szCs w:val="20"/>
                <w:lang w:val="en-US"/>
              </w:rPr>
              <w:t>Non-remission at baseline</w:t>
            </w:r>
          </w:p>
          <w:p w:rsidR="002E698B" w:rsidRPr="00180347" w:rsidRDefault="002E698B" w:rsidP="00DA0D76">
            <w:pPr>
              <w:ind w:left="226"/>
              <w:rPr>
                <w:rFonts w:ascii="Times New Roman" w:hAnsi="Times New Roman" w:cs="Times New Roman"/>
                <w:sz w:val="20"/>
                <w:szCs w:val="20"/>
                <w:lang w:val="en-US"/>
              </w:rPr>
            </w:pPr>
            <w:r w:rsidRPr="00180347">
              <w:rPr>
                <w:rFonts w:ascii="Times New Roman" w:hAnsi="Times New Roman" w:cs="Times New Roman"/>
                <w:sz w:val="20"/>
                <w:szCs w:val="20"/>
                <w:lang w:val="en-US"/>
              </w:rPr>
              <w:t>No further information</w:t>
            </w:r>
          </w:p>
          <w:p w:rsidR="002E698B" w:rsidRPr="00180347" w:rsidRDefault="002E698B" w:rsidP="00DA0D76">
            <w:pPr>
              <w:ind w:left="226"/>
              <w:rPr>
                <w:rFonts w:ascii="Times New Roman" w:hAnsi="Times New Roman" w:cs="Times New Roman"/>
                <w:sz w:val="20"/>
                <w:szCs w:val="20"/>
                <w:lang w:val="en-US"/>
              </w:rPr>
            </w:pPr>
            <w:r w:rsidRPr="00180347">
              <w:rPr>
                <w:rFonts w:ascii="Times New Roman" w:hAnsi="Times New Roman" w:cs="Times New Roman"/>
                <w:sz w:val="20"/>
                <w:szCs w:val="20"/>
                <w:lang w:val="en-US"/>
              </w:rPr>
              <w:t>Dead</w:t>
            </w:r>
          </w:p>
        </w:tc>
        <w:tc>
          <w:tcPr>
            <w:tcW w:w="567" w:type="dxa"/>
            <w:tcBorders>
              <w:right w:val="single" w:sz="12" w:space="0" w:color="auto"/>
            </w:tcBorders>
          </w:tcPr>
          <w:p w:rsidR="002E698B" w:rsidRDefault="002E698B" w:rsidP="00DA0D76">
            <w:pPr>
              <w:jc w:val="center"/>
              <w:rPr>
                <w:rFonts w:ascii="Times New Roman" w:hAnsi="Times New Roman" w:cs="Times New Roman"/>
                <w:sz w:val="20"/>
                <w:szCs w:val="20"/>
                <w:lang w:val="en-US"/>
              </w:rPr>
            </w:pPr>
          </w:p>
          <w:p w:rsidR="002E698B" w:rsidRDefault="002E698B" w:rsidP="00DA0D76">
            <w:pPr>
              <w:jc w:val="center"/>
              <w:rPr>
                <w:rFonts w:ascii="Times New Roman" w:hAnsi="Times New Roman" w:cs="Times New Roman"/>
                <w:sz w:val="20"/>
                <w:szCs w:val="20"/>
                <w:lang w:val="en-US"/>
              </w:rPr>
            </w:pPr>
          </w:p>
          <w:p w:rsidR="002E698B" w:rsidRDefault="002E698B" w:rsidP="00DA0D76">
            <w:pPr>
              <w:jc w:val="center"/>
              <w:rPr>
                <w:rFonts w:ascii="Times New Roman" w:hAnsi="Times New Roman" w:cs="Times New Roman"/>
                <w:sz w:val="20"/>
                <w:szCs w:val="20"/>
                <w:lang w:val="en-US"/>
              </w:rPr>
            </w:pPr>
          </w:p>
          <w:p w:rsidR="002E698B" w:rsidRDefault="002E698B" w:rsidP="00DA0D76">
            <w:pPr>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8 </w:t>
            </w:r>
          </w:p>
          <w:p w:rsidR="002E698B" w:rsidRDefault="002E698B" w:rsidP="00DA0D76">
            <w:pPr>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2 </w:t>
            </w:r>
          </w:p>
          <w:p w:rsidR="002E698B" w:rsidRDefault="002E698B" w:rsidP="00DA0D76">
            <w:pPr>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7 </w:t>
            </w:r>
          </w:p>
          <w:p w:rsidR="002E698B" w:rsidRDefault="002E698B" w:rsidP="00DA0D76">
            <w:pPr>
              <w:jc w:val="center"/>
              <w:rPr>
                <w:rFonts w:ascii="Times New Roman" w:hAnsi="Times New Roman" w:cs="Times New Roman"/>
                <w:sz w:val="20"/>
                <w:szCs w:val="20"/>
                <w:lang w:val="en-US"/>
              </w:rPr>
            </w:pPr>
          </w:p>
          <w:p w:rsidR="002E698B" w:rsidRDefault="002E698B" w:rsidP="00DA0D76">
            <w:pPr>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14 </w:t>
            </w:r>
          </w:p>
          <w:p w:rsidR="002E698B" w:rsidRPr="00180347" w:rsidRDefault="002E698B" w:rsidP="00DA0D76">
            <w:pPr>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7 </w:t>
            </w:r>
          </w:p>
        </w:tc>
        <w:tc>
          <w:tcPr>
            <w:tcW w:w="992" w:type="dxa"/>
            <w:tcBorders>
              <w:left w:val="single" w:sz="12" w:space="0" w:color="auto"/>
            </w:tcBorders>
          </w:tcPr>
          <w:p w:rsidR="002E698B" w:rsidRDefault="002E698B" w:rsidP="00DA0D76">
            <w:pPr>
              <w:jc w:val="center"/>
              <w:rPr>
                <w:rFonts w:ascii="Times New Roman" w:hAnsi="Times New Roman" w:cs="Times New Roman"/>
                <w:sz w:val="20"/>
                <w:szCs w:val="20"/>
                <w:lang w:val="en-US"/>
              </w:rPr>
            </w:pPr>
          </w:p>
          <w:p w:rsidR="002E698B" w:rsidRDefault="002E698B" w:rsidP="00DA0D76">
            <w:pPr>
              <w:jc w:val="center"/>
              <w:rPr>
                <w:rFonts w:ascii="Times New Roman" w:hAnsi="Times New Roman" w:cs="Times New Roman"/>
                <w:sz w:val="20"/>
                <w:szCs w:val="20"/>
                <w:lang w:val="en-US"/>
              </w:rPr>
            </w:pPr>
          </w:p>
          <w:p w:rsidR="002E698B" w:rsidRDefault="002E698B" w:rsidP="00DA0D76">
            <w:pPr>
              <w:jc w:val="center"/>
              <w:rPr>
                <w:rFonts w:ascii="Times New Roman" w:hAnsi="Times New Roman" w:cs="Times New Roman"/>
                <w:sz w:val="20"/>
                <w:szCs w:val="20"/>
                <w:lang w:val="en-US"/>
              </w:rPr>
            </w:pPr>
          </w:p>
          <w:p w:rsidR="002E698B" w:rsidRDefault="002E698B" w:rsidP="00DA0D76">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p w:rsidR="002E698B" w:rsidRDefault="002E698B" w:rsidP="00DA0D76">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p w:rsidR="002E698B" w:rsidRDefault="002E698B" w:rsidP="00DA0D76">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p w:rsidR="002E698B" w:rsidRDefault="002E698B" w:rsidP="00DA0D76">
            <w:pPr>
              <w:jc w:val="center"/>
              <w:rPr>
                <w:rFonts w:ascii="Times New Roman" w:hAnsi="Times New Roman" w:cs="Times New Roman"/>
                <w:sz w:val="20"/>
                <w:szCs w:val="20"/>
                <w:lang w:val="en-US"/>
              </w:rPr>
            </w:pPr>
          </w:p>
          <w:p w:rsidR="002E698B" w:rsidRDefault="002E698B" w:rsidP="00DA0D76">
            <w:pPr>
              <w:jc w:val="center"/>
              <w:rPr>
                <w:rFonts w:ascii="Times New Roman" w:hAnsi="Times New Roman" w:cs="Times New Roman"/>
                <w:sz w:val="20"/>
                <w:szCs w:val="20"/>
                <w:lang w:val="en-US"/>
              </w:rPr>
            </w:pPr>
            <w:r>
              <w:rPr>
                <w:rFonts w:ascii="Times New Roman" w:hAnsi="Times New Roman" w:cs="Times New Roman"/>
                <w:sz w:val="20"/>
                <w:szCs w:val="20"/>
                <w:lang w:val="en-US"/>
              </w:rPr>
              <w:t>14</w:t>
            </w:r>
          </w:p>
          <w:p w:rsidR="002E698B" w:rsidRPr="00180347" w:rsidRDefault="002E698B" w:rsidP="00DA0D76">
            <w:pPr>
              <w:jc w:val="center"/>
              <w:rPr>
                <w:rFonts w:ascii="Times New Roman" w:hAnsi="Times New Roman" w:cs="Times New Roman"/>
                <w:sz w:val="20"/>
                <w:szCs w:val="20"/>
                <w:lang w:val="en-US"/>
              </w:rPr>
            </w:pPr>
            <w:r>
              <w:rPr>
                <w:rFonts w:ascii="Times New Roman" w:hAnsi="Times New Roman" w:cs="Times New Roman"/>
                <w:sz w:val="20"/>
                <w:szCs w:val="20"/>
                <w:lang w:val="en-US"/>
              </w:rPr>
              <w:t>7</w:t>
            </w:r>
          </w:p>
        </w:tc>
        <w:tc>
          <w:tcPr>
            <w:tcW w:w="1134" w:type="dxa"/>
          </w:tcPr>
          <w:p w:rsidR="002E698B" w:rsidRDefault="002E698B" w:rsidP="00DA0D76">
            <w:pPr>
              <w:jc w:val="center"/>
              <w:rPr>
                <w:rFonts w:ascii="Times New Roman" w:hAnsi="Times New Roman" w:cs="Times New Roman"/>
                <w:sz w:val="20"/>
                <w:szCs w:val="20"/>
                <w:lang w:val="en-US"/>
              </w:rPr>
            </w:pPr>
          </w:p>
          <w:p w:rsidR="002E698B" w:rsidRDefault="002E698B" w:rsidP="00DA0D76">
            <w:pPr>
              <w:jc w:val="center"/>
              <w:rPr>
                <w:rFonts w:ascii="Times New Roman" w:hAnsi="Times New Roman" w:cs="Times New Roman"/>
                <w:sz w:val="20"/>
                <w:szCs w:val="20"/>
                <w:lang w:val="en-US"/>
              </w:rPr>
            </w:pPr>
          </w:p>
          <w:p w:rsidR="002E698B" w:rsidRDefault="002E698B" w:rsidP="00DA0D76">
            <w:pPr>
              <w:jc w:val="center"/>
              <w:rPr>
                <w:rFonts w:ascii="Times New Roman" w:hAnsi="Times New Roman" w:cs="Times New Roman"/>
                <w:sz w:val="20"/>
                <w:szCs w:val="20"/>
                <w:lang w:val="en-US"/>
              </w:rPr>
            </w:pPr>
          </w:p>
          <w:p w:rsidR="002E698B" w:rsidRDefault="002E698B" w:rsidP="00DA0D76">
            <w:pPr>
              <w:jc w:val="center"/>
              <w:rPr>
                <w:rFonts w:ascii="Times New Roman" w:hAnsi="Times New Roman" w:cs="Times New Roman"/>
                <w:sz w:val="20"/>
                <w:szCs w:val="20"/>
                <w:lang w:val="en-US"/>
              </w:rPr>
            </w:pPr>
            <w:r>
              <w:rPr>
                <w:rFonts w:ascii="Times New Roman" w:hAnsi="Times New Roman" w:cs="Times New Roman"/>
                <w:sz w:val="20"/>
                <w:szCs w:val="20"/>
                <w:lang w:val="en-US"/>
              </w:rPr>
              <w:t>8 (8)</w:t>
            </w:r>
          </w:p>
          <w:p w:rsidR="002E698B" w:rsidRDefault="002E698B" w:rsidP="00DA0D76">
            <w:pPr>
              <w:jc w:val="center"/>
              <w:rPr>
                <w:rFonts w:ascii="Times New Roman" w:hAnsi="Times New Roman" w:cs="Times New Roman"/>
                <w:sz w:val="20"/>
                <w:szCs w:val="20"/>
                <w:lang w:val="en-US"/>
              </w:rPr>
            </w:pPr>
            <w:r>
              <w:rPr>
                <w:rFonts w:ascii="Times New Roman" w:hAnsi="Times New Roman" w:cs="Times New Roman"/>
                <w:sz w:val="20"/>
                <w:szCs w:val="20"/>
                <w:lang w:val="en-US"/>
              </w:rPr>
              <w:t>2 (2)</w:t>
            </w:r>
          </w:p>
          <w:p w:rsidR="002E698B" w:rsidRDefault="002E698B" w:rsidP="00DA0D76">
            <w:pPr>
              <w:jc w:val="center"/>
              <w:rPr>
                <w:rFonts w:ascii="Times New Roman" w:hAnsi="Times New Roman" w:cs="Times New Roman"/>
                <w:sz w:val="20"/>
                <w:szCs w:val="20"/>
                <w:lang w:val="en-US"/>
              </w:rPr>
            </w:pPr>
            <w:r>
              <w:rPr>
                <w:rFonts w:ascii="Times New Roman" w:hAnsi="Times New Roman" w:cs="Times New Roman"/>
                <w:sz w:val="20"/>
                <w:szCs w:val="20"/>
                <w:lang w:val="en-US"/>
              </w:rPr>
              <w:t>7 (7)</w:t>
            </w:r>
          </w:p>
          <w:p w:rsidR="002E698B" w:rsidRDefault="002E698B" w:rsidP="00DA0D76">
            <w:pPr>
              <w:jc w:val="center"/>
              <w:rPr>
                <w:rFonts w:ascii="Times New Roman" w:hAnsi="Times New Roman" w:cs="Times New Roman"/>
                <w:sz w:val="20"/>
                <w:szCs w:val="20"/>
                <w:lang w:val="en-US"/>
              </w:rPr>
            </w:pPr>
          </w:p>
          <w:p w:rsidR="002E698B" w:rsidRDefault="002E698B" w:rsidP="00DA0D76">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p w:rsidR="002E698B" w:rsidRPr="00180347" w:rsidRDefault="002E698B" w:rsidP="00DA0D76">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993" w:type="dxa"/>
            <w:tcBorders>
              <w:left w:val="single" w:sz="12" w:space="0" w:color="auto"/>
            </w:tcBorders>
          </w:tcPr>
          <w:p w:rsidR="002E698B" w:rsidRDefault="002E698B" w:rsidP="00DA0D76">
            <w:pPr>
              <w:jc w:val="center"/>
              <w:rPr>
                <w:rFonts w:ascii="Times New Roman" w:hAnsi="Times New Roman" w:cs="Times New Roman"/>
                <w:sz w:val="20"/>
                <w:szCs w:val="20"/>
                <w:lang w:val="en-US"/>
              </w:rPr>
            </w:pPr>
          </w:p>
          <w:p w:rsidR="002E698B" w:rsidRDefault="002E698B" w:rsidP="00DA0D76">
            <w:pPr>
              <w:jc w:val="center"/>
              <w:rPr>
                <w:rFonts w:ascii="Times New Roman" w:hAnsi="Times New Roman" w:cs="Times New Roman"/>
                <w:sz w:val="20"/>
                <w:szCs w:val="20"/>
                <w:lang w:val="en-US"/>
              </w:rPr>
            </w:pPr>
          </w:p>
          <w:p w:rsidR="002E698B" w:rsidRDefault="002E698B" w:rsidP="00DA0D76">
            <w:pPr>
              <w:jc w:val="center"/>
              <w:rPr>
                <w:rFonts w:ascii="Times New Roman" w:hAnsi="Times New Roman" w:cs="Times New Roman"/>
                <w:sz w:val="20"/>
                <w:szCs w:val="20"/>
                <w:lang w:val="en-US"/>
              </w:rPr>
            </w:pPr>
          </w:p>
          <w:p w:rsidR="002E698B" w:rsidRDefault="002E698B" w:rsidP="00DA0D76">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p w:rsidR="002E698B" w:rsidRDefault="002E698B" w:rsidP="00DA0D76">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p w:rsidR="002E698B" w:rsidRDefault="002E698B" w:rsidP="00DA0D76">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p w:rsidR="002E698B" w:rsidRDefault="002E698B" w:rsidP="00DA0D76">
            <w:pPr>
              <w:jc w:val="center"/>
              <w:rPr>
                <w:rFonts w:ascii="Times New Roman" w:hAnsi="Times New Roman" w:cs="Times New Roman"/>
                <w:sz w:val="20"/>
                <w:szCs w:val="20"/>
                <w:lang w:val="en-US"/>
              </w:rPr>
            </w:pPr>
          </w:p>
          <w:p w:rsidR="002E698B" w:rsidRDefault="002E698B" w:rsidP="00DA0D76">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p w:rsidR="002E698B" w:rsidRPr="00180347" w:rsidRDefault="002E698B" w:rsidP="00DA0D76">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34" w:type="dxa"/>
          </w:tcPr>
          <w:p w:rsidR="002E698B" w:rsidRDefault="002E698B" w:rsidP="00DA0D76">
            <w:pPr>
              <w:jc w:val="center"/>
              <w:rPr>
                <w:rFonts w:ascii="Times New Roman" w:hAnsi="Times New Roman" w:cs="Times New Roman"/>
                <w:sz w:val="20"/>
                <w:szCs w:val="20"/>
                <w:lang w:val="en-US"/>
              </w:rPr>
            </w:pPr>
          </w:p>
          <w:p w:rsidR="002E698B" w:rsidRDefault="002E698B" w:rsidP="00DA0D76">
            <w:pPr>
              <w:jc w:val="center"/>
              <w:rPr>
                <w:rFonts w:ascii="Times New Roman" w:hAnsi="Times New Roman" w:cs="Times New Roman"/>
                <w:sz w:val="20"/>
                <w:szCs w:val="20"/>
                <w:lang w:val="en-US"/>
              </w:rPr>
            </w:pPr>
          </w:p>
          <w:p w:rsidR="002E698B" w:rsidRDefault="002E698B" w:rsidP="00DA0D76">
            <w:pPr>
              <w:jc w:val="center"/>
              <w:rPr>
                <w:rFonts w:ascii="Times New Roman" w:hAnsi="Times New Roman" w:cs="Times New Roman"/>
                <w:sz w:val="20"/>
                <w:szCs w:val="20"/>
                <w:lang w:val="en-US"/>
              </w:rPr>
            </w:pPr>
          </w:p>
          <w:p w:rsidR="002E698B" w:rsidRDefault="002E698B" w:rsidP="00DA0D76">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p w:rsidR="002E698B" w:rsidRDefault="002E698B" w:rsidP="00DA0D76">
            <w:pPr>
              <w:jc w:val="center"/>
              <w:rPr>
                <w:rFonts w:ascii="Times New Roman" w:hAnsi="Times New Roman" w:cs="Times New Roman"/>
                <w:sz w:val="20"/>
                <w:szCs w:val="20"/>
                <w:lang w:val="en-US"/>
              </w:rPr>
            </w:pPr>
            <w:r>
              <w:rPr>
                <w:rFonts w:ascii="Times New Roman" w:hAnsi="Times New Roman" w:cs="Times New Roman"/>
                <w:sz w:val="20"/>
                <w:szCs w:val="20"/>
                <w:lang w:val="en-US"/>
              </w:rPr>
              <w:t>2 (2)</w:t>
            </w:r>
          </w:p>
          <w:p w:rsidR="002E698B" w:rsidRDefault="002E698B" w:rsidP="00DA0D76">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p w:rsidR="002E698B" w:rsidRDefault="002E698B" w:rsidP="00DA0D76">
            <w:pPr>
              <w:jc w:val="center"/>
              <w:rPr>
                <w:rFonts w:ascii="Times New Roman" w:hAnsi="Times New Roman" w:cs="Times New Roman"/>
                <w:sz w:val="20"/>
                <w:szCs w:val="20"/>
                <w:lang w:val="en-US"/>
              </w:rPr>
            </w:pPr>
          </w:p>
          <w:p w:rsidR="002E698B" w:rsidRDefault="002E698B" w:rsidP="00DA0D76">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p w:rsidR="002E698B" w:rsidRPr="00180347" w:rsidRDefault="002E698B" w:rsidP="00DA0D76">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34" w:type="dxa"/>
          </w:tcPr>
          <w:p w:rsidR="002E698B" w:rsidRDefault="002E698B" w:rsidP="00DA0D76">
            <w:pPr>
              <w:jc w:val="center"/>
              <w:rPr>
                <w:rFonts w:ascii="Times New Roman" w:hAnsi="Times New Roman" w:cs="Times New Roman"/>
                <w:sz w:val="20"/>
                <w:szCs w:val="20"/>
                <w:lang w:val="en-US"/>
              </w:rPr>
            </w:pPr>
          </w:p>
          <w:p w:rsidR="002E698B" w:rsidRDefault="002E698B" w:rsidP="00DA0D76">
            <w:pPr>
              <w:jc w:val="center"/>
              <w:rPr>
                <w:rFonts w:ascii="Times New Roman" w:hAnsi="Times New Roman" w:cs="Times New Roman"/>
                <w:sz w:val="20"/>
                <w:szCs w:val="20"/>
                <w:lang w:val="en-US"/>
              </w:rPr>
            </w:pPr>
          </w:p>
          <w:p w:rsidR="002E698B" w:rsidRDefault="002E698B" w:rsidP="00DA0D76">
            <w:pPr>
              <w:jc w:val="center"/>
              <w:rPr>
                <w:rFonts w:ascii="Times New Roman" w:hAnsi="Times New Roman" w:cs="Times New Roman"/>
                <w:sz w:val="20"/>
                <w:szCs w:val="20"/>
                <w:lang w:val="en-US"/>
              </w:rPr>
            </w:pPr>
          </w:p>
          <w:p w:rsidR="002E698B" w:rsidRDefault="002E698B" w:rsidP="00DA0D76">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p w:rsidR="002E698B" w:rsidRDefault="002E698B" w:rsidP="00DA0D76">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p w:rsidR="002E698B" w:rsidRDefault="002E698B" w:rsidP="00DA0D76">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p w:rsidR="002E698B" w:rsidRDefault="002E698B" w:rsidP="00DA0D76">
            <w:pPr>
              <w:jc w:val="center"/>
              <w:rPr>
                <w:rFonts w:ascii="Times New Roman" w:hAnsi="Times New Roman" w:cs="Times New Roman"/>
                <w:sz w:val="20"/>
                <w:szCs w:val="20"/>
                <w:lang w:val="en-US"/>
              </w:rPr>
            </w:pPr>
          </w:p>
          <w:p w:rsidR="002E698B" w:rsidRDefault="002E698B" w:rsidP="00DA0D76">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p w:rsidR="002E698B" w:rsidRPr="00180347" w:rsidRDefault="002E698B" w:rsidP="00DA0D76">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34" w:type="dxa"/>
            <w:tcBorders>
              <w:right w:val="single" w:sz="12" w:space="0" w:color="auto"/>
            </w:tcBorders>
          </w:tcPr>
          <w:p w:rsidR="002E698B" w:rsidRDefault="002E698B" w:rsidP="00DA0D76">
            <w:pPr>
              <w:jc w:val="center"/>
              <w:rPr>
                <w:rFonts w:ascii="Times New Roman" w:hAnsi="Times New Roman" w:cs="Times New Roman"/>
                <w:sz w:val="20"/>
                <w:szCs w:val="20"/>
                <w:lang w:val="en-US"/>
              </w:rPr>
            </w:pPr>
          </w:p>
          <w:p w:rsidR="002E698B" w:rsidRDefault="002E698B" w:rsidP="00DA0D76">
            <w:pPr>
              <w:jc w:val="center"/>
              <w:rPr>
                <w:rFonts w:ascii="Times New Roman" w:hAnsi="Times New Roman" w:cs="Times New Roman"/>
                <w:sz w:val="20"/>
                <w:szCs w:val="20"/>
                <w:lang w:val="en-US"/>
              </w:rPr>
            </w:pPr>
          </w:p>
          <w:p w:rsidR="002E698B" w:rsidRDefault="002E698B" w:rsidP="00DA0D76">
            <w:pPr>
              <w:jc w:val="center"/>
              <w:rPr>
                <w:rFonts w:ascii="Times New Roman" w:hAnsi="Times New Roman" w:cs="Times New Roman"/>
                <w:sz w:val="20"/>
                <w:szCs w:val="20"/>
                <w:lang w:val="en-US"/>
              </w:rPr>
            </w:pPr>
          </w:p>
          <w:p w:rsidR="002E698B" w:rsidRDefault="002E698B" w:rsidP="00DA0D76">
            <w:pPr>
              <w:jc w:val="center"/>
              <w:rPr>
                <w:rFonts w:ascii="Times New Roman" w:hAnsi="Times New Roman" w:cs="Times New Roman"/>
                <w:sz w:val="20"/>
                <w:szCs w:val="20"/>
                <w:lang w:val="en-US"/>
              </w:rPr>
            </w:pPr>
            <w:r>
              <w:rPr>
                <w:rFonts w:ascii="Times New Roman" w:hAnsi="Times New Roman" w:cs="Times New Roman"/>
                <w:sz w:val="20"/>
                <w:szCs w:val="20"/>
                <w:lang w:val="en-US"/>
              </w:rPr>
              <w:t>8</w:t>
            </w:r>
          </w:p>
          <w:p w:rsidR="002E698B" w:rsidRDefault="002E698B" w:rsidP="00DA0D76">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p w:rsidR="002E698B" w:rsidRDefault="002E698B" w:rsidP="00DA0D76">
            <w:pPr>
              <w:jc w:val="center"/>
              <w:rPr>
                <w:rFonts w:ascii="Times New Roman" w:hAnsi="Times New Roman" w:cs="Times New Roman"/>
                <w:sz w:val="20"/>
                <w:szCs w:val="20"/>
                <w:lang w:val="en-US"/>
              </w:rPr>
            </w:pPr>
            <w:r>
              <w:rPr>
                <w:rFonts w:ascii="Times New Roman" w:hAnsi="Times New Roman" w:cs="Times New Roman"/>
                <w:sz w:val="20"/>
                <w:szCs w:val="20"/>
                <w:lang w:val="en-US"/>
              </w:rPr>
              <w:t>7</w:t>
            </w:r>
          </w:p>
          <w:p w:rsidR="002E698B" w:rsidRDefault="002E698B" w:rsidP="00DA0D76">
            <w:pPr>
              <w:jc w:val="center"/>
              <w:rPr>
                <w:rFonts w:ascii="Times New Roman" w:hAnsi="Times New Roman" w:cs="Times New Roman"/>
                <w:sz w:val="20"/>
                <w:szCs w:val="20"/>
                <w:lang w:val="en-US"/>
              </w:rPr>
            </w:pPr>
          </w:p>
          <w:p w:rsidR="002E698B" w:rsidRDefault="002E698B" w:rsidP="00DA0D76">
            <w:pPr>
              <w:jc w:val="center"/>
              <w:rPr>
                <w:rFonts w:ascii="Times New Roman" w:hAnsi="Times New Roman" w:cs="Times New Roman"/>
                <w:sz w:val="20"/>
                <w:szCs w:val="20"/>
                <w:lang w:val="en-US"/>
              </w:rPr>
            </w:pPr>
            <w:r>
              <w:rPr>
                <w:rFonts w:ascii="Times New Roman" w:hAnsi="Times New Roman" w:cs="Times New Roman"/>
                <w:sz w:val="20"/>
                <w:szCs w:val="20"/>
                <w:lang w:val="en-US"/>
              </w:rPr>
              <w:t>14</w:t>
            </w:r>
          </w:p>
          <w:p w:rsidR="002E698B" w:rsidRPr="00180347" w:rsidRDefault="002E698B" w:rsidP="00DA0D76">
            <w:pPr>
              <w:jc w:val="center"/>
              <w:rPr>
                <w:rFonts w:ascii="Times New Roman" w:hAnsi="Times New Roman" w:cs="Times New Roman"/>
                <w:sz w:val="20"/>
                <w:szCs w:val="20"/>
                <w:lang w:val="en-US"/>
              </w:rPr>
            </w:pPr>
            <w:r>
              <w:rPr>
                <w:rFonts w:ascii="Times New Roman" w:hAnsi="Times New Roman" w:cs="Times New Roman"/>
                <w:sz w:val="20"/>
                <w:szCs w:val="20"/>
                <w:lang w:val="en-US"/>
              </w:rPr>
              <w:t>7</w:t>
            </w:r>
          </w:p>
        </w:tc>
        <w:tc>
          <w:tcPr>
            <w:tcW w:w="992" w:type="dxa"/>
            <w:tcBorders>
              <w:left w:val="single" w:sz="12" w:space="0" w:color="auto"/>
              <w:right w:val="single" w:sz="8" w:space="0" w:color="auto"/>
            </w:tcBorders>
          </w:tcPr>
          <w:p w:rsidR="002E698B" w:rsidRDefault="002E698B" w:rsidP="00DA0D76">
            <w:pPr>
              <w:jc w:val="center"/>
              <w:rPr>
                <w:rFonts w:ascii="Times New Roman" w:hAnsi="Times New Roman" w:cs="Times New Roman"/>
                <w:sz w:val="20"/>
                <w:szCs w:val="20"/>
                <w:lang w:val="en-US"/>
              </w:rPr>
            </w:pPr>
          </w:p>
          <w:p w:rsidR="002E698B" w:rsidRDefault="002E698B" w:rsidP="00DA0D76">
            <w:pPr>
              <w:jc w:val="center"/>
              <w:rPr>
                <w:rFonts w:ascii="Times New Roman" w:hAnsi="Times New Roman" w:cs="Times New Roman"/>
                <w:sz w:val="20"/>
                <w:szCs w:val="20"/>
                <w:lang w:val="en-US"/>
              </w:rPr>
            </w:pPr>
          </w:p>
          <w:p w:rsidR="002E698B" w:rsidRDefault="002E698B" w:rsidP="00DA0D76">
            <w:pPr>
              <w:jc w:val="center"/>
              <w:rPr>
                <w:rFonts w:ascii="Times New Roman" w:hAnsi="Times New Roman" w:cs="Times New Roman"/>
                <w:sz w:val="20"/>
                <w:szCs w:val="20"/>
                <w:lang w:val="en-US"/>
              </w:rPr>
            </w:pPr>
          </w:p>
          <w:p w:rsidR="002E698B" w:rsidRDefault="002E698B" w:rsidP="00DA0D76">
            <w:pPr>
              <w:jc w:val="center"/>
              <w:rPr>
                <w:rFonts w:ascii="Times New Roman" w:hAnsi="Times New Roman" w:cs="Times New Roman"/>
                <w:sz w:val="20"/>
                <w:szCs w:val="20"/>
                <w:lang w:val="en-US"/>
              </w:rPr>
            </w:pPr>
            <w:r>
              <w:rPr>
                <w:rFonts w:ascii="Times New Roman" w:hAnsi="Times New Roman" w:cs="Times New Roman"/>
                <w:sz w:val="20"/>
                <w:szCs w:val="20"/>
                <w:lang w:val="en-US"/>
              </w:rPr>
              <w:t>8</w:t>
            </w:r>
          </w:p>
          <w:p w:rsidR="002E698B" w:rsidRDefault="002E698B" w:rsidP="00DA0D76">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p w:rsidR="002E698B" w:rsidRDefault="002E698B" w:rsidP="00DA0D76">
            <w:pPr>
              <w:jc w:val="center"/>
              <w:rPr>
                <w:rFonts w:ascii="Times New Roman" w:hAnsi="Times New Roman" w:cs="Times New Roman"/>
                <w:sz w:val="20"/>
                <w:szCs w:val="20"/>
                <w:lang w:val="en-US"/>
              </w:rPr>
            </w:pPr>
            <w:r>
              <w:rPr>
                <w:rFonts w:ascii="Times New Roman" w:hAnsi="Times New Roman" w:cs="Times New Roman"/>
                <w:sz w:val="20"/>
                <w:szCs w:val="20"/>
                <w:lang w:val="en-US"/>
              </w:rPr>
              <w:t>7</w:t>
            </w:r>
          </w:p>
          <w:p w:rsidR="002E698B" w:rsidRDefault="002E698B" w:rsidP="00DA0D76">
            <w:pPr>
              <w:jc w:val="center"/>
              <w:rPr>
                <w:rFonts w:ascii="Times New Roman" w:hAnsi="Times New Roman" w:cs="Times New Roman"/>
                <w:sz w:val="20"/>
                <w:szCs w:val="20"/>
                <w:lang w:val="en-US"/>
              </w:rPr>
            </w:pPr>
          </w:p>
          <w:p w:rsidR="002E698B" w:rsidRDefault="002E698B" w:rsidP="00DA0D76">
            <w:pPr>
              <w:jc w:val="center"/>
              <w:rPr>
                <w:rFonts w:ascii="Times New Roman" w:hAnsi="Times New Roman" w:cs="Times New Roman"/>
                <w:sz w:val="20"/>
                <w:szCs w:val="20"/>
                <w:lang w:val="en-US"/>
              </w:rPr>
            </w:pPr>
            <w:r>
              <w:rPr>
                <w:rFonts w:ascii="Times New Roman" w:hAnsi="Times New Roman" w:cs="Times New Roman"/>
                <w:sz w:val="20"/>
                <w:szCs w:val="20"/>
                <w:lang w:val="en-US"/>
              </w:rPr>
              <w:t>14</w:t>
            </w:r>
          </w:p>
          <w:p w:rsidR="002E698B" w:rsidRPr="00180347" w:rsidRDefault="002E698B" w:rsidP="00DA0D76">
            <w:pPr>
              <w:jc w:val="center"/>
              <w:rPr>
                <w:rFonts w:ascii="Times New Roman" w:hAnsi="Times New Roman" w:cs="Times New Roman"/>
                <w:sz w:val="20"/>
                <w:szCs w:val="20"/>
                <w:lang w:val="en-US"/>
              </w:rPr>
            </w:pPr>
            <w:r>
              <w:rPr>
                <w:rFonts w:ascii="Times New Roman" w:hAnsi="Times New Roman" w:cs="Times New Roman"/>
                <w:sz w:val="20"/>
                <w:szCs w:val="20"/>
                <w:lang w:val="en-US"/>
              </w:rPr>
              <w:t>7</w:t>
            </w:r>
          </w:p>
        </w:tc>
        <w:tc>
          <w:tcPr>
            <w:tcW w:w="850" w:type="dxa"/>
            <w:tcBorders>
              <w:left w:val="single" w:sz="8" w:space="0" w:color="auto"/>
            </w:tcBorders>
          </w:tcPr>
          <w:p w:rsidR="002E698B" w:rsidRDefault="002E698B" w:rsidP="00DA0D76">
            <w:pPr>
              <w:jc w:val="center"/>
              <w:rPr>
                <w:rFonts w:ascii="Times New Roman" w:hAnsi="Times New Roman" w:cs="Times New Roman"/>
                <w:sz w:val="20"/>
                <w:szCs w:val="20"/>
                <w:lang w:val="en-US"/>
              </w:rPr>
            </w:pPr>
          </w:p>
          <w:p w:rsidR="002E698B" w:rsidRDefault="002E698B" w:rsidP="00DA0D76">
            <w:pPr>
              <w:jc w:val="center"/>
              <w:rPr>
                <w:rFonts w:ascii="Times New Roman" w:hAnsi="Times New Roman" w:cs="Times New Roman"/>
                <w:sz w:val="20"/>
                <w:szCs w:val="20"/>
                <w:lang w:val="en-US"/>
              </w:rPr>
            </w:pPr>
          </w:p>
          <w:p w:rsidR="002E698B" w:rsidRDefault="002E698B" w:rsidP="00DA0D76">
            <w:pPr>
              <w:jc w:val="center"/>
              <w:rPr>
                <w:rFonts w:ascii="Times New Roman" w:hAnsi="Times New Roman" w:cs="Times New Roman"/>
                <w:sz w:val="20"/>
                <w:szCs w:val="20"/>
                <w:lang w:val="en-US"/>
              </w:rPr>
            </w:pPr>
          </w:p>
          <w:p w:rsidR="002E698B" w:rsidRDefault="002E698B" w:rsidP="00DA0D76">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p w:rsidR="002E698B" w:rsidRDefault="002E698B" w:rsidP="00DA0D76">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p w:rsidR="002E698B" w:rsidRDefault="002E698B" w:rsidP="00DA0D76">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p w:rsidR="002E698B" w:rsidRDefault="002E698B" w:rsidP="00DA0D76">
            <w:pPr>
              <w:jc w:val="center"/>
              <w:rPr>
                <w:rFonts w:ascii="Times New Roman" w:hAnsi="Times New Roman" w:cs="Times New Roman"/>
                <w:sz w:val="20"/>
                <w:szCs w:val="20"/>
                <w:lang w:val="en-US"/>
              </w:rPr>
            </w:pPr>
          </w:p>
          <w:p w:rsidR="002E698B" w:rsidRDefault="002E698B" w:rsidP="00DA0D76">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p w:rsidR="002E698B" w:rsidRPr="00180347" w:rsidRDefault="002E698B" w:rsidP="00DA0D76">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2E698B" w:rsidRPr="00180347" w:rsidTr="00DA0D76">
        <w:tc>
          <w:tcPr>
            <w:tcW w:w="2694" w:type="dxa"/>
          </w:tcPr>
          <w:p w:rsidR="002E698B" w:rsidRDefault="002E698B" w:rsidP="00DA0D76">
            <w:pPr>
              <w:rPr>
                <w:rFonts w:ascii="Times New Roman" w:hAnsi="Times New Roman" w:cs="Times New Roman"/>
                <w:sz w:val="20"/>
                <w:szCs w:val="20"/>
                <w:lang w:val="en-US"/>
              </w:rPr>
            </w:pPr>
            <w:r>
              <w:rPr>
                <w:rFonts w:ascii="Times New Roman" w:hAnsi="Times New Roman" w:cs="Times New Roman"/>
                <w:sz w:val="20"/>
                <w:szCs w:val="20"/>
                <w:lang w:val="en-US"/>
              </w:rPr>
              <w:t>Total</w:t>
            </w:r>
          </w:p>
        </w:tc>
        <w:tc>
          <w:tcPr>
            <w:tcW w:w="567" w:type="dxa"/>
            <w:tcBorders>
              <w:right w:val="single" w:sz="12" w:space="0" w:color="auto"/>
            </w:tcBorders>
          </w:tcPr>
          <w:p w:rsidR="002E698B" w:rsidRDefault="002E698B" w:rsidP="00DA0D76">
            <w:pPr>
              <w:jc w:val="center"/>
              <w:rPr>
                <w:rFonts w:ascii="Times New Roman" w:hAnsi="Times New Roman" w:cs="Times New Roman"/>
                <w:sz w:val="20"/>
                <w:szCs w:val="20"/>
                <w:lang w:val="en-US"/>
              </w:rPr>
            </w:pPr>
            <w:r>
              <w:rPr>
                <w:rFonts w:ascii="Times New Roman" w:hAnsi="Times New Roman" w:cs="Times New Roman"/>
                <w:sz w:val="20"/>
                <w:szCs w:val="20"/>
                <w:lang w:val="en-US"/>
              </w:rPr>
              <w:t>301</w:t>
            </w:r>
          </w:p>
        </w:tc>
        <w:tc>
          <w:tcPr>
            <w:tcW w:w="992" w:type="dxa"/>
            <w:tcBorders>
              <w:left w:val="single" w:sz="12" w:space="0" w:color="auto"/>
            </w:tcBorders>
          </w:tcPr>
          <w:p w:rsidR="002E698B" w:rsidRDefault="002E698B" w:rsidP="00DA0D76">
            <w:pPr>
              <w:jc w:val="center"/>
              <w:rPr>
                <w:rFonts w:ascii="Times New Roman" w:hAnsi="Times New Roman" w:cs="Times New Roman"/>
                <w:sz w:val="20"/>
                <w:szCs w:val="20"/>
                <w:lang w:val="en-US"/>
              </w:rPr>
            </w:pPr>
            <w:r>
              <w:rPr>
                <w:rFonts w:ascii="Times New Roman" w:hAnsi="Times New Roman" w:cs="Times New Roman"/>
                <w:sz w:val="20"/>
                <w:szCs w:val="20"/>
                <w:lang w:val="en-US"/>
              </w:rPr>
              <w:t>40</w:t>
            </w:r>
          </w:p>
        </w:tc>
        <w:tc>
          <w:tcPr>
            <w:tcW w:w="1134" w:type="dxa"/>
          </w:tcPr>
          <w:p w:rsidR="002E698B" w:rsidRDefault="002E698B" w:rsidP="00DA0D76">
            <w:pPr>
              <w:jc w:val="center"/>
              <w:rPr>
                <w:rFonts w:ascii="Times New Roman" w:hAnsi="Times New Roman" w:cs="Times New Roman"/>
                <w:sz w:val="20"/>
                <w:szCs w:val="20"/>
                <w:lang w:val="en-US"/>
              </w:rPr>
            </w:pPr>
            <w:r>
              <w:rPr>
                <w:rFonts w:ascii="Times New Roman" w:hAnsi="Times New Roman" w:cs="Times New Roman"/>
                <w:sz w:val="20"/>
                <w:szCs w:val="20"/>
                <w:lang w:val="en-US"/>
              </w:rPr>
              <w:t>261 (132)</w:t>
            </w:r>
          </w:p>
        </w:tc>
        <w:tc>
          <w:tcPr>
            <w:tcW w:w="993" w:type="dxa"/>
            <w:tcBorders>
              <w:left w:val="single" w:sz="12" w:space="0" w:color="auto"/>
            </w:tcBorders>
          </w:tcPr>
          <w:p w:rsidR="002E698B" w:rsidRPr="00180347" w:rsidRDefault="002E698B" w:rsidP="00DA0D76">
            <w:pPr>
              <w:jc w:val="center"/>
              <w:rPr>
                <w:rFonts w:ascii="Times New Roman" w:hAnsi="Times New Roman" w:cs="Times New Roman"/>
                <w:sz w:val="20"/>
                <w:szCs w:val="20"/>
                <w:lang w:val="en-US"/>
              </w:rPr>
            </w:pPr>
            <w:r>
              <w:rPr>
                <w:rFonts w:ascii="Times New Roman" w:hAnsi="Times New Roman" w:cs="Times New Roman"/>
                <w:sz w:val="20"/>
                <w:szCs w:val="20"/>
                <w:lang w:val="en-US"/>
              </w:rPr>
              <w:t>146</w:t>
            </w:r>
          </w:p>
        </w:tc>
        <w:tc>
          <w:tcPr>
            <w:tcW w:w="1134" w:type="dxa"/>
          </w:tcPr>
          <w:p w:rsidR="002E698B" w:rsidRDefault="002E698B" w:rsidP="00DA0D76">
            <w:pPr>
              <w:jc w:val="center"/>
              <w:rPr>
                <w:rFonts w:ascii="Times New Roman" w:hAnsi="Times New Roman" w:cs="Times New Roman"/>
                <w:sz w:val="20"/>
                <w:szCs w:val="20"/>
                <w:lang w:val="en-US"/>
              </w:rPr>
            </w:pPr>
            <w:r>
              <w:rPr>
                <w:rFonts w:ascii="Times New Roman" w:hAnsi="Times New Roman" w:cs="Times New Roman"/>
                <w:sz w:val="20"/>
                <w:szCs w:val="20"/>
                <w:lang w:val="en-US"/>
              </w:rPr>
              <w:t>82 (35)</w:t>
            </w:r>
          </w:p>
        </w:tc>
        <w:tc>
          <w:tcPr>
            <w:tcW w:w="1134" w:type="dxa"/>
          </w:tcPr>
          <w:p w:rsidR="002E698B" w:rsidRDefault="002E698B" w:rsidP="00DA0D76">
            <w:pPr>
              <w:jc w:val="center"/>
              <w:rPr>
                <w:rFonts w:ascii="Times New Roman" w:hAnsi="Times New Roman" w:cs="Times New Roman"/>
                <w:sz w:val="20"/>
                <w:szCs w:val="20"/>
                <w:lang w:val="en-US"/>
              </w:rPr>
            </w:pPr>
            <w:r>
              <w:rPr>
                <w:rFonts w:ascii="Times New Roman" w:hAnsi="Times New Roman" w:cs="Times New Roman"/>
                <w:sz w:val="20"/>
                <w:szCs w:val="20"/>
                <w:lang w:val="en-US"/>
              </w:rPr>
              <w:t>18</w:t>
            </w:r>
          </w:p>
        </w:tc>
        <w:tc>
          <w:tcPr>
            <w:tcW w:w="1134" w:type="dxa"/>
            <w:tcBorders>
              <w:right w:val="single" w:sz="12" w:space="0" w:color="auto"/>
            </w:tcBorders>
          </w:tcPr>
          <w:p w:rsidR="002E698B" w:rsidRDefault="002E698B" w:rsidP="00DA0D76">
            <w:pPr>
              <w:jc w:val="center"/>
              <w:rPr>
                <w:rFonts w:ascii="Times New Roman" w:hAnsi="Times New Roman" w:cs="Times New Roman"/>
                <w:sz w:val="20"/>
                <w:szCs w:val="20"/>
                <w:lang w:val="en-US"/>
              </w:rPr>
            </w:pPr>
            <w:r>
              <w:rPr>
                <w:rFonts w:ascii="Times New Roman" w:hAnsi="Times New Roman" w:cs="Times New Roman"/>
                <w:sz w:val="20"/>
                <w:szCs w:val="20"/>
                <w:lang w:val="en-US"/>
              </w:rPr>
              <w:t>55</w:t>
            </w:r>
          </w:p>
        </w:tc>
        <w:tc>
          <w:tcPr>
            <w:tcW w:w="992" w:type="dxa"/>
            <w:tcBorders>
              <w:left w:val="single" w:sz="12" w:space="0" w:color="auto"/>
              <w:right w:val="single" w:sz="8" w:space="0" w:color="auto"/>
            </w:tcBorders>
          </w:tcPr>
          <w:p w:rsidR="002E698B" w:rsidRDefault="002E698B" w:rsidP="00DA0D76">
            <w:pPr>
              <w:jc w:val="center"/>
              <w:rPr>
                <w:rFonts w:ascii="Times New Roman" w:hAnsi="Times New Roman" w:cs="Times New Roman"/>
                <w:sz w:val="20"/>
                <w:szCs w:val="20"/>
                <w:lang w:val="en-US"/>
              </w:rPr>
            </w:pPr>
            <w:r>
              <w:rPr>
                <w:rFonts w:ascii="Times New Roman" w:hAnsi="Times New Roman" w:cs="Times New Roman"/>
                <w:sz w:val="20"/>
                <w:szCs w:val="20"/>
                <w:lang w:val="en-US"/>
              </w:rPr>
              <w:t>274</w:t>
            </w:r>
          </w:p>
        </w:tc>
        <w:tc>
          <w:tcPr>
            <w:tcW w:w="850" w:type="dxa"/>
            <w:tcBorders>
              <w:left w:val="single" w:sz="8" w:space="0" w:color="auto"/>
            </w:tcBorders>
          </w:tcPr>
          <w:p w:rsidR="002E698B" w:rsidRDefault="002E698B" w:rsidP="00DA0D76">
            <w:pPr>
              <w:jc w:val="center"/>
              <w:rPr>
                <w:rFonts w:ascii="Times New Roman" w:hAnsi="Times New Roman" w:cs="Times New Roman"/>
                <w:sz w:val="20"/>
                <w:szCs w:val="20"/>
                <w:lang w:val="en-US"/>
              </w:rPr>
            </w:pPr>
            <w:r>
              <w:rPr>
                <w:rFonts w:ascii="Times New Roman" w:hAnsi="Times New Roman" w:cs="Times New Roman"/>
                <w:sz w:val="20"/>
                <w:szCs w:val="20"/>
                <w:lang w:val="en-US"/>
              </w:rPr>
              <w:t>27</w:t>
            </w:r>
          </w:p>
        </w:tc>
      </w:tr>
    </w:tbl>
    <w:p w:rsidR="002E698B" w:rsidRPr="00A62C65" w:rsidRDefault="002E698B" w:rsidP="002E698B">
      <w:pPr>
        <w:rPr>
          <w:sz w:val="20"/>
          <w:szCs w:val="20"/>
          <w:lang w:val="en-US"/>
        </w:rPr>
      </w:pPr>
    </w:p>
    <w:p w:rsidR="002E698B" w:rsidRDefault="002E698B" w:rsidP="002E698B">
      <w:pPr>
        <w:spacing w:after="0" w:line="240" w:lineRule="auto"/>
        <w:ind w:left="-851" w:right="2946"/>
        <w:rPr>
          <w:sz w:val="20"/>
          <w:szCs w:val="20"/>
          <w:lang w:val="en-US"/>
        </w:rPr>
      </w:pPr>
      <w:r w:rsidRPr="00A62C65">
        <w:rPr>
          <w:sz w:val="20"/>
          <w:szCs w:val="20"/>
          <w:lang w:val="en-US"/>
        </w:rPr>
        <w:t>1</w:t>
      </w:r>
      <w:r>
        <w:rPr>
          <w:sz w:val="20"/>
          <w:szCs w:val="20"/>
          <w:lang w:val="en-US"/>
        </w:rPr>
        <w:t>) Two</w:t>
      </w:r>
      <w:r w:rsidRPr="00A62C65">
        <w:rPr>
          <w:sz w:val="20"/>
          <w:szCs w:val="20"/>
          <w:lang w:val="en-US"/>
        </w:rPr>
        <w:t xml:space="preserve"> patients developed a manic episode shortly after discharge, which was diagnosed at the baseline-interview; hence the conversion to bipolar disorder was established </w:t>
      </w:r>
      <w:r>
        <w:rPr>
          <w:sz w:val="20"/>
          <w:szCs w:val="20"/>
          <w:lang w:val="en-US"/>
        </w:rPr>
        <w:t xml:space="preserve">already </w:t>
      </w:r>
      <w:r w:rsidRPr="00A62C65">
        <w:rPr>
          <w:sz w:val="20"/>
          <w:szCs w:val="20"/>
          <w:lang w:val="en-US"/>
        </w:rPr>
        <w:t xml:space="preserve">at baseline for these 2 patients. </w:t>
      </w:r>
      <w:r>
        <w:rPr>
          <w:sz w:val="20"/>
          <w:szCs w:val="20"/>
          <w:lang w:val="en-US"/>
        </w:rPr>
        <w:t xml:space="preserve">One of them died before follow-up. </w:t>
      </w:r>
    </w:p>
    <w:p w:rsidR="002E698B" w:rsidRPr="00A62C65" w:rsidRDefault="002E698B" w:rsidP="002E698B">
      <w:pPr>
        <w:spacing w:after="0" w:line="240" w:lineRule="auto"/>
        <w:ind w:left="-851" w:right="2946"/>
        <w:rPr>
          <w:sz w:val="20"/>
          <w:szCs w:val="20"/>
          <w:lang w:val="en-US"/>
        </w:rPr>
      </w:pPr>
      <w:r>
        <w:rPr>
          <w:sz w:val="20"/>
          <w:szCs w:val="20"/>
          <w:lang w:val="en-US"/>
        </w:rPr>
        <w:t xml:space="preserve">2) Patients, </w:t>
      </w:r>
      <w:r w:rsidRPr="00A62C65">
        <w:rPr>
          <w:sz w:val="20"/>
          <w:szCs w:val="20"/>
          <w:lang w:val="en-US"/>
        </w:rPr>
        <w:t xml:space="preserve">who </w:t>
      </w:r>
      <w:r>
        <w:rPr>
          <w:sz w:val="20"/>
          <w:szCs w:val="20"/>
          <w:lang w:val="en-US"/>
        </w:rPr>
        <w:t>did not remit from the</w:t>
      </w:r>
      <w:r w:rsidRPr="00A62C65">
        <w:rPr>
          <w:sz w:val="20"/>
          <w:szCs w:val="20"/>
          <w:lang w:val="en-US"/>
        </w:rPr>
        <w:t xml:space="preserve"> first depressive episode</w:t>
      </w:r>
      <w:r>
        <w:rPr>
          <w:sz w:val="20"/>
          <w:szCs w:val="20"/>
          <w:lang w:val="en-US"/>
        </w:rPr>
        <w:t xml:space="preserve"> during the follow-up period.</w:t>
      </w:r>
    </w:p>
    <w:p w:rsidR="002E698B" w:rsidRPr="00A62C65" w:rsidRDefault="002E698B" w:rsidP="002E698B">
      <w:pPr>
        <w:spacing w:after="0" w:line="240" w:lineRule="auto"/>
        <w:ind w:left="-851" w:right="2946"/>
        <w:rPr>
          <w:sz w:val="20"/>
          <w:szCs w:val="20"/>
          <w:lang w:val="en-US"/>
        </w:rPr>
      </w:pPr>
      <w:r>
        <w:rPr>
          <w:sz w:val="20"/>
          <w:szCs w:val="20"/>
          <w:lang w:val="en-US"/>
        </w:rPr>
        <w:t xml:space="preserve">3) Patients, who obtained remission in the interval between </w:t>
      </w:r>
      <w:r w:rsidRPr="00A62C65">
        <w:rPr>
          <w:sz w:val="20"/>
          <w:szCs w:val="20"/>
          <w:lang w:val="en-US"/>
        </w:rPr>
        <w:t>discharge and baseline assessment</w:t>
      </w:r>
      <w:r>
        <w:rPr>
          <w:sz w:val="20"/>
          <w:szCs w:val="20"/>
          <w:lang w:val="en-US"/>
        </w:rPr>
        <w:t xml:space="preserve"> and who later had recurrence of depression, are interval censored.</w:t>
      </w:r>
    </w:p>
    <w:p w:rsidR="002E698B" w:rsidRPr="00A62C65" w:rsidRDefault="002E698B" w:rsidP="002E698B">
      <w:pPr>
        <w:spacing w:after="0" w:line="240" w:lineRule="auto"/>
        <w:ind w:left="-851" w:right="2946"/>
        <w:rPr>
          <w:sz w:val="20"/>
          <w:szCs w:val="20"/>
          <w:lang w:val="en-US"/>
        </w:rPr>
      </w:pPr>
      <w:r w:rsidRPr="00A62C65">
        <w:rPr>
          <w:sz w:val="20"/>
          <w:szCs w:val="20"/>
          <w:lang w:val="en-US"/>
        </w:rPr>
        <w:t>4) Patients who developed bipolar disorder after the first depressive episode</w:t>
      </w:r>
      <w:r>
        <w:rPr>
          <w:sz w:val="20"/>
          <w:szCs w:val="20"/>
          <w:lang w:val="en-US"/>
        </w:rPr>
        <w:t>.</w:t>
      </w:r>
    </w:p>
    <w:p w:rsidR="002E698B" w:rsidRPr="00FF53DE" w:rsidRDefault="002E698B" w:rsidP="002E698B">
      <w:pPr>
        <w:spacing w:after="0" w:line="240" w:lineRule="auto"/>
        <w:ind w:left="-851" w:right="2663"/>
        <w:rPr>
          <w:lang w:val="en-US"/>
        </w:rPr>
      </w:pPr>
      <w:r w:rsidRPr="00A62C65">
        <w:rPr>
          <w:sz w:val="20"/>
          <w:szCs w:val="20"/>
          <w:lang w:val="en-US"/>
        </w:rPr>
        <w:t>5) In the analyses of time to recurrence, only patients who obtained remission could be included</w:t>
      </w:r>
      <w:r>
        <w:rPr>
          <w:sz w:val="20"/>
          <w:szCs w:val="20"/>
          <w:lang w:val="en-US"/>
        </w:rPr>
        <w:t>.</w:t>
      </w:r>
    </w:p>
    <w:p w:rsidR="002E698B" w:rsidRDefault="002E698B" w:rsidP="002E698B">
      <w:pPr>
        <w:tabs>
          <w:tab w:val="left" w:pos="10773"/>
          <w:tab w:val="left" w:pos="11340"/>
        </w:tabs>
        <w:ind w:right="2804"/>
        <w:rPr>
          <w:rFonts w:cs="Times New Roman"/>
          <w:b/>
          <w:bCs/>
          <w:u w:val="single"/>
          <w:lang w:val="en-US"/>
        </w:rPr>
      </w:pPr>
    </w:p>
    <w:p w:rsidR="002E698B" w:rsidRDefault="002E698B" w:rsidP="002E698B">
      <w:pPr>
        <w:pageBreakBefore/>
        <w:tabs>
          <w:tab w:val="left" w:pos="10773"/>
          <w:tab w:val="left" w:pos="11340"/>
        </w:tabs>
        <w:ind w:right="2804"/>
        <w:rPr>
          <w:rFonts w:cs="Times New Roman"/>
          <w:lang w:val="en-US"/>
        </w:rPr>
      </w:pPr>
      <w:proofErr w:type="gramStart"/>
      <w:r>
        <w:rPr>
          <w:rFonts w:cs="Times New Roman"/>
          <w:lang w:val="en-US"/>
        </w:rPr>
        <w:lastRenderedPageBreak/>
        <w:t>eFig</w:t>
      </w:r>
      <w:proofErr w:type="gramEnd"/>
      <w:r>
        <w:rPr>
          <w:rFonts w:cs="Times New Roman"/>
          <w:lang w:val="en-US"/>
        </w:rPr>
        <w:t xml:space="preserve">. </w:t>
      </w:r>
      <w:proofErr w:type="gramStart"/>
      <w:r>
        <w:rPr>
          <w:rFonts w:cs="Times New Roman"/>
          <w:lang w:val="en-US"/>
        </w:rPr>
        <w:t>1A. Cumulative incidence of remission after onset of the first lifetime episode depression among patients with (green) and without (blue) a comorbid anxiety disorder.</w:t>
      </w:r>
      <w:proofErr w:type="gramEnd"/>
      <w:r>
        <w:rPr>
          <w:rFonts w:cs="Times New Roman"/>
          <w:lang w:val="en-US"/>
        </w:rPr>
        <w:t xml:space="preserve"> N=301.</w:t>
      </w:r>
    </w:p>
    <w:p w:rsidR="002E698B" w:rsidRDefault="002E698B" w:rsidP="002E698B">
      <w:pPr>
        <w:tabs>
          <w:tab w:val="left" w:pos="10773"/>
          <w:tab w:val="left" w:pos="11340"/>
        </w:tabs>
        <w:ind w:right="2804"/>
        <w:rPr>
          <w:rFonts w:cs="Times New Roman"/>
          <w:lang w:val="en-US"/>
        </w:rPr>
      </w:pPr>
      <w:r>
        <w:rPr>
          <w:rFonts w:cs="Times New Roman"/>
          <w:noProof/>
          <w:lang w:eastAsia="da-DK"/>
        </w:rPr>
        <w:drawing>
          <wp:inline distT="0" distB="0" distL="0" distR="0" wp14:anchorId="67FF081E" wp14:editId="3DE76348">
            <wp:extent cx="5372100" cy="4762500"/>
            <wp:effectExtent l="0" t="0" r="0" b="0"/>
            <wp:docPr id="4" name="Billed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2100" cy="4762500"/>
                    </a:xfrm>
                    <a:prstGeom prst="rect">
                      <a:avLst/>
                    </a:prstGeom>
                    <a:noFill/>
                    <a:ln>
                      <a:noFill/>
                    </a:ln>
                  </pic:spPr>
                </pic:pic>
              </a:graphicData>
            </a:graphic>
          </wp:inline>
        </w:drawing>
      </w:r>
    </w:p>
    <w:p w:rsidR="002E698B" w:rsidRDefault="002E698B" w:rsidP="002E698B">
      <w:pPr>
        <w:pageBreakBefore/>
        <w:tabs>
          <w:tab w:val="left" w:pos="10773"/>
          <w:tab w:val="left" w:pos="11340"/>
        </w:tabs>
        <w:ind w:right="2804"/>
        <w:rPr>
          <w:rFonts w:cs="Times New Roman"/>
          <w:lang w:val="en-US"/>
        </w:rPr>
      </w:pPr>
      <w:proofErr w:type="gramStart"/>
      <w:r>
        <w:rPr>
          <w:rFonts w:cs="Times New Roman"/>
          <w:lang w:val="en-US"/>
        </w:rPr>
        <w:lastRenderedPageBreak/>
        <w:t>eFig</w:t>
      </w:r>
      <w:proofErr w:type="gramEnd"/>
      <w:r>
        <w:rPr>
          <w:rFonts w:cs="Times New Roman"/>
          <w:lang w:val="en-US"/>
        </w:rPr>
        <w:t>. 1B. Cumulative incidence of remission after onset of the first lifetime episode depression according to age-of-onset (blue: &lt; 30 years, green: 30-60 years, red: &gt; 60 years). N=301.</w:t>
      </w:r>
    </w:p>
    <w:p w:rsidR="002E698B" w:rsidRDefault="002E698B" w:rsidP="002E698B">
      <w:pPr>
        <w:tabs>
          <w:tab w:val="left" w:pos="10773"/>
          <w:tab w:val="left" w:pos="11340"/>
        </w:tabs>
        <w:ind w:right="2804"/>
        <w:rPr>
          <w:rFonts w:cs="Times New Roman"/>
          <w:lang w:val="en-US"/>
        </w:rPr>
      </w:pPr>
      <w:r>
        <w:rPr>
          <w:rFonts w:cs="Times New Roman"/>
          <w:noProof/>
          <w:lang w:eastAsia="da-DK"/>
        </w:rPr>
        <w:drawing>
          <wp:inline distT="0" distB="0" distL="0" distR="0" wp14:anchorId="70D888B6" wp14:editId="3E0199DD">
            <wp:extent cx="5372100" cy="4762500"/>
            <wp:effectExtent l="0" t="0" r="0" b="0"/>
            <wp:docPr id="5" name="Billed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8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4762500"/>
                    </a:xfrm>
                    <a:prstGeom prst="rect">
                      <a:avLst/>
                    </a:prstGeom>
                    <a:noFill/>
                    <a:ln>
                      <a:noFill/>
                    </a:ln>
                  </pic:spPr>
                </pic:pic>
              </a:graphicData>
            </a:graphic>
          </wp:inline>
        </w:drawing>
      </w:r>
    </w:p>
    <w:p w:rsidR="002E698B" w:rsidRDefault="002E698B" w:rsidP="002E698B">
      <w:pPr>
        <w:tabs>
          <w:tab w:val="left" w:pos="10773"/>
          <w:tab w:val="left" w:pos="11340"/>
        </w:tabs>
        <w:ind w:right="2804"/>
        <w:rPr>
          <w:rFonts w:cs="Times New Roman"/>
          <w:lang w:val="en-US"/>
        </w:rPr>
      </w:pPr>
    </w:p>
    <w:p w:rsidR="002E698B" w:rsidRDefault="002E698B" w:rsidP="002E698B">
      <w:pPr>
        <w:tabs>
          <w:tab w:val="left" w:pos="10773"/>
          <w:tab w:val="left" w:pos="11340"/>
        </w:tabs>
        <w:ind w:right="2804"/>
        <w:rPr>
          <w:rFonts w:cs="Times New Roman"/>
          <w:lang w:val="en-US"/>
        </w:rPr>
      </w:pPr>
    </w:p>
    <w:p w:rsidR="002E698B" w:rsidRDefault="002E698B" w:rsidP="002E698B">
      <w:pPr>
        <w:pageBreakBefore/>
        <w:tabs>
          <w:tab w:val="left" w:pos="10773"/>
          <w:tab w:val="left" w:pos="11340"/>
        </w:tabs>
        <w:ind w:right="2804"/>
        <w:rPr>
          <w:rFonts w:cs="Times New Roman"/>
          <w:lang w:val="en-US"/>
        </w:rPr>
      </w:pPr>
      <w:proofErr w:type="gramStart"/>
      <w:r>
        <w:rPr>
          <w:rFonts w:cs="Times New Roman"/>
          <w:lang w:val="en-US"/>
        </w:rPr>
        <w:lastRenderedPageBreak/>
        <w:t>eFig</w:t>
      </w:r>
      <w:proofErr w:type="gramEnd"/>
      <w:r>
        <w:rPr>
          <w:rFonts w:cs="Times New Roman"/>
          <w:lang w:val="en-US"/>
        </w:rPr>
        <w:t>. 1C. Cumulative incidence of remission after onset of the first lifetime episode depression among patients who did (green) or did not (blue) initially show treatment resistance to two or more antidepressant trials. N=301.</w:t>
      </w:r>
    </w:p>
    <w:p w:rsidR="002E698B" w:rsidRDefault="002E698B" w:rsidP="002E698B">
      <w:pPr>
        <w:tabs>
          <w:tab w:val="right" w:pos="540"/>
          <w:tab w:val="left" w:pos="720"/>
          <w:tab w:val="left" w:pos="10773"/>
          <w:tab w:val="left" w:pos="11340"/>
        </w:tabs>
        <w:ind w:left="720" w:right="2804" w:hanging="720"/>
        <w:rPr>
          <w:rFonts w:cs="Times New Roman"/>
          <w:lang w:val="en-US"/>
        </w:rPr>
      </w:pPr>
      <w:r>
        <w:rPr>
          <w:rFonts w:cs="Times New Roman"/>
          <w:noProof/>
          <w:lang w:eastAsia="da-DK"/>
        </w:rPr>
        <w:drawing>
          <wp:inline distT="0" distB="0" distL="0" distR="0" wp14:anchorId="5E7894C4" wp14:editId="52F0091B">
            <wp:extent cx="5372100" cy="4762500"/>
            <wp:effectExtent l="0" t="0" r="0" b="0"/>
            <wp:docPr id="6" name="Billed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2100" cy="4762500"/>
                    </a:xfrm>
                    <a:prstGeom prst="rect">
                      <a:avLst/>
                    </a:prstGeom>
                    <a:noFill/>
                    <a:ln>
                      <a:noFill/>
                    </a:ln>
                  </pic:spPr>
                </pic:pic>
              </a:graphicData>
            </a:graphic>
          </wp:inline>
        </w:drawing>
      </w:r>
    </w:p>
    <w:p w:rsidR="002E698B" w:rsidRDefault="002E698B" w:rsidP="002E698B">
      <w:pPr>
        <w:pageBreakBefore/>
        <w:tabs>
          <w:tab w:val="left" w:pos="10773"/>
          <w:tab w:val="left" w:pos="11340"/>
        </w:tabs>
        <w:ind w:right="2804"/>
        <w:rPr>
          <w:rFonts w:cs="Times New Roman"/>
          <w:lang w:val="en-US"/>
        </w:rPr>
      </w:pPr>
      <w:proofErr w:type="gramStart"/>
      <w:r>
        <w:rPr>
          <w:rFonts w:cs="Times New Roman"/>
          <w:lang w:val="en-US"/>
        </w:rPr>
        <w:lastRenderedPageBreak/>
        <w:t>eFig</w:t>
      </w:r>
      <w:proofErr w:type="gramEnd"/>
      <w:r>
        <w:rPr>
          <w:rFonts w:cs="Times New Roman"/>
          <w:lang w:val="en-US"/>
        </w:rPr>
        <w:t xml:space="preserve">. </w:t>
      </w:r>
      <w:proofErr w:type="gramStart"/>
      <w:r>
        <w:rPr>
          <w:rFonts w:cs="Times New Roman"/>
          <w:lang w:val="en-US"/>
        </w:rPr>
        <w:t>1D. Cumulative incidence of remission after onset of the first lifetime episode depression among patients with (green) and without (blue) suicidal ideations or attempts.</w:t>
      </w:r>
      <w:proofErr w:type="gramEnd"/>
      <w:r>
        <w:rPr>
          <w:rFonts w:cs="Times New Roman"/>
          <w:lang w:val="en-US"/>
        </w:rPr>
        <w:t xml:space="preserve"> N=301.</w:t>
      </w:r>
    </w:p>
    <w:p w:rsidR="002E698B" w:rsidRDefault="002E698B" w:rsidP="002E698B">
      <w:pPr>
        <w:tabs>
          <w:tab w:val="right" w:pos="540"/>
          <w:tab w:val="left" w:pos="720"/>
          <w:tab w:val="left" w:pos="10773"/>
          <w:tab w:val="left" w:pos="11340"/>
        </w:tabs>
        <w:ind w:left="720" w:right="2804" w:hanging="720"/>
        <w:rPr>
          <w:rFonts w:cs="Times New Roman"/>
          <w:lang w:val="en-US"/>
        </w:rPr>
      </w:pPr>
      <w:r>
        <w:rPr>
          <w:rFonts w:cs="Times New Roman"/>
          <w:noProof/>
          <w:lang w:eastAsia="da-DK"/>
        </w:rPr>
        <w:drawing>
          <wp:inline distT="0" distB="0" distL="0" distR="0" wp14:anchorId="5D9A2BD8" wp14:editId="7E90F1E7">
            <wp:extent cx="5372100" cy="4762500"/>
            <wp:effectExtent l="0" t="0" r="0" b="0"/>
            <wp:docPr id="7" name="Billed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2100" cy="4762500"/>
                    </a:xfrm>
                    <a:prstGeom prst="rect">
                      <a:avLst/>
                    </a:prstGeom>
                    <a:noFill/>
                    <a:ln>
                      <a:noFill/>
                    </a:ln>
                  </pic:spPr>
                </pic:pic>
              </a:graphicData>
            </a:graphic>
          </wp:inline>
        </w:drawing>
      </w:r>
    </w:p>
    <w:p w:rsidR="002E698B" w:rsidRDefault="002E698B" w:rsidP="002E698B">
      <w:pPr>
        <w:tabs>
          <w:tab w:val="right" w:pos="540"/>
          <w:tab w:val="left" w:pos="720"/>
          <w:tab w:val="left" w:pos="10773"/>
          <w:tab w:val="left" w:pos="11340"/>
        </w:tabs>
        <w:ind w:left="720" w:right="2804" w:hanging="720"/>
        <w:rPr>
          <w:rFonts w:cs="Times New Roman"/>
          <w:lang w:val="en-US"/>
        </w:rPr>
      </w:pPr>
    </w:p>
    <w:p w:rsidR="002E698B" w:rsidRDefault="002E698B" w:rsidP="002E698B">
      <w:pPr>
        <w:tabs>
          <w:tab w:val="right" w:pos="540"/>
          <w:tab w:val="left" w:pos="720"/>
          <w:tab w:val="left" w:pos="10773"/>
          <w:tab w:val="left" w:pos="11340"/>
        </w:tabs>
        <w:ind w:left="720" w:right="2804" w:hanging="720"/>
        <w:rPr>
          <w:rFonts w:cs="Times New Roman"/>
          <w:lang w:val="en-US"/>
        </w:rPr>
      </w:pPr>
    </w:p>
    <w:p w:rsidR="002E698B" w:rsidRDefault="002E698B" w:rsidP="002E698B">
      <w:pPr>
        <w:pStyle w:val="Overskrift6"/>
        <w:keepLines/>
        <w:tabs>
          <w:tab w:val="left" w:pos="10773"/>
          <w:tab w:val="left" w:pos="11340"/>
        </w:tabs>
        <w:ind w:right="2804"/>
        <w:rPr>
          <w:rFonts w:cs="Times New Roman"/>
          <w:color w:val="C0504D"/>
        </w:rPr>
      </w:pPr>
      <w:proofErr w:type="gramStart"/>
      <w:r>
        <w:rPr>
          <w:rFonts w:cs="Times New Roman"/>
        </w:rPr>
        <w:lastRenderedPageBreak/>
        <w:t>eFig</w:t>
      </w:r>
      <w:proofErr w:type="gramEnd"/>
      <w:r>
        <w:rPr>
          <w:rFonts w:cs="Times New Roman"/>
        </w:rPr>
        <w:t xml:space="preserve">. </w:t>
      </w:r>
      <w:proofErr w:type="gramStart"/>
      <w:r>
        <w:rPr>
          <w:rFonts w:cs="Times New Roman"/>
        </w:rPr>
        <w:t>2A. Cumulative incidence of recurrence after remission of the first lifetime episode of a mild (blue), moderate (green), and severe (red) single depressive episode, respectively.</w:t>
      </w:r>
      <w:proofErr w:type="gramEnd"/>
      <w:r>
        <w:rPr>
          <w:rFonts w:cs="Times New Roman"/>
        </w:rPr>
        <w:t xml:space="preserve"> N=246.</w:t>
      </w:r>
    </w:p>
    <w:p w:rsidR="002E698B" w:rsidRDefault="002E698B" w:rsidP="002E698B">
      <w:pPr>
        <w:pStyle w:val="Overskrift6"/>
        <w:pageBreakBefore w:val="0"/>
        <w:tabs>
          <w:tab w:val="left" w:pos="10773"/>
          <w:tab w:val="left" w:pos="11340"/>
        </w:tabs>
        <w:ind w:right="2804"/>
        <w:rPr>
          <w:rFonts w:cs="Times New Roman"/>
        </w:rPr>
      </w:pPr>
    </w:p>
    <w:p w:rsidR="002E698B" w:rsidRDefault="002E698B" w:rsidP="002E698B">
      <w:pPr>
        <w:tabs>
          <w:tab w:val="left" w:pos="10773"/>
          <w:tab w:val="left" w:pos="11340"/>
        </w:tabs>
        <w:ind w:right="2804"/>
        <w:rPr>
          <w:rFonts w:cs="Times New Roman"/>
          <w:lang w:val="en-US"/>
        </w:rPr>
      </w:pPr>
      <w:r w:rsidRPr="00AE320A">
        <w:rPr>
          <w:rFonts w:cs="Times New Roman"/>
          <w:noProof/>
          <w:lang w:eastAsia="da-DK"/>
        </w:rPr>
        <w:drawing>
          <wp:inline distT="0" distB="0" distL="0" distR="0" wp14:anchorId="199D3577" wp14:editId="3F18C429">
            <wp:extent cx="5372100" cy="4762500"/>
            <wp:effectExtent l="0" t="0" r="0" b="0"/>
            <wp:docPr id="17" name="Bille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372100" cy="4762500"/>
                    </a:xfrm>
                    <a:prstGeom prst="rect">
                      <a:avLst/>
                    </a:prstGeom>
                  </pic:spPr>
                </pic:pic>
              </a:graphicData>
            </a:graphic>
          </wp:inline>
        </w:drawing>
      </w:r>
    </w:p>
    <w:p w:rsidR="002E698B" w:rsidRDefault="002E698B" w:rsidP="002E698B">
      <w:pPr>
        <w:pStyle w:val="Overskrift6"/>
        <w:keepLines/>
        <w:tabs>
          <w:tab w:val="left" w:pos="10773"/>
          <w:tab w:val="left" w:pos="11340"/>
        </w:tabs>
        <w:ind w:right="2804"/>
        <w:rPr>
          <w:rFonts w:cs="Times New Roman"/>
          <w:lang w:val="da-DK"/>
        </w:rPr>
      </w:pPr>
      <w:proofErr w:type="gramStart"/>
      <w:r>
        <w:rPr>
          <w:rFonts w:cs="Times New Roman"/>
        </w:rPr>
        <w:lastRenderedPageBreak/>
        <w:t>eFig</w:t>
      </w:r>
      <w:proofErr w:type="gramEnd"/>
      <w:r>
        <w:rPr>
          <w:rFonts w:cs="Times New Roman"/>
        </w:rPr>
        <w:t xml:space="preserve">. 2B. Cumulative incidence of recurrence after remission of the first lifetime episode depression among patients who did (green) or did not (blue) initially show treatment resistance to two or more antidepressant trials. </w:t>
      </w:r>
      <w:r>
        <w:rPr>
          <w:rFonts w:cs="Times New Roman"/>
          <w:lang w:val="da-DK"/>
        </w:rPr>
        <w:t>N=246.</w:t>
      </w:r>
    </w:p>
    <w:p w:rsidR="002E698B" w:rsidRDefault="002E698B" w:rsidP="002E698B">
      <w:pPr>
        <w:pStyle w:val="Overskrift6"/>
        <w:pageBreakBefore w:val="0"/>
        <w:tabs>
          <w:tab w:val="left" w:pos="10773"/>
          <w:tab w:val="left" w:pos="11340"/>
        </w:tabs>
        <w:ind w:right="2804"/>
        <w:rPr>
          <w:rFonts w:cs="Times New Roman"/>
          <w:lang w:val="da-DK"/>
        </w:rPr>
      </w:pPr>
    </w:p>
    <w:p w:rsidR="002E698B" w:rsidRDefault="002E698B" w:rsidP="002E698B">
      <w:pPr>
        <w:tabs>
          <w:tab w:val="left" w:pos="10773"/>
          <w:tab w:val="left" w:pos="11340"/>
        </w:tabs>
        <w:ind w:right="2804"/>
        <w:rPr>
          <w:rFonts w:cs="Times New Roman"/>
          <w:lang w:val="en-US"/>
        </w:rPr>
      </w:pPr>
      <w:r w:rsidRPr="00AE320A">
        <w:rPr>
          <w:rFonts w:cs="Times New Roman"/>
          <w:noProof/>
          <w:lang w:eastAsia="da-DK"/>
        </w:rPr>
        <w:drawing>
          <wp:inline distT="0" distB="0" distL="0" distR="0" wp14:anchorId="342A3FFF" wp14:editId="53E5F114">
            <wp:extent cx="5372100" cy="4762500"/>
            <wp:effectExtent l="0" t="0" r="0" b="0"/>
            <wp:docPr id="18" name="Bille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372100" cy="4762500"/>
                    </a:xfrm>
                    <a:prstGeom prst="rect">
                      <a:avLst/>
                    </a:prstGeom>
                  </pic:spPr>
                </pic:pic>
              </a:graphicData>
            </a:graphic>
          </wp:inline>
        </w:drawing>
      </w:r>
    </w:p>
    <w:p w:rsidR="002E698B" w:rsidRDefault="002E698B" w:rsidP="002E698B">
      <w:pPr>
        <w:tabs>
          <w:tab w:val="left" w:pos="10773"/>
          <w:tab w:val="left" w:pos="11340"/>
        </w:tabs>
        <w:ind w:right="2804"/>
        <w:rPr>
          <w:rFonts w:cs="Times New Roman"/>
          <w:lang w:val="en-US"/>
        </w:rPr>
      </w:pPr>
    </w:p>
    <w:p w:rsidR="002E698B" w:rsidRDefault="002E698B" w:rsidP="002E698B">
      <w:pPr>
        <w:tabs>
          <w:tab w:val="left" w:pos="10773"/>
          <w:tab w:val="left" w:pos="11340"/>
        </w:tabs>
        <w:ind w:right="2804"/>
        <w:rPr>
          <w:rFonts w:cs="Times New Roman"/>
          <w:lang w:val="en-US"/>
        </w:rPr>
      </w:pPr>
    </w:p>
    <w:p w:rsidR="002E698B" w:rsidRDefault="002E698B" w:rsidP="002E698B">
      <w:pPr>
        <w:tabs>
          <w:tab w:val="left" w:pos="10773"/>
          <w:tab w:val="left" w:pos="11340"/>
        </w:tabs>
        <w:ind w:right="2804"/>
        <w:rPr>
          <w:rFonts w:cs="Times New Roman"/>
        </w:rPr>
      </w:pPr>
      <w:proofErr w:type="gramStart"/>
      <w:r w:rsidRPr="000D48AD">
        <w:rPr>
          <w:rFonts w:cs="Times New Roman"/>
          <w:lang w:val="en-US"/>
        </w:rPr>
        <w:lastRenderedPageBreak/>
        <w:t>eFig</w:t>
      </w:r>
      <w:proofErr w:type="gramEnd"/>
      <w:r w:rsidRPr="000D48AD">
        <w:rPr>
          <w:rFonts w:cs="Times New Roman"/>
          <w:lang w:val="en-US"/>
        </w:rPr>
        <w:t xml:space="preserve"> 3A. Cumulative incidence of conversion to bipolar disorder after discharge with a diagnosis of first lifetime episode depression among patients who did (green) or did not (blue) initially show treatment resistance to two or more antidepressant trials. </w:t>
      </w:r>
      <w:r>
        <w:rPr>
          <w:rFonts w:cs="Times New Roman"/>
        </w:rPr>
        <w:t>N=301.</w:t>
      </w:r>
    </w:p>
    <w:p w:rsidR="002E698B" w:rsidRDefault="002E698B" w:rsidP="002E698B">
      <w:pPr>
        <w:tabs>
          <w:tab w:val="left" w:pos="10773"/>
          <w:tab w:val="left" w:pos="11340"/>
        </w:tabs>
        <w:ind w:right="2804"/>
        <w:rPr>
          <w:rFonts w:cs="Times New Roman"/>
          <w:lang w:val="en-US"/>
        </w:rPr>
      </w:pPr>
      <w:r>
        <w:rPr>
          <w:rFonts w:cs="Times New Roman"/>
          <w:noProof/>
          <w:lang w:eastAsia="da-DK"/>
        </w:rPr>
        <w:drawing>
          <wp:inline distT="0" distB="0" distL="0" distR="0" wp14:anchorId="375E6522" wp14:editId="3B5A8D2A">
            <wp:extent cx="5372100" cy="4762500"/>
            <wp:effectExtent l="0" t="0" r="0" b="0"/>
            <wp:docPr id="10" name="Billed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72100" cy="4762500"/>
                    </a:xfrm>
                    <a:prstGeom prst="rect">
                      <a:avLst/>
                    </a:prstGeom>
                    <a:noFill/>
                    <a:ln>
                      <a:noFill/>
                    </a:ln>
                  </pic:spPr>
                </pic:pic>
              </a:graphicData>
            </a:graphic>
          </wp:inline>
        </w:drawing>
      </w:r>
    </w:p>
    <w:p w:rsidR="002E698B" w:rsidRDefault="002E698B" w:rsidP="002E698B">
      <w:pPr>
        <w:keepNext/>
        <w:pageBreakBefore/>
        <w:tabs>
          <w:tab w:val="left" w:pos="10773"/>
          <w:tab w:val="left" w:pos="11340"/>
        </w:tabs>
        <w:ind w:right="2804"/>
        <w:rPr>
          <w:rFonts w:cs="Times New Roman"/>
          <w:lang w:val="en-US"/>
        </w:rPr>
      </w:pPr>
      <w:proofErr w:type="gramStart"/>
      <w:r>
        <w:rPr>
          <w:rFonts w:cs="Times New Roman"/>
          <w:lang w:val="en-US"/>
        </w:rPr>
        <w:lastRenderedPageBreak/>
        <w:t>eFig.3B</w:t>
      </w:r>
      <w:proofErr w:type="gramEnd"/>
      <w:r>
        <w:rPr>
          <w:rFonts w:cs="Times New Roman"/>
          <w:lang w:val="en-US"/>
        </w:rPr>
        <w:t>. Cumulative incidence of conversion to bipolar disorder after discharge with a diagnosis of first lifetime episode depression among patient with (green) and without (blue) a family history of affective disorder in first-degree relatives. N=301.</w:t>
      </w:r>
    </w:p>
    <w:p w:rsidR="002E698B" w:rsidRDefault="002E698B" w:rsidP="002E698B">
      <w:pPr>
        <w:keepNext/>
        <w:tabs>
          <w:tab w:val="left" w:pos="10773"/>
          <w:tab w:val="left" w:pos="11340"/>
        </w:tabs>
        <w:ind w:right="2804"/>
        <w:rPr>
          <w:rFonts w:cs="Times New Roman"/>
          <w:noProof/>
          <w:lang w:val="en-US"/>
        </w:rPr>
      </w:pPr>
      <w:r>
        <w:rPr>
          <w:rFonts w:cs="Times New Roman"/>
          <w:noProof/>
          <w:lang w:eastAsia="da-DK"/>
        </w:rPr>
        <w:drawing>
          <wp:inline distT="0" distB="0" distL="0" distR="0" wp14:anchorId="1BE6467F" wp14:editId="6C2B3F7D">
            <wp:extent cx="5372100" cy="4762500"/>
            <wp:effectExtent l="0" t="0" r="0" b="0"/>
            <wp:docPr id="11" name="Billed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72100" cy="4762500"/>
                    </a:xfrm>
                    <a:prstGeom prst="rect">
                      <a:avLst/>
                    </a:prstGeom>
                    <a:noFill/>
                    <a:ln>
                      <a:noFill/>
                    </a:ln>
                  </pic:spPr>
                </pic:pic>
              </a:graphicData>
            </a:graphic>
          </wp:inline>
        </w:drawing>
      </w:r>
    </w:p>
    <w:p w:rsidR="002E698B" w:rsidRDefault="002E698B" w:rsidP="002E698B">
      <w:pPr>
        <w:keepNext/>
        <w:pageBreakBefore/>
        <w:tabs>
          <w:tab w:val="left" w:pos="10773"/>
          <w:tab w:val="left" w:pos="11340"/>
        </w:tabs>
        <w:ind w:right="2804"/>
        <w:rPr>
          <w:rFonts w:cs="Times New Roman"/>
          <w:lang w:val="en-US"/>
        </w:rPr>
      </w:pPr>
      <w:proofErr w:type="gramStart"/>
      <w:r>
        <w:rPr>
          <w:rFonts w:cs="Times New Roman"/>
          <w:lang w:val="en-US"/>
        </w:rPr>
        <w:lastRenderedPageBreak/>
        <w:t>eFig</w:t>
      </w:r>
      <w:proofErr w:type="gramEnd"/>
      <w:r>
        <w:rPr>
          <w:rFonts w:cs="Times New Roman"/>
          <w:lang w:val="en-US"/>
        </w:rPr>
        <w:t xml:space="preserve">. </w:t>
      </w:r>
      <w:proofErr w:type="gramStart"/>
      <w:r>
        <w:rPr>
          <w:rFonts w:cs="Times New Roman"/>
          <w:lang w:val="en-US"/>
        </w:rPr>
        <w:t>3C. Cumulative incidence of conversion to bipolar disorder after discharge with a diagnosis of first lifetime episode depression among patient with (green) and without (blue) comorbid alcohol or drug abuse.</w:t>
      </w:r>
      <w:proofErr w:type="gramEnd"/>
      <w:r>
        <w:rPr>
          <w:rFonts w:cs="Times New Roman"/>
          <w:lang w:val="en-US"/>
        </w:rPr>
        <w:t xml:space="preserve"> N=301.</w:t>
      </w:r>
    </w:p>
    <w:p w:rsidR="002E698B" w:rsidRDefault="002E698B" w:rsidP="002E698B">
      <w:pPr>
        <w:keepNext/>
        <w:tabs>
          <w:tab w:val="left" w:pos="10773"/>
          <w:tab w:val="left" w:pos="11340"/>
        </w:tabs>
        <w:ind w:right="2804"/>
        <w:rPr>
          <w:rFonts w:cs="Times New Roman"/>
          <w:color w:val="FF0000"/>
          <w:lang w:val="en-US"/>
        </w:rPr>
      </w:pPr>
      <w:r>
        <w:rPr>
          <w:rFonts w:cs="Times New Roman"/>
          <w:noProof/>
          <w:lang w:eastAsia="da-DK"/>
        </w:rPr>
        <w:drawing>
          <wp:inline distT="0" distB="0" distL="0" distR="0" wp14:anchorId="522F97F1" wp14:editId="06E4EA39">
            <wp:extent cx="5372100" cy="4905375"/>
            <wp:effectExtent l="0" t="0" r="0" b="0"/>
            <wp:docPr id="12" name="Billed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72100" cy="4905375"/>
                    </a:xfrm>
                    <a:prstGeom prst="rect">
                      <a:avLst/>
                    </a:prstGeom>
                    <a:noFill/>
                    <a:ln>
                      <a:noFill/>
                    </a:ln>
                  </pic:spPr>
                </pic:pic>
              </a:graphicData>
            </a:graphic>
          </wp:inline>
        </w:drawing>
      </w:r>
    </w:p>
    <w:p w:rsidR="00646C95" w:rsidRDefault="00646C95" w:rsidP="002E698B">
      <w:pPr>
        <w:tabs>
          <w:tab w:val="left" w:pos="10773"/>
          <w:tab w:val="left" w:pos="11340"/>
        </w:tabs>
        <w:ind w:right="2804"/>
      </w:pPr>
    </w:p>
    <w:sectPr w:rsidR="00646C95" w:rsidSect="002E698B">
      <w:pgSz w:w="16838" w:h="11906" w:orient="landscape"/>
      <w:pgMar w:top="1134" w:right="170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98B"/>
    <w:rsid w:val="000D48AD"/>
    <w:rsid w:val="002E698B"/>
    <w:rsid w:val="00646C9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98B"/>
  </w:style>
  <w:style w:type="paragraph" w:styleId="Overskrift6">
    <w:name w:val="heading 6"/>
    <w:basedOn w:val="Normal"/>
    <w:next w:val="Normal"/>
    <w:link w:val="Overskrift6Tegn"/>
    <w:uiPriority w:val="99"/>
    <w:qFormat/>
    <w:rsid w:val="002E698B"/>
    <w:pPr>
      <w:keepNext/>
      <w:pageBreakBefore/>
      <w:spacing w:after="0" w:line="240" w:lineRule="auto"/>
      <w:outlineLvl w:val="5"/>
    </w:pPr>
    <w:rPr>
      <w:rFonts w:ascii="Times New Roman" w:eastAsiaTheme="minorEastAsia" w:hAnsi="Times New Roman"/>
      <w:lang w:val="en-US"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6Tegn">
    <w:name w:val="Overskrift 6 Tegn"/>
    <w:basedOn w:val="Standardskrifttypeiafsnit"/>
    <w:link w:val="Overskrift6"/>
    <w:uiPriority w:val="99"/>
    <w:rsid w:val="002E698B"/>
    <w:rPr>
      <w:rFonts w:ascii="Times New Roman" w:eastAsiaTheme="minorEastAsia" w:hAnsi="Times New Roman"/>
      <w:lang w:val="en-US" w:eastAsia="da-DK"/>
    </w:rPr>
  </w:style>
  <w:style w:type="paragraph" w:styleId="Markeringsbobletekst">
    <w:name w:val="Balloon Text"/>
    <w:basedOn w:val="Normal"/>
    <w:link w:val="MarkeringsbobletekstTegn"/>
    <w:uiPriority w:val="99"/>
    <w:semiHidden/>
    <w:unhideWhenUsed/>
    <w:rsid w:val="002E698B"/>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E698B"/>
    <w:rPr>
      <w:rFonts w:ascii="Tahoma" w:hAnsi="Tahoma" w:cs="Tahoma"/>
      <w:sz w:val="16"/>
      <w:szCs w:val="16"/>
    </w:rPr>
  </w:style>
  <w:style w:type="table" w:styleId="Tabel-Gitter">
    <w:name w:val="Table Grid"/>
    <w:basedOn w:val="Tabel-Normal"/>
    <w:uiPriority w:val="59"/>
    <w:rsid w:val="002E6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98B"/>
  </w:style>
  <w:style w:type="paragraph" w:styleId="Overskrift6">
    <w:name w:val="heading 6"/>
    <w:basedOn w:val="Normal"/>
    <w:next w:val="Normal"/>
    <w:link w:val="Overskrift6Tegn"/>
    <w:uiPriority w:val="99"/>
    <w:qFormat/>
    <w:rsid w:val="002E698B"/>
    <w:pPr>
      <w:keepNext/>
      <w:pageBreakBefore/>
      <w:spacing w:after="0" w:line="240" w:lineRule="auto"/>
      <w:outlineLvl w:val="5"/>
    </w:pPr>
    <w:rPr>
      <w:rFonts w:ascii="Times New Roman" w:eastAsiaTheme="minorEastAsia" w:hAnsi="Times New Roman"/>
      <w:lang w:val="en-US"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6Tegn">
    <w:name w:val="Overskrift 6 Tegn"/>
    <w:basedOn w:val="Standardskrifttypeiafsnit"/>
    <w:link w:val="Overskrift6"/>
    <w:uiPriority w:val="99"/>
    <w:rsid w:val="002E698B"/>
    <w:rPr>
      <w:rFonts w:ascii="Times New Roman" w:eastAsiaTheme="minorEastAsia" w:hAnsi="Times New Roman"/>
      <w:lang w:val="en-US" w:eastAsia="da-DK"/>
    </w:rPr>
  </w:style>
  <w:style w:type="paragraph" w:styleId="Markeringsbobletekst">
    <w:name w:val="Balloon Text"/>
    <w:basedOn w:val="Normal"/>
    <w:link w:val="MarkeringsbobletekstTegn"/>
    <w:uiPriority w:val="99"/>
    <w:semiHidden/>
    <w:unhideWhenUsed/>
    <w:rsid w:val="002E698B"/>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E698B"/>
    <w:rPr>
      <w:rFonts w:ascii="Tahoma" w:hAnsi="Tahoma" w:cs="Tahoma"/>
      <w:sz w:val="16"/>
      <w:szCs w:val="16"/>
    </w:rPr>
  </w:style>
  <w:style w:type="table" w:styleId="Tabel-Gitter">
    <w:name w:val="Table Grid"/>
    <w:basedOn w:val="Tabel-Normal"/>
    <w:uiPriority w:val="59"/>
    <w:rsid w:val="002E6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500</Words>
  <Characters>3052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Region Hovedstaden</Company>
  <LinksUpToDate>false</LinksUpToDate>
  <CharactersWithSpaces>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Otto Drachmann Bukh</dc:creator>
  <cp:keywords/>
  <dc:description/>
  <cp:lastModifiedBy>Jens Otto Drachmann Bukh</cp:lastModifiedBy>
  <cp:revision>2</cp:revision>
  <dcterms:created xsi:type="dcterms:W3CDTF">2015-01-27T13:22:00Z</dcterms:created>
  <dcterms:modified xsi:type="dcterms:W3CDTF">2015-09-01T12:59:00Z</dcterms:modified>
</cp:coreProperties>
</file>