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BB" w:rsidRPr="00543460" w:rsidRDefault="00543460" w:rsidP="00766EEA">
      <w:pPr>
        <w:spacing w:after="0" w:line="360" w:lineRule="auto"/>
        <w:contextualSpacing/>
        <w:rPr>
          <w:rFonts w:cstheme="minorHAnsi"/>
          <w:sz w:val="28"/>
          <w:szCs w:val="28"/>
        </w:rPr>
      </w:pPr>
      <w:r w:rsidRPr="00543460">
        <w:rPr>
          <w:rFonts w:cstheme="minorHAnsi"/>
          <w:b/>
          <w:sz w:val="28"/>
          <w:szCs w:val="28"/>
        </w:rPr>
        <w:t>SUPPLEMENTARY ONLINE MATERIAL</w:t>
      </w:r>
    </w:p>
    <w:p w:rsidR="00DE34BB" w:rsidRPr="00604D5E" w:rsidRDefault="00DE34BB" w:rsidP="00766EEA">
      <w:pPr>
        <w:spacing w:line="360" w:lineRule="auto"/>
        <w:rPr>
          <w:rFonts w:cstheme="minorHAnsi"/>
        </w:rPr>
      </w:pPr>
    </w:p>
    <w:p w:rsidR="0036332D" w:rsidRPr="00604D5E" w:rsidRDefault="0036332D">
      <w:pPr>
        <w:rPr>
          <w:rFonts w:cstheme="minorHAnsi"/>
        </w:rPr>
      </w:pPr>
      <w:r w:rsidRPr="00604D5E">
        <w:rPr>
          <w:rFonts w:cstheme="minorHAnsi"/>
        </w:rPr>
        <w:br w:type="page"/>
      </w:r>
      <w:bookmarkStart w:id="0" w:name="_GoBack"/>
      <w:bookmarkEnd w:id="0"/>
    </w:p>
    <w:p w:rsidR="00354748" w:rsidRPr="00604D5E" w:rsidRDefault="0036332D" w:rsidP="0036332D">
      <w:pPr>
        <w:spacing w:line="360" w:lineRule="auto"/>
        <w:rPr>
          <w:rFonts w:cstheme="minorHAnsi"/>
          <w:b/>
        </w:rPr>
      </w:pPr>
      <w:r w:rsidRPr="00604D5E">
        <w:rPr>
          <w:rFonts w:cstheme="minorHAnsi"/>
          <w:b/>
        </w:rPr>
        <w:lastRenderedPageBreak/>
        <w:t>Online Supplement 1</w:t>
      </w:r>
      <w:r w:rsidR="00354748" w:rsidRPr="00604D5E">
        <w:rPr>
          <w:rFonts w:cstheme="minorHAnsi"/>
          <w:b/>
        </w:rPr>
        <w:t>: Description of covariate factors</w:t>
      </w:r>
    </w:p>
    <w:p w:rsidR="0036332D" w:rsidRPr="00604D5E" w:rsidRDefault="0036332D" w:rsidP="0036332D">
      <w:pPr>
        <w:spacing w:after="0" w:line="480" w:lineRule="auto"/>
        <w:contextualSpacing/>
        <w:rPr>
          <w:rFonts w:cstheme="minorHAnsi"/>
        </w:rPr>
      </w:pPr>
      <w:r w:rsidRPr="00604D5E">
        <w:rPr>
          <w:rFonts w:eastAsia="Arial Unicode MS" w:cstheme="minorHAnsi"/>
          <w:color w:val="2E2E2E"/>
          <w:shd w:val="clear" w:color="auto" w:fill="FFFFFF"/>
        </w:rPr>
        <w:t xml:space="preserve">A range of factors were </w:t>
      </w:r>
      <w:r w:rsidR="00695256">
        <w:rPr>
          <w:rFonts w:eastAsia="Arial Unicode MS" w:cstheme="minorHAnsi"/>
          <w:color w:val="2E2E2E"/>
          <w:shd w:val="clear" w:color="auto" w:fill="FFFFFF"/>
        </w:rPr>
        <w:t xml:space="preserve">selected from </w:t>
      </w:r>
      <w:r w:rsidRPr="00604D5E">
        <w:rPr>
          <w:rFonts w:eastAsia="Arial Unicode MS" w:cstheme="minorHAnsi"/>
          <w:color w:val="2E2E2E"/>
          <w:shd w:val="clear" w:color="auto" w:fill="FFFFFF"/>
        </w:rPr>
        <w:t xml:space="preserve">the study database to control the associations between adolescent depression and later outcomes at 30 and 35 years for the effects of </w:t>
      </w:r>
      <w:r w:rsidR="00695256">
        <w:rPr>
          <w:rFonts w:eastAsia="Arial Unicode MS" w:cstheme="minorHAnsi"/>
          <w:color w:val="2E2E2E"/>
          <w:shd w:val="clear" w:color="auto" w:fill="FFFFFF"/>
        </w:rPr>
        <w:t xml:space="preserve">social, family and individual context. These measures </w:t>
      </w:r>
      <w:r w:rsidR="00362F71">
        <w:rPr>
          <w:rFonts w:eastAsia="Arial Unicode MS" w:cstheme="minorHAnsi"/>
          <w:color w:val="2E2E2E"/>
          <w:shd w:val="clear" w:color="auto" w:fill="FFFFFF"/>
        </w:rPr>
        <w:t xml:space="preserve">spanned domains of childhood and family adversity; individual characteristics; and comorbid mental health problems in adolescence. The measures were selected on the basis that: (a) they were theoretically relevant predictors of depression in adolescence, </w:t>
      </w:r>
      <w:r w:rsidR="00695256">
        <w:rPr>
          <w:rFonts w:eastAsia="Arial Unicode MS" w:cstheme="minorHAnsi"/>
          <w:color w:val="2E2E2E"/>
          <w:shd w:val="clear" w:color="auto" w:fill="FFFFFF"/>
        </w:rPr>
        <w:t>o</w:t>
      </w:r>
      <w:r w:rsidR="00362F71">
        <w:rPr>
          <w:rFonts w:eastAsia="Arial Unicode MS" w:cstheme="minorHAnsi"/>
          <w:color w:val="2E2E2E"/>
          <w:shd w:val="clear" w:color="auto" w:fill="FFFFFF"/>
        </w:rPr>
        <w:t xml:space="preserve">r factors comorbid with adolescent depression; and (b) they had been linked in previous research with one or more of the adult functional outcomes included in the analysis. </w:t>
      </w:r>
      <w:r w:rsidRPr="00604D5E">
        <w:rPr>
          <w:rFonts w:cstheme="minorHAnsi"/>
        </w:rPr>
        <w:t>These measures were:</w:t>
      </w:r>
    </w:p>
    <w:p w:rsidR="00DC7BA0" w:rsidRPr="00604D5E" w:rsidRDefault="00DC7BA0" w:rsidP="0036332D">
      <w:pPr>
        <w:spacing w:after="0" w:line="480" w:lineRule="auto"/>
        <w:contextualSpacing/>
        <w:rPr>
          <w:rFonts w:cstheme="minorHAnsi"/>
        </w:rPr>
      </w:pPr>
    </w:p>
    <w:p w:rsidR="0036332D" w:rsidRPr="00604D5E" w:rsidRDefault="0036332D" w:rsidP="0036332D">
      <w:pPr>
        <w:spacing w:after="0" w:line="480" w:lineRule="auto"/>
        <w:contextualSpacing/>
        <w:rPr>
          <w:rFonts w:eastAsia="Calibri" w:cstheme="minorHAnsi"/>
          <w:b/>
          <w:i/>
        </w:rPr>
      </w:pPr>
      <w:r w:rsidRPr="00604D5E">
        <w:rPr>
          <w:rFonts w:eastAsia="Calibri" w:cstheme="minorHAnsi"/>
          <w:b/>
          <w:i/>
        </w:rPr>
        <w:t>Family background</w:t>
      </w:r>
      <w:r w:rsidR="008C63C4">
        <w:rPr>
          <w:rFonts w:eastAsia="Calibri" w:cstheme="minorHAnsi"/>
          <w:b/>
          <w:i/>
        </w:rPr>
        <w:t xml:space="preserve"> and functioning</w:t>
      </w:r>
    </w:p>
    <w:p w:rsidR="00242962" w:rsidRDefault="0036332D" w:rsidP="008C63C4">
      <w:pPr>
        <w:spacing w:after="0" w:line="480" w:lineRule="auto"/>
        <w:contextualSpacing/>
        <w:rPr>
          <w:highlight w:val="yellow"/>
        </w:rPr>
      </w:pPr>
      <w:r w:rsidRPr="00604D5E">
        <w:rPr>
          <w:rFonts w:cstheme="minorHAnsi"/>
          <w:i/>
        </w:rPr>
        <w:tab/>
      </w:r>
      <w:r w:rsidRPr="00604D5E">
        <w:rPr>
          <w:rFonts w:cstheme="minorHAnsi"/>
        </w:rPr>
        <w:t xml:space="preserve"> </w:t>
      </w:r>
      <w:r w:rsidR="00242962" w:rsidRPr="006C0CF9">
        <w:rPr>
          <w:i/>
        </w:rPr>
        <w:t>Childhood adversity</w:t>
      </w:r>
      <w:r w:rsidR="00FC78DA" w:rsidRPr="006C0CF9">
        <w:rPr>
          <w:rFonts w:cstheme="minorHAnsi"/>
          <w:i/>
        </w:rPr>
        <w:t>.</w:t>
      </w:r>
      <w:r w:rsidR="00FC78DA" w:rsidRPr="00242962">
        <w:rPr>
          <w:rFonts w:cstheme="minorHAnsi"/>
          <w:i/>
        </w:rPr>
        <w:t xml:space="preserve"> </w:t>
      </w:r>
      <w:r w:rsidR="00FC78DA" w:rsidRPr="00242962">
        <w:t xml:space="preserve">To identify children who had been exposed to high risk family environments, a general index of family adversity was used.  The construction of this index has been described in a previous paper </w:t>
      </w:r>
      <w:r w:rsidR="00242962">
        <w:fldChar w:fldCharType="begin"/>
      </w:r>
      <w:r w:rsidR="00DE3019">
        <w:instrText xml:space="preserve"> ADDIN EN.CITE &lt;EndNote&gt;&lt;Cite&gt;&lt;Author&gt;Fergusson&lt;/Author&gt;&lt;Year&gt;1994&lt;/Year&gt;&lt;RecNum&gt;6&lt;/RecNum&gt;&lt;DisplayText&gt;(Fergusson&lt;style face="italic"&gt; et al.&lt;/style&gt;, 1994)&lt;/DisplayText&gt;&lt;record&gt;&lt;rec-number&gt;6&lt;/rec-number&gt;&lt;foreign-keys&gt;&lt;key app="EN" db-id="vx9et9rw6df0a8e9szqxfwzkzd0vvfpz2vse" timestamp="1393187206"&gt;6&lt;/key&gt;&lt;/foreign-keys&gt;&lt;ref-type name="Journal Article"&gt;17&lt;/ref-type&gt;&lt;contributors&gt;&lt;authors&gt;&lt;author&gt;Fergusson, David M.&lt;/author&gt;&lt;author&gt;Horwood, L. John&lt;/author&gt;&lt;author&gt;Lynskey, Michael T.&lt;/author&gt;&lt;/authors&gt;&lt;/contributors&gt;&lt;titles&gt;&lt;title&gt;The childhoods of multiple problem adolescents: A 15-year longitudinal study&lt;/title&gt;&lt;secondary-title&gt;Journal of Child Psychology and Psychiatry&lt;/secondary-title&gt;&lt;/titles&gt;&lt;periodical&gt;&lt;full-title&gt;Journal of Child Psychology and Psychiatry&lt;/full-title&gt;&lt;/periodical&gt;&lt;pages&gt;1123-1140&lt;/pages&gt;&lt;volume&gt;35&lt;/volume&gt;&lt;number&gt;6&lt;/number&gt;&lt;dates&gt;&lt;year&gt;1994&lt;/year&gt;&lt;/dates&gt;&lt;urls&gt;&lt;/urls&gt;&lt;/record&gt;&lt;/Cite&gt;&lt;/EndNote&gt;</w:instrText>
      </w:r>
      <w:r w:rsidR="00242962">
        <w:fldChar w:fldCharType="separate"/>
      </w:r>
      <w:r w:rsidR="00242962">
        <w:rPr>
          <w:noProof/>
        </w:rPr>
        <w:t>(</w:t>
      </w:r>
      <w:hyperlink w:anchor="_ENREF_7" w:tooltip="Fergusson, 1994 #6" w:history="1">
        <w:r w:rsidR="00631024">
          <w:rPr>
            <w:noProof/>
          </w:rPr>
          <w:t>Fergusson</w:t>
        </w:r>
        <w:r w:rsidR="00631024" w:rsidRPr="00242962">
          <w:rPr>
            <w:i/>
            <w:noProof/>
          </w:rPr>
          <w:t xml:space="preserve"> et al.</w:t>
        </w:r>
        <w:r w:rsidR="00631024">
          <w:rPr>
            <w:noProof/>
          </w:rPr>
          <w:t>, 1994</w:t>
        </w:r>
      </w:hyperlink>
      <w:r w:rsidR="00242962">
        <w:rPr>
          <w:noProof/>
        </w:rPr>
        <w:t>)</w:t>
      </w:r>
      <w:r w:rsidR="00242962">
        <w:fldChar w:fldCharType="end"/>
      </w:r>
      <w:r w:rsidR="00FC78DA" w:rsidRPr="00242962">
        <w:t xml:space="preserve">.  The index was based on a series of 39 </w:t>
      </w:r>
      <w:r w:rsidR="00242962" w:rsidRPr="00242962">
        <w:t>prospectively measured</w:t>
      </w:r>
      <w:r w:rsidR="00FC78DA" w:rsidRPr="00242962">
        <w:t xml:space="preserve"> </w:t>
      </w:r>
      <w:r w:rsidR="006C0CF9">
        <w:t xml:space="preserve">items </w:t>
      </w:r>
      <w:r w:rsidR="00FC78DA" w:rsidRPr="00242962">
        <w:t xml:space="preserve">describing aspects of </w:t>
      </w:r>
      <w:r w:rsidR="002052D6">
        <w:t xml:space="preserve">the cohort member’s </w:t>
      </w:r>
      <w:r w:rsidR="00FC78DA" w:rsidRPr="00242962">
        <w:t xml:space="preserve">family circumstances and </w:t>
      </w:r>
      <w:r w:rsidR="002052D6">
        <w:t>childhood experiences</w:t>
      </w:r>
      <w:r w:rsidR="00FC78DA" w:rsidRPr="00242962">
        <w:t xml:space="preserve"> </w:t>
      </w:r>
      <w:r w:rsidR="00362F71">
        <w:t xml:space="preserve">over the period </w:t>
      </w:r>
      <w:r w:rsidR="002052D6">
        <w:t xml:space="preserve">up </w:t>
      </w:r>
      <w:r w:rsidR="00362F71">
        <w:t xml:space="preserve">to age 15 </w:t>
      </w:r>
      <w:r w:rsidR="00FC78DA" w:rsidRPr="00242962">
        <w:t xml:space="preserve">including: family social and economic disadvantage, </w:t>
      </w:r>
      <w:r w:rsidR="002052D6">
        <w:t xml:space="preserve">early </w:t>
      </w:r>
      <w:r w:rsidR="00FC78DA" w:rsidRPr="00242962">
        <w:t>parent-chil</w:t>
      </w:r>
      <w:r w:rsidR="006C0CF9">
        <w:t>d interaction</w:t>
      </w:r>
      <w:r w:rsidR="002052D6">
        <w:t xml:space="preserve"> and childhood experiences</w:t>
      </w:r>
      <w:r w:rsidR="00FC78DA" w:rsidRPr="00242962">
        <w:t xml:space="preserve">, </w:t>
      </w:r>
      <w:r w:rsidR="002052D6">
        <w:t xml:space="preserve">family instability, </w:t>
      </w:r>
      <w:r w:rsidR="00FC78DA" w:rsidRPr="00242962">
        <w:t>marital conflict</w:t>
      </w:r>
      <w:r w:rsidR="002052D6">
        <w:t>, changes of residence and changes of school,</w:t>
      </w:r>
      <w:r w:rsidR="00FC78DA" w:rsidRPr="00242962">
        <w:t xml:space="preserve"> and </w:t>
      </w:r>
      <w:r w:rsidR="002052D6">
        <w:t>related experiences</w:t>
      </w:r>
      <w:r w:rsidR="00FC78DA" w:rsidRPr="00242962">
        <w:t xml:space="preserve">.  </w:t>
      </w:r>
      <w:r w:rsidR="002052D6">
        <w:t xml:space="preserve">The 39 dichotomous items were summed to create an adversity index. Adversity scores ranged from 0-19, </w:t>
      </w:r>
      <w:r w:rsidR="0013692A">
        <w:t xml:space="preserve">giving a mean </w:t>
      </w:r>
      <w:r w:rsidR="0013692A">
        <w:rPr>
          <w:rFonts w:cstheme="minorHAnsi"/>
        </w:rPr>
        <w:t>and standard deviation of mean=</w:t>
      </w:r>
      <w:r w:rsidR="0013692A">
        <w:t xml:space="preserve">7.4; </w:t>
      </w:r>
      <w:r w:rsidR="0064005E">
        <w:t>S</w:t>
      </w:r>
      <w:r w:rsidR="00DF6465">
        <w:t>.</w:t>
      </w:r>
      <w:r w:rsidR="0064005E">
        <w:t>D</w:t>
      </w:r>
      <w:proofErr w:type="gramStart"/>
      <w:r w:rsidR="00DF6465">
        <w:t>.</w:t>
      </w:r>
      <w:r w:rsidR="0013692A">
        <w:t>=</w:t>
      </w:r>
      <w:proofErr w:type="gramEnd"/>
      <w:r w:rsidR="0064005E">
        <w:t>5.3.</w:t>
      </w:r>
    </w:p>
    <w:p w:rsidR="0036332D" w:rsidRDefault="0036332D" w:rsidP="0036332D">
      <w:pPr>
        <w:spacing w:line="480" w:lineRule="auto"/>
        <w:contextualSpacing/>
        <w:rPr>
          <w:rFonts w:cstheme="minorHAnsi"/>
        </w:rPr>
      </w:pPr>
      <w:r w:rsidRPr="00604D5E">
        <w:rPr>
          <w:rFonts w:cstheme="minorHAnsi"/>
          <w:bCs/>
          <w:i/>
        </w:rPr>
        <w:tab/>
        <w:t xml:space="preserve">Parental adjustment problems. </w:t>
      </w:r>
      <w:r w:rsidRPr="00604D5E">
        <w:rPr>
          <w:rFonts w:cstheme="minorHAnsi"/>
        </w:rPr>
        <w:t>When cohort members were aged 11, parent(s) were questioned about their history of illicit drug use. At the age 15 assessment, parent(s) were further questioned regarding whether any parent had</w:t>
      </w:r>
      <w:r w:rsidR="00590597">
        <w:rPr>
          <w:rFonts w:cstheme="minorHAnsi"/>
        </w:rPr>
        <w:t xml:space="preserve"> a history of alcohol problems</w:t>
      </w:r>
      <w:r w:rsidR="002052D6">
        <w:rPr>
          <w:rFonts w:cstheme="minorHAnsi"/>
        </w:rPr>
        <w:t xml:space="preserve">, criminal offending </w:t>
      </w:r>
      <w:r w:rsidR="00590597">
        <w:rPr>
          <w:rFonts w:cstheme="minorHAnsi"/>
        </w:rPr>
        <w:t xml:space="preserve">or </w:t>
      </w:r>
      <w:r w:rsidR="002052D6">
        <w:rPr>
          <w:rFonts w:cstheme="minorHAnsi"/>
        </w:rPr>
        <w:t>a history of depr</w:t>
      </w:r>
      <w:r w:rsidR="001B0A76">
        <w:rPr>
          <w:rFonts w:cstheme="minorHAnsi"/>
        </w:rPr>
        <w:t>ession/anxiety/suicidal behavio</w:t>
      </w:r>
      <w:r w:rsidR="002052D6">
        <w:rPr>
          <w:rFonts w:cstheme="minorHAnsi"/>
        </w:rPr>
        <w:t xml:space="preserve">rs. </w:t>
      </w:r>
      <w:r w:rsidRPr="00604D5E">
        <w:rPr>
          <w:rFonts w:cstheme="minorHAnsi"/>
        </w:rPr>
        <w:t xml:space="preserve">From this information four dichotomous variables were constructed representing whether or not the cohort members’ parent(s) reported a history of these adjustment problems. </w:t>
      </w:r>
      <w:r w:rsidR="008C63C4">
        <w:rPr>
          <w:rFonts w:cstheme="minorHAnsi"/>
        </w:rPr>
        <w:t xml:space="preserve">For the purposes </w:t>
      </w:r>
      <w:r w:rsidR="00590597">
        <w:rPr>
          <w:rFonts w:cstheme="minorHAnsi"/>
        </w:rPr>
        <w:t xml:space="preserve">of the current study, these </w:t>
      </w:r>
      <w:r w:rsidR="008C63C4">
        <w:rPr>
          <w:rFonts w:cstheme="minorHAnsi"/>
        </w:rPr>
        <w:t xml:space="preserve">variables were summed to create a </w:t>
      </w:r>
      <w:r w:rsidR="00076939">
        <w:rPr>
          <w:rFonts w:cstheme="minorHAnsi"/>
        </w:rPr>
        <w:t xml:space="preserve">count measure of the number of </w:t>
      </w:r>
      <w:r w:rsidR="008C63C4">
        <w:rPr>
          <w:rFonts w:cstheme="minorHAnsi"/>
        </w:rPr>
        <w:t>parental adjustment problems</w:t>
      </w:r>
      <w:r w:rsidR="00076939">
        <w:rPr>
          <w:rFonts w:cstheme="minorHAnsi"/>
        </w:rPr>
        <w:t xml:space="preserve">: 68.9% of parents were </w:t>
      </w:r>
      <w:r w:rsidR="00076939">
        <w:rPr>
          <w:rFonts w:cstheme="minorHAnsi"/>
        </w:rPr>
        <w:lastRenderedPageBreak/>
        <w:t>reported to have no</w:t>
      </w:r>
      <w:r w:rsidR="006C0CF9">
        <w:rPr>
          <w:rFonts w:cstheme="minorHAnsi"/>
        </w:rPr>
        <w:t xml:space="preserve"> adjustment problems</w:t>
      </w:r>
      <w:r w:rsidR="00076939">
        <w:rPr>
          <w:rFonts w:cstheme="minorHAnsi"/>
        </w:rPr>
        <w:t>; 26.4% to hav</w:t>
      </w:r>
      <w:r w:rsidR="006A5570">
        <w:rPr>
          <w:rFonts w:cstheme="minorHAnsi"/>
        </w:rPr>
        <w:t>e one problem and 4.7% to have two</w:t>
      </w:r>
      <w:r w:rsidR="00076939">
        <w:rPr>
          <w:rFonts w:cstheme="minorHAnsi"/>
        </w:rPr>
        <w:t xml:space="preserve"> or more problems. </w:t>
      </w:r>
    </w:p>
    <w:p w:rsidR="00695256" w:rsidRPr="00604D5E" w:rsidRDefault="002536DE" w:rsidP="00695256">
      <w:pPr>
        <w:spacing w:line="480" w:lineRule="auto"/>
        <w:ind w:firstLine="720"/>
        <w:contextualSpacing/>
        <w:rPr>
          <w:rFonts w:cstheme="minorHAnsi"/>
        </w:rPr>
      </w:pPr>
      <w:r>
        <w:rPr>
          <w:rFonts w:cstheme="minorHAnsi"/>
        </w:rPr>
        <w:t xml:space="preserve"> </w:t>
      </w:r>
      <w:r w:rsidR="00695256" w:rsidRPr="002536DE">
        <w:rPr>
          <w:rFonts w:cstheme="minorHAnsi"/>
          <w:i/>
        </w:rPr>
        <w:t xml:space="preserve">Childhood maltreatment (&lt;16 years). </w:t>
      </w:r>
      <w:r w:rsidR="00695256" w:rsidRPr="00604D5E">
        <w:rPr>
          <w:rFonts w:cstheme="minorHAnsi"/>
        </w:rPr>
        <w:t xml:space="preserve">At ages 18 and 21, cohort members reported on the extent to which their parents used physical punishment/maltreatment during their childhood </w:t>
      </w:r>
      <w:r w:rsidR="00695256">
        <w:rPr>
          <w:rFonts w:cstheme="minorHAnsi"/>
        </w:rPr>
        <w:t xml:space="preserve">and </w:t>
      </w:r>
      <w:r w:rsidR="00695256" w:rsidRPr="00604D5E">
        <w:rPr>
          <w:rFonts w:cstheme="minorHAnsi"/>
        </w:rPr>
        <w:t>exposure to any forms of childhood sexual abuse (prior to age 16 years).</w:t>
      </w:r>
      <w:r w:rsidR="00695256">
        <w:rPr>
          <w:rFonts w:cstheme="minorHAnsi"/>
        </w:rPr>
        <w:t xml:space="preserve"> For childhood physical punishment, </w:t>
      </w:r>
      <w:r w:rsidR="00695256" w:rsidRPr="00604D5E">
        <w:rPr>
          <w:rFonts w:cstheme="minorHAnsi"/>
        </w:rPr>
        <w:t>cohort members reported on the extent to which their parents used physical punishment/maltreatment during their childhood.</w:t>
      </w:r>
      <w:r w:rsidR="0050366D">
        <w:rPr>
          <w:rFonts w:cstheme="minorHAnsi"/>
        </w:rPr>
        <w:t xml:space="preserve"> Separate ratings were obtained for each parent.</w:t>
      </w:r>
      <w:r w:rsidR="00695256" w:rsidRPr="00604D5E">
        <w:rPr>
          <w:rFonts w:cstheme="minorHAnsi"/>
        </w:rPr>
        <w:t xml:space="preserve"> These ratings were then combined into a single 4-point scale of parental physical punishment/maltreatment, based on the most severe rating</w:t>
      </w:r>
      <w:r w:rsidR="00F72690">
        <w:rPr>
          <w:rFonts w:cstheme="minorHAnsi"/>
        </w:rPr>
        <w:t xml:space="preserve"> for either parent</w:t>
      </w:r>
      <w:r w:rsidR="00695256" w:rsidRPr="00604D5E">
        <w:rPr>
          <w:rFonts w:cstheme="minorHAnsi"/>
        </w:rPr>
        <w:t xml:space="preserve"> at either the 18- or 21-year interview: </w:t>
      </w:r>
      <w:r w:rsidR="00A77EC8">
        <w:rPr>
          <w:rFonts w:cstheme="minorHAnsi"/>
        </w:rPr>
        <w:t xml:space="preserve">(0) </w:t>
      </w:r>
      <w:r w:rsidR="00695256" w:rsidRPr="00604D5E">
        <w:rPr>
          <w:rFonts w:cstheme="minorHAnsi"/>
        </w:rPr>
        <w:t>parents never used physical punishment</w:t>
      </w:r>
      <w:r w:rsidR="00880626">
        <w:rPr>
          <w:rFonts w:cstheme="minorHAnsi"/>
        </w:rPr>
        <w:t xml:space="preserve"> (</w:t>
      </w:r>
      <w:r w:rsidR="00A77EC8">
        <w:rPr>
          <w:rFonts w:cstheme="minorHAnsi"/>
        </w:rPr>
        <w:t>4.4</w:t>
      </w:r>
      <w:r w:rsidR="00880626">
        <w:rPr>
          <w:rFonts w:cstheme="minorHAnsi"/>
        </w:rPr>
        <w:t>%)</w:t>
      </w:r>
      <w:r w:rsidR="00695256" w:rsidRPr="00604D5E">
        <w:rPr>
          <w:rFonts w:cstheme="minorHAnsi"/>
        </w:rPr>
        <w:t xml:space="preserve">; </w:t>
      </w:r>
      <w:r w:rsidR="00A77EC8">
        <w:rPr>
          <w:rFonts w:cstheme="minorHAnsi"/>
        </w:rPr>
        <w:t xml:space="preserve">(1) </w:t>
      </w:r>
      <w:r w:rsidR="00695256" w:rsidRPr="00604D5E">
        <w:rPr>
          <w:rFonts w:cstheme="minorHAnsi"/>
        </w:rPr>
        <w:t>parents seldom used physical punishment</w:t>
      </w:r>
      <w:r w:rsidR="00880626">
        <w:rPr>
          <w:rFonts w:cstheme="minorHAnsi"/>
        </w:rPr>
        <w:t xml:space="preserve"> (</w:t>
      </w:r>
      <w:r w:rsidR="00A77EC8">
        <w:rPr>
          <w:rFonts w:cstheme="minorHAnsi"/>
        </w:rPr>
        <w:t>77.9</w:t>
      </w:r>
      <w:r w:rsidR="00880626">
        <w:rPr>
          <w:rFonts w:cstheme="minorHAnsi"/>
        </w:rPr>
        <w:t>%)</w:t>
      </w:r>
      <w:r w:rsidR="00695256" w:rsidRPr="00604D5E">
        <w:rPr>
          <w:rFonts w:cstheme="minorHAnsi"/>
        </w:rPr>
        <w:t xml:space="preserve">; </w:t>
      </w:r>
      <w:r w:rsidR="00A77EC8">
        <w:rPr>
          <w:rFonts w:cstheme="minorHAnsi"/>
        </w:rPr>
        <w:t xml:space="preserve">(2) </w:t>
      </w:r>
      <w:r w:rsidR="00695256" w:rsidRPr="00604D5E">
        <w:rPr>
          <w:rFonts w:cstheme="minorHAnsi"/>
        </w:rPr>
        <w:t>at least one parent regularly used physical punishment</w:t>
      </w:r>
      <w:r w:rsidR="00880626">
        <w:rPr>
          <w:rFonts w:cstheme="minorHAnsi"/>
        </w:rPr>
        <w:t xml:space="preserve"> (</w:t>
      </w:r>
      <w:r w:rsidR="00A77EC8">
        <w:rPr>
          <w:rFonts w:cstheme="minorHAnsi"/>
        </w:rPr>
        <w:t>11.7</w:t>
      </w:r>
      <w:r w:rsidR="00880626">
        <w:rPr>
          <w:rFonts w:cstheme="minorHAnsi"/>
        </w:rPr>
        <w:t>%)</w:t>
      </w:r>
      <w:r w:rsidR="00695256" w:rsidRPr="00604D5E">
        <w:rPr>
          <w:rFonts w:cstheme="minorHAnsi"/>
        </w:rPr>
        <w:t xml:space="preserve">; </w:t>
      </w:r>
      <w:r w:rsidR="00A77EC8">
        <w:rPr>
          <w:rFonts w:cstheme="minorHAnsi"/>
        </w:rPr>
        <w:t xml:space="preserve">(3) </w:t>
      </w:r>
      <w:r w:rsidR="00695256" w:rsidRPr="00604D5E">
        <w:rPr>
          <w:rFonts w:cstheme="minorHAnsi"/>
        </w:rPr>
        <w:t xml:space="preserve">at least one parent used frequent or severe punishment or treated the cohort member in a harsh/abusive manner </w:t>
      </w:r>
      <w:r w:rsidR="00880626">
        <w:rPr>
          <w:rFonts w:cstheme="minorHAnsi"/>
        </w:rPr>
        <w:t>(</w:t>
      </w:r>
      <w:r w:rsidR="00A77EC8">
        <w:rPr>
          <w:rFonts w:cstheme="minorHAnsi"/>
        </w:rPr>
        <w:t>6.0</w:t>
      </w:r>
      <w:r w:rsidR="00880626">
        <w:rPr>
          <w:rFonts w:cstheme="minorHAnsi"/>
        </w:rPr>
        <w:t>%)</w:t>
      </w:r>
      <w:r w:rsidR="00695256" w:rsidRPr="00604D5E">
        <w:rPr>
          <w:rFonts w:cstheme="minorHAnsi"/>
        </w:rPr>
        <w:fldChar w:fldCharType="begin"/>
      </w:r>
      <w:r w:rsidR="001F19B7">
        <w:rPr>
          <w:rFonts w:cstheme="minorHAnsi"/>
        </w:rPr>
        <w:instrText xml:space="preserve"> ADDIN EN.CITE &lt;EndNote&gt;&lt;Cite&gt;&lt;Author&gt;Fergusson&lt;/Author&gt;&lt;Year&gt;1997&lt;/Year&gt;&lt;RecNum&gt;186&lt;/RecNum&gt;&lt;DisplayText&gt;(Fergusson&lt;style face="italic"&gt; et al.&lt;/style&gt;, 2011; Fergusson and Lynskey, 1997)&lt;/DisplayText&gt;&lt;record&gt;&lt;rec-number&gt;186&lt;/rec-number&gt;&lt;foreign-keys&gt;&lt;key app="EN" db-id="dv52wdz9qv0r01e9zrnxp0fopr2px5t9advw" timestamp="1358803537"&gt;186&lt;/key&gt;&lt;/foreign-keys&gt;&lt;ref-type name="Journal Article"&gt;17&lt;/ref-type&gt;&lt;contributors&gt;&lt;authors&gt;&lt;author&gt;Fergusson, David M.&lt;/author&gt;&lt;author&gt;Lynskey, Michael T.&lt;/author&gt;&lt;/authors&gt;&lt;/contributors&gt;&lt;titles&gt;&lt;title&gt;Physical punishment/maltreatment during childhood and adjustment in young adulthood&lt;/title&gt;&lt;secondary-title&gt;Child Abuse and Neglect&lt;/secondary-title&gt;&lt;/titles&gt;&lt;pages&gt;617-630&lt;/pages&gt;&lt;volume&gt;21&lt;/volume&gt;&lt;number&gt;7&lt;/number&gt;&lt;dates&gt;&lt;year&gt;1997&lt;/year&gt;&lt;/dates&gt;&lt;urls&gt;&lt;/urls&gt;&lt;/record&gt;&lt;/Cite&gt;&lt;Cite&gt;&lt;Author&gt;Fergusson&lt;/Author&gt;&lt;Year&gt;2011&lt;/Year&gt;&lt;RecNum&gt;200&lt;/RecNum&gt;&lt;record&gt;&lt;rec-number&gt;200&lt;/rec-number&gt;&lt;foreign-keys&gt;&lt;key app="EN" db-id="vx9et9rw6df0a8e9szqxfwzkzd0vvfpz2vse" timestamp="1415566683"&gt;200&lt;/key&gt;&lt;/foreign-keys&gt;&lt;ref-type name="Journal Article"&gt;17&lt;/ref-type&gt;&lt;contributors&gt;&lt;authors&gt;&lt;author&gt;Fergusson, David M.&lt;/author&gt;&lt;author&gt;Horwood, L. John&lt;/author&gt;&lt;author&gt;Boden, Joseph M.&lt;/author&gt;&lt;/authors&gt;&lt;/contributors&gt;&lt;titles&gt;&lt;title&gt;Structural equation modeling of repeated retrospective reports of childhood maltreatment&lt;/title&gt;&lt;secondary-title&gt; International Journal of Methods in Psychiatric Research&lt;/secondary-title&gt;&lt;/titles&gt;&lt;pages&gt;93-104&lt;/pages&gt;&lt;volume&gt;20&lt;/volume&gt;&lt;number&gt;2&lt;/number&gt;&lt;dates&gt;&lt;year&gt;2011&lt;/year&gt;&lt;/dates&gt;&lt;urls&gt;&lt;/urls&gt;&lt;/record&gt;&lt;/Cite&gt;&lt;/EndNote&gt;</w:instrText>
      </w:r>
      <w:r w:rsidR="00695256" w:rsidRPr="00604D5E">
        <w:rPr>
          <w:rFonts w:cstheme="minorHAnsi"/>
        </w:rPr>
        <w:fldChar w:fldCharType="separate"/>
      </w:r>
      <w:r w:rsidR="00DE3019">
        <w:rPr>
          <w:rFonts w:cstheme="minorHAnsi"/>
          <w:noProof/>
        </w:rPr>
        <w:t>(</w:t>
      </w:r>
      <w:hyperlink w:anchor="_ENREF_5" w:tooltip="Fergusson, 2011 #200" w:history="1">
        <w:r w:rsidR="00631024">
          <w:rPr>
            <w:rFonts w:cstheme="minorHAnsi"/>
            <w:noProof/>
          </w:rPr>
          <w:t>Fergusson</w:t>
        </w:r>
        <w:r w:rsidR="00631024" w:rsidRPr="00DE3019">
          <w:rPr>
            <w:rFonts w:cstheme="minorHAnsi"/>
            <w:i/>
            <w:noProof/>
          </w:rPr>
          <w:t xml:space="preserve"> et al.</w:t>
        </w:r>
        <w:r w:rsidR="00631024">
          <w:rPr>
            <w:rFonts w:cstheme="minorHAnsi"/>
            <w:noProof/>
          </w:rPr>
          <w:t>, 2011</w:t>
        </w:r>
      </w:hyperlink>
      <w:r w:rsidR="00DE3019">
        <w:rPr>
          <w:rFonts w:cstheme="minorHAnsi"/>
          <w:noProof/>
        </w:rPr>
        <w:t xml:space="preserve">; </w:t>
      </w:r>
      <w:hyperlink w:anchor="_ENREF_9" w:tooltip="Fergusson, 1997 #186" w:history="1">
        <w:r w:rsidR="00631024">
          <w:rPr>
            <w:rFonts w:cstheme="minorHAnsi"/>
            <w:noProof/>
          </w:rPr>
          <w:t>Fergusson and Lynskey, 1997</w:t>
        </w:r>
      </w:hyperlink>
      <w:r w:rsidR="00DE3019">
        <w:rPr>
          <w:rFonts w:cstheme="minorHAnsi"/>
          <w:noProof/>
        </w:rPr>
        <w:t>)</w:t>
      </w:r>
      <w:r w:rsidR="00695256" w:rsidRPr="00604D5E">
        <w:rPr>
          <w:rFonts w:cstheme="minorHAnsi"/>
        </w:rPr>
        <w:fldChar w:fldCharType="end"/>
      </w:r>
      <w:r w:rsidR="00695256" w:rsidRPr="00604D5E">
        <w:rPr>
          <w:rFonts w:cstheme="minorHAnsi"/>
        </w:rPr>
        <w:t xml:space="preserve">. </w:t>
      </w:r>
      <w:r w:rsidR="00695256" w:rsidRPr="00A0078A">
        <w:rPr>
          <w:rFonts w:cstheme="minorHAnsi"/>
        </w:rPr>
        <w:t>For childhood exposure to sexual abuse</w:t>
      </w:r>
      <w:r w:rsidR="00695256">
        <w:rPr>
          <w:rFonts w:cstheme="minorHAnsi"/>
        </w:rPr>
        <w:t>,</w:t>
      </w:r>
      <w:r w:rsidR="00695256" w:rsidRPr="00A0078A">
        <w:rPr>
          <w:rFonts w:cstheme="minorHAnsi"/>
        </w:rPr>
        <w:t xml:space="preserve"> cohort me</w:t>
      </w:r>
      <w:r w:rsidR="00695256" w:rsidRPr="00604D5E">
        <w:rPr>
          <w:rFonts w:cstheme="minorHAnsi"/>
        </w:rPr>
        <w:t>mbers were questioned about their exposure to any forms of childhood sexual abuse, including: (</w:t>
      </w:r>
      <w:r w:rsidR="00695256" w:rsidRPr="00604D5E">
        <w:rPr>
          <w:rFonts w:cstheme="minorHAnsi"/>
          <w:iCs/>
        </w:rPr>
        <w:t>1</w:t>
      </w:r>
      <w:r w:rsidR="00695256" w:rsidRPr="00604D5E">
        <w:rPr>
          <w:rFonts w:cstheme="minorHAnsi"/>
        </w:rPr>
        <w:t>) non-contact episodes involving indecent exposure, public masturbation or unwanted sexual propositions; (</w:t>
      </w:r>
      <w:r w:rsidR="00695256" w:rsidRPr="00604D5E">
        <w:rPr>
          <w:rFonts w:cstheme="minorHAnsi"/>
          <w:iCs/>
        </w:rPr>
        <w:t>2</w:t>
      </w:r>
      <w:r w:rsidR="00695256" w:rsidRPr="00604D5E">
        <w:rPr>
          <w:rFonts w:cstheme="minorHAnsi"/>
        </w:rPr>
        <w:t>) episodes involving sexual contact in the form of sexual fondling, genital contact or attempts to undress the respondent; and (</w:t>
      </w:r>
      <w:r w:rsidR="00695256" w:rsidRPr="00604D5E">
        <w:rPr>
          <w:rFonts w:cstheme="minorHAnsi"/>
          <w:iCs/>
        </w:rPr>
        <w:t>3</w:t>
      </w:r>
      <w:r w:rsidR="00695256" w:rsidRPr="00604D5E">
        <w:rPr>
          <w:rFonts w:cstheme="minorHAnsi"/>
        </w:rPr>
        <w:t xml:space="preserve">) episodes involving attempted or completed vaginal, oral or anal intercourse </w:t>
      </w:r>
      <w:r w:rsidR="00695256" w:rsidRPr="00604D5E">
        <w:rPr>
          <w:rFonts w:cstheme="minorHAnsi"/>
        </w:rPr>
        <w:fldChar w:fldCharType="begin">
          <w:fldData xml:space="preserve">PEVuZE5vdGU+PENpdGU+PEF1dGhvcj5GZXJndXNzb248L0F1dGhvcj48WWVhcj4xOTk2PC9ZZWFy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==
</w:fldData>
        </w:fldChar>
      </w:r>
      <w:r w:rsidR="001F19B7">
        <w:rPr>
          <w:rFonts w:cstheme="minorHAnsi"/>
        </w:rPr>
        <w:instrText xml:space="preserve"> ADDIN EN.CITE </w:instrText>
      </w:r>
      <w:r w:rsidR="001F19B7">
        <w:rPr>
          <w:rFonts w:cstheme="minorHAnsi"/>
        </w:rPr>
        <w:fldChar w:fldCharType="begin">
          <w:fldData xml:space="preserve">PEVuZE5vdGU+PENpdGU+PEF1dGhvcj5GZXJndXNzb248L0F1dGhvcj48WWVhcj4xOTk2PC9ZZWFy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==
</w:fldData>
        </w:fldChar>
      </w:r>
      <w:r w:rsidR="001F19B7">
        <w:rPr>
          <w:rFonts w:cstheme="minorHAnsi"/>
        </w:rPr>
        <w:instrText xml:space="preserve"> ADDIN EN.CITE.DATA </w:instrText>
      </w:r>
      <w:r w:rsidR="001F19B7">
        <w:rPr>
          <w:rFonts w:cstheme="minorHAnsi"/>
        </w:rPr>
      </w:r>
      <w:r w:rsidR="001F19B7">
        <w:rPr>
          <w:rFonts w:cstheme="minorHAnsi"/>
        </w:rPr>
        <w:fldChar w:fldCharType="end"/>
      </w:r>
      <w:r w:rsidR="00695256" w:rsidRPr="00604D5E">
        <w:rPr>
          <w:rFonts w:cstheme="minorHAnsi"/>
        </w:rPr>
      </w:r>
      <w:r w:rsidR="00695256" w:rsidRPr="00604D5E">
        <w:rPr>
          <w:rFonts w:cstheme="minorHAnsi"/>
        </w:rPr>
        <w:fldChar w:fldCharType="separate"/>
      </w:r>
      <w:r w:rsidR="00DE3019">
        <w:rPr>
          <w:rFonts w:cstheme="minorHAnsi"/>
          <w:noProof/>
        </w:rPr>
        <w:t>(</w:t>
      </w:r>
      <w:hyperlink w:anchor="_ENREF_5" w:tooltip="Fergusson, 2011 #200" w:history="1">
        <w:r w:rsidR="00631024">
          <w:rPr>
            <w:rFonts w:cstheme="minorHAnsi"/>
            <w:noProof/>
          </w:rPr>
          <w:t>Fergusson</w:t>
        </w:r>
        <w:r w:rsidR="00631024" w:rsidRPr="00DE3019">
          <w:rPr>
            <w:rFonts w:cstheme="minorHAnsi"/>
            <w:i/>
            <w:noProof/>
          </w:rPr>
          <w:t xml:space="preserve"> et al.</w:t>
        </w:r>
        <w:r w:rsidR="00631024">
          <w:rPr>
            <w:rFonts w:cstheme="minorHAnsi"/>
            <w:noProof/>
          </w:rPr>
          <w:t>, 2011</w:t>
        </w:r>
      </w:hyperlink>
      <w:r w:rsidR="00DE3019">
        <w:rPr>
          <w:rFonts w:cstheme="minorHAnsi"/>
          <w:noProof/>
        </w:rPr>
        <w:t xml:space="preserve">; </w:t>
      </w:r>
      <w:hyperlink w:anchor="_ENREF_8" w:tooltip="Fergusson, 1996 #204" w:history="1">
        <w:r w:rsidR="00631024">
          <w:rPr>
            <w:rFonts w:cstheme="minorHAnsi"/>
            <w:noProof/>
          </w:rPr>
          <w:t>Fergusson</w:t>
        </w:r>
        <w:r w:rsidR="00631024" w:rsidRPr="00DE3019">
          <w:rPr>
            <w:rFonts w:cstheme="minorHAnsi"/>
            <w:i/>
            <w:noProof/>
          </w:rPr>
          <w:t xml:space="preserve"> et al.</w:t>
        </w:r>
        <w:r w:rsidR="00631024">
          <w:rPr>
            <w:rFonts w:cstheme="minorHAnsi"/>
            <w:noProof/>
          </w:rPr>
          <w:t>, 1996a</w:t>
        </w:r>
      </w:hyperlink>
      <w:r w:rsidR="00DE3019">
        <w:rPr>
          <w:rFonts w:cstheme="minorHAnsi"/>
          <w:noProof/>
        </w:rPr>
        <w:t xml:space="preserve">; </w:t>
      </w:r>
      <w:hyperlink w:anchor="_ENREF_10" w:tooltip="Fergusson, 1996 #205" w:history="1">
        <w:r w:rsidR="00631024">
          <w:rPr>
            <w:rFonts w:cstheme="minorHAnsi"/>
            <w:noProof/>
          </w:rPr>
          <w:t>Fergusson</w:t>
        </w:r>
        <w:r w:rsidR="00631024" w:rsidRPr="00DE3019">
          <w:rPr>
            <w:rFonts w:cstheme="minorHAnsi"/>
            <w:i/>
            <w:noProof/>
          </w:rPr>
          <w:t xml:space="preserve"> et al.</w:t>
        </w:r>
        <w:r w:rsidR="00631024">
          <w:rPr>
            <w:rFonts w:cstheme="minorHAnsi"/>
            <w:noProof/>
          </w:rPr>
          <w:t>, 1996b</w:t>
        </w:r>
      </w:hyperlink>
      <w:r w:rsidR="00DE3019">
        <w:rPr>
          <w:rFonts w:cstheme="minorHAnsi"/>
          <w:noProof/>
        </w:rPr>
        <w:t>)</w:t>
      </w:r>
      <w:r w:rsidR="00695256" w:rsidRPr="00604D5E">
        <w:rPr>
          <w:rFonts w:cstheme="minorHAnsi"/>
        </w:rPr>
        <w:fldChar w:fldCharType="end"/>
      </w:r>
      <w:r w:rsidR="00695256" w:rsidRPr="00604D5E">
        <w:rPr>
          <w:rFonts w:cstheme="minorHAnsi"/>
        </w:rPr>
        <w:t xml:space="preserve">. </w:t>
      </w:r>
      <w:r w:rsidR="00F72690">
        <w:rPr>
          <w:rFonts w:cstheme="minorHAnsi"/>
        </w:rPr>
        <w:t xml:space="preserve">Using these data </w:t>
      </w:r>
      <w:r w:rsidR="00695256" w:rsidRPr="00604D5E">
        <w:rPr>
          <w:rFonts w:cstheme="minorHAnsi"/>
        </w:rPr>
        <w:t>cohort members we</w:t>
      </w:r>
      <w:r w:rsidR="00695256">
        <w:rPr>
          <w:rFonts w:cstheme="minorHAnsi"/>
        </w:rPr>
        <w:t xml:space="preserve">re classified </w:t>
      </w:r>
      <w:r w:rsidR="00F72690">
        <w:rPr>
          <w:rFonts w:cstheme="minorHAnsi"/>
        </w:rPr>
        <w:t>on</w:t>
      </w:r>
      <w:r w:rsidR="00695256">
        <w:rPr>
          <w:rFonts w:cstheme="minorHAnsi"/>
        </w:rPr>
        <w:t xml:space="preserve"> a single 4</w:t>
      </w:r>
      <w:r w:rsidR="00695256" w:rsidRPr="00604D5E">
        <w:rPr>
          <w:rFonts w:cstheme="minorHAnsi"/>
        </w:rPr>
        <w:t xml:space="preserve">-point </w:t>
      </w:r>
      <w:r w:rsidR="00695256">
        <w:rPr>
          <w:rFonts w:cstheme="minorHAnsi"/>
        </w:rPr>
        <w:t>scale</w:t>
      </w:r>
      <w:r w:rsidR="00695256" w:rsidRPr="00604D5E">
        <w:rPr>
          <w:rFonts w:cstheme="minorHAnsi"/>
        </w:rPr>
        <w:t xml:space="preserve"> </w:t>
      </w:r>
      <w:r w:rsidR="00880626">
        <w:rPr>
          <w:rFonts w:cstheme="minorHAnsi"/>
        </w:rPr>
        <w:t xml:space="preserve">reflecting the </w:t>
      </w:r>
      <w:r w:rsidR="00F72690">
        <w:rPr>
          <w:rFonts w:cstheme="minorHAnsi"/>
        </w:rPr>
        <w:t xml:space="preserve">most severe </w:t>
      </w:r>
      <w:r w:rsidR="00880626">
        <w:rPr>
          <w:rFonts w:cstheme="minorHAnsi"/>
        </w:rPr>
        <w:t>form of abuse exposure</w:t>
      </w:r>
      <w:r w:rsidR="00F72690">
        <w:rPr>
          <w:rFonts w:cstheme="minorHAnsi"/>
        </w:rPr>
        <w:t xml:space="preserve"> reported at either age 18 or 21</w:t>
      </w:r>
      <w:r w:rsidR="00695256" w:rsidRPr="00604D5E">
        <w:rPr>
          <w:rFonts w:cstheme="minorHAnsi"/>
        </w:rPr>
        <w:t xml:space="preserve">: </w:t>
      </w:r>
      <w:r w:rsidR="00A77EC8">
        <w:rPr>
          <w:rFonts w:cstheme="minorHAnsi"/>
        </w:rPr>
        <w:t xml:space="preserve">(0) </w:t>
      </w:r>
      <w:r w:rsidR="00695256" w:rsidRPr="00604D5E">
        <w:rPr>
          <w:rFonts w:cstheme="minorHAnsi"/>
        </w:rPr>
        <w:t>no childhood sexual abuse</w:t>
      </w:r>
      <w:r w:rsidR="00880626">
        <w:rPr>
          <w:rFonts w:cstheme="minorHAnsi"/>
        </w:rPr>
        <w:t xml:space="preserve"> (</w:t>
      </w:r>
      <w:r w:rsidR="00A77EC8">
        <w:rPr>
          <w:rFonts w:cstheme="minorHAnsi"/>
        </w:rPr>
        <w:t>86.6</w:t>
      </w:r>
      <w:r w:rsidR="00880626">
        <w:rPr>
          <w:rFonts w:cstheme="minorHAnsi"/>
        </w:rPr>
        <w:t>%)</w:t>
      </w:r>
      <w:r w:rsidR="00F72690">
        <w:rPr>
          <w:rFonts w:cstheme="minorHAnsi"/>
        </w:rPr>
        <w:t xml:space="preserve">; </w:t>
      </w:r>
      <w:r w:rsidR="00A77EC8">
        <w:rPr>
          <w:rFonts w:cstheme="minorHAnsi"/>
        </w:rPr>
        <w:t xml:space="preserve">(1) </w:t>
      </w:r>
      <w:r w:rsidR="00695256" w:rsidRPr="00604D5E">
        <w:rPr>
          <w:rFonts w:cstheme="minorHAnsi"/>
        </w:rPr>
        <w:t>non-contact childhood sexual abuse</w:t>
      </w:r>
      <w:r w:rsidR="00880626">
        <w:rPr>
          <w:rFonts w:cstheme="minorHAnsi"/>
        </w:rPr>
        <w:t xml:space="preserve"> (</w:t>
      </w:r>
      <w:r w:rsidR="00A77EC8">
        <w:rPr>
          <w:rFonts w:cstheme="minorHAnsi"/>
        </w:rPr>
        <w:t>2.4</w:t>
      </w:r>
      <w:r w:rsidR="00880626">
        <w:rPr>
          <w:rFonts w:cstheme="minorHAnsi"/>
        </w:rPr>
        <w:t>%)</w:t>
      </w:r>
      <w:r w:rsidR="00F72690">
        <w:rPr>
          <w:rFonts w:cstheme="minorHAnsi"/>
        </w:rPr>
        <w:t xml:space="preserve">; </w:t>
      </w:r>
      <w:r w:rsidR="00A77EC8">
        <w:rPr>
          <w:rFonts w:cstheme="minorHAnsi"/>
        </w:rPr>
        <w:t xml:space="preserve">(2) </w:t>
      </w:r>
      <w:r w:rsidR="00695256" w:rsidRPr="00604D5E">
        <w:rPr>
          <w:rFonts w:cstheme="minorHAnsi"/>
        </w:rPr>
        <w:t>contact childhood sexual abuse not involving attempted or completed sexual penetration</w:t>
      </w:r>
      <w:r w:rsidR="00880626">
        <w:rPr>
          <w:rFonts w:cstheme="minorHAnsi"/>
        </w:rPr>
        <w:t xml:space="preserve"> (</w:t>
      </w:r>
      <w:r w:rsidR="00A77EC8">
        <w:rPr>
          <w:rFonts w:cstheme="minorHAnsi"/>
        </w:rPr>
        <w:t>4.9</w:t>
      </w:r>
      <w:r w:rsidR="00880626">
        <w:rPr>
          <w:rFonts w:cstheme="minorHAnsi"/>
        </w:rPr>
        <w:t>%)</w:t>
      </w:r>
      <w:r w:rsidR="00F72690">
        <w:rPr>
          <w:rFonts w:cstheme="minorHAnsi"/>
        </w:rPr>
        <w:t xml:space="preserve">; </w:t>
      </w:r>
      <w:r w:rsidR="00695256" w:rsidRPr="00604D5E">
        <w:rPr>
          <w:rFonts w:cstheme="minorHAnsi"/>
        </w:rPr>
        <w:t xml:space="preserve">and </w:t>
      </w:r>
      <w:r w:rsidR="00A77EC8">
        <w:rPr>
          <w:rFonts w:cstheme="minorHAnsi"/>
        </w:rPr>
        <w:t xml:space="preserve">(3) </w:t>
      </w:r>
      <w:r w:rsidR="00695256" w:rsidRPr="00604D5E">
        <w:rPr>
          <w:rFonts w:cstheme="minorHAnsi"/>
        </w:rPr>
        <w:t>severe childhood sexual abuse involving attempted or completed sexual penetration</w:t>
      </w:r>
      <w:r w:rsidR="00880626">
        <w:rPr>
          <w:rFonts w:cstheme="minorHAnsi"/>
        </w:rPr>
        <w:t xml:space="preserve"> (</w:t>
      </w:r>
      <w:r w:rsidR="00A77EC8">
        <w:rPr>
          <w:rFonts w:cstheme="minorHAnsi"/>
        </w:rPr>
        <w:t>6.0</w:t>
      </w:r>
      <w:r w:rsidR="00880626">
        <w:rPr>
          <w:rFonts w:cstheme="minorHAnsi"/>
        </w:rPr>
        <w:t>%)</w:t>
      </w:r>
      <w:r w:rsidR="00695256" w:rsidRPr="00604D5E">
        <w:rPr>
          <w:rFonts w:cstheme="minorHAnsi"/>
        </w:rPr>
        <w:t>.</w:t>
      </w:r>
      <w:r w:rsidR="00695256">
        <w:rPr>
          <w:rFonts w:cstheme="minorHAnsi"/>
        </w:rPr>
        <w:t xml:space="preserve"> </w:t>
      </w:r>
    </w:p>
    <w:p w:rsidR="002536DE" w:rsidRPr="00604D5E" w:rsidRDefault="002536DE" w:rsidP="0036332D">
      <w:pPr>
        <w:spacing w:line="480" w:lineRule="auto"/>
        <w:contextualSpacing/>
        <w:rPr>
          <w:rFonts w:cstheme="minorHAnsi"/>
        </w:rPr>
      </w:pPr>
    </w:p>
    <w:p w:rsidR="0036332D" w:rsidRPr="00604D5E" w:rsidRDefault="0036332D" w:rsidP="0036332D">
      <w:pPr>
        <w:spacing w:after="0" w:line="480" w:lineRule="auto"/>
        <w:contextualSpacing/>
        <w:rPr>
          <w:rFonts w:cstheme="minorHAnsi"/>
          <w:b/>
          <w:i/>
        </w:rPr>
      </w:pPr>
      <w:r w:rsidRPr="00604D5E">
        <w:rPr>
          <w:rFonts w:cstheme="minorHAnsi"/>
          <w:b/>
          <w:i/>
        </w:rPr>
        <w:t>Child factors</w:t>
      </w:r>
    </w:p>
    <w:p w:rsidR="0036332D" w:rsidRPr="00604D5E" w:rsidRDefault="0036332D" w:rsidP="0036332D">
      <w:pPr>
        <w:spacing w:after="0" w:line="480" w:lineRule="auto"/>
        <w:contextualSpacing/>
        <w:rPr>
          <w:rFonts w:cstheme="minorHAnsi"/>
        </w:rPr>
      </w:pPr>
      <w:r w:rsidRPr="00604D5E">
        <w:rPr>
          <w:rFonts w:cstheme="minorHAnsi"/>
        </w:rPr>
        <w:tab/>
      </w:r>
      <w:r w:rsidRPr="00604D5E">
        <w:rPr>
          <w:rFonts w:cstheme="minorHAnsi"/>
          <w:i/>
        </w:rPr>
        <w:t>Gender.</w:t>
      </w:r>
      <w:r w:rsidRPr="00604D5E">
        <w:rPr>
          <w:rFonts w:cstheme="minorHAnsi"/>
        </w:rPr>
        <w:t xml:space="preserve"> Recorded at birth</w:t>
      </w:r>
      <w:r w:rsidR="002B3EE1">
        <w:rPr>
          <w:rFonts w:cstheme="minorHAnsi"/>
        </w:rPr>
        <w:t xml:space="preserve"> (</w:t>
      </w:r>
      <w:r w:rsidR="00A77EC8">
        <w:rPr>
          <w:rFonts w:cstheme="minorHAnsi"/>
        </w:rPr>
        <w:t>49.9% male, 50.1% female)</w:t>
      </w:r>
      <w:r w:rsidRPr="00604D5E">
        <w:rPr>
          <w:rFonts w:cstheme="minorHAnsi"/>
        </w:rPr>
        <w:t>.</w:t>
      </w:r>
    </w:p>
    <w:p w:rsidR="0036332D" w:rsidRDefault="0036332D" w:rsidP="0036332D">
      <w:pPr>
        <w:spacing w:line="480" w:lineRule="auto"/>
        <w:ind w:firstLine="720"/>
        <w:contextualSpacing/>
        <w:rPr>
          <w:rFonts w:cstheme="minorHAnsi"/>
        </w:rPr>
      </w:pPr>
      <w:r w:rsidRPr="00604D5E">
        <w:rPr>
          <w:rFonts w:cstheme="minorHAnsi"/>
          <w:i/>
        </w:rPr>
        <w:lastRenderedPageBreak/>
        <w:t>Cognitive ability (8-9 years).</w:t>
      </w:r>
      <w:r w:rsidRPr="00604D5E">
        <w:rPr>
          <w:rFonts w:cstheme="minorHAnsi"/>
        </w:rPr>
        <w:t xml:space="preserve"> The cohort member’s cognitive ability was assessed at ages 8 and 9 years using the Revised Wechsler Intelligence Scale for Children (WISC-R </w:t>
      </w:r>
      <w:r w:rsidR="00F4054A" w:rsidRPr="00604D5E">
        <w:rPr>
          <w:rFonts w:cstheme="minorHAnsi"/>
        </w:rPr>
        <w:fldChar w:fldCharType="begin"/>
      </w:r>
      <w:r w:rsidR="00DE3019">
        <w:rPr>
          <w:rFonts w:cstheme="minorHAnsi"/>
        </w:rPr>
        <w:instrText xml:space="preserve"> ADDIN EN.CITE &lt;EndNote&gt;&lt;Cite&gt;&lt;Author&gt;Wechsler&lt;/Author&gt;&lt;Year&gt;1974&lt;/Year&gt;&lt;RecNum&gt;207&lt;/RecNum&gt;&lt;DisplayText&gt;(Wechsler, 1974)&lt;/DisplayText&gt;&lt;record&gt;&lt;rec-number&gt;207&lt;/rec-number&gt;&lt;foreign-keys&gt;&lt;key app="EN" db-id="vx9et9rw6df0a8e9szqxfwzkzd0vvfpz2vse" timestamp="1415665621"&gt;207&lt;/key&gt;&lt;/foreign-keys&gt;&lt;ref-type name="Book"&gt;6&lt;/ref-type&gt;&lt;contributors&gt;&lt;authors&gt;&lt;author&gt;Wechsler, David&lt;/author&gt;&lt;/authors&gt;&lt;/contributors&gt;&lt;titles&gt;&lt;title&gt;Manual for the Wechsler Intelligence Scale for Children - Revised&lt;/title&gt;&lt;/titles&gt;&lt;dates&gt;&lt;year&gt;1974&lt;/year&gt;&lt;/dates&gt;&lt;pub-location&gt;New York&lt;/pub-location&gt;&lt;publisher&gt;Psychological Corporation&lt;/publisher&gt;&lt;urls&gt;&lt;/urls&gt;&lt;/record&gt;&lt;/Cite&gt;&lt;/EndNote&gt;</w:instrText>
      </w:r>
      <w:r w:rsidR="00F4054A" w:rsidRPr="00604D5E">
        <w:rPr>
          <w:rFonts w:cstheme="minorHAnsi"/>
        </w:rPr>
        <w:fldChar w:fldCharType="separate"/>
      </w:r>
      <w:r w:rsidR="00F4054A" w:rsidRPr="00604D5E">
        <w:rPr>
          <w:rFonts w:cstheme="minorHAnsi"/>
          <w:noProof/>
        </w:rPr>
        <w:t>(</w:t>
      </w:r>
      <w:hyperlink w:anchor="_ENREF_12" w:tooltip="Wechsler, 1974 #207" w:history="1">
        <w:r w:rsidR="00631024" w:rsidRPr="00604D5E">
          <w:rPr>
            <w:rFonts w:cstheme="minorHAnsi"/>
            <w:noProof/>
          </w:rPr>
          <w:t>Wechsler, 1974</w:t>
        </w:r>
      </w:hyperlink>
      <w:r w:rsidR="00F4054A" w:rsidRPr="00604D5E">
        <w:rPr>
          <w:rFonts w:cstheme="minorHAnsi"/>
          <w:noProof/>
        </w:rPr>
        <w:t>)</w:t>
      </w:r>
      <w:r w:rsidR="00F4054A" w:rsidRPr="00604D5E">
        <w:rPr>
          <w:rFonts w:cstheme="minorHAnsi"/>
        </w:rPr>
        <w:fldChar w:fldCharType="end"/>
      </w:r>
      <w:r w:rsidRPr="00604D5E">
        <w:rPr>
          <w:rFonts w:cstheme="minorHAnsi"/>
        </w:rPr>
        <w:t>).</w:t>
      </w:r>
      <w:hyperlink w:anchor="_ENREF_2" w:tooltip="Wechsler, 1974 #59" w:history="1"/>
      <w:r w:rsidRPr="00604D5E">
        <w:rPr>
          <w:rFonts w:cstheme="minorHAnsi"/>
        </w:rPr>
        <w:t xml:space="preserve"> The split half reliabilities of the scales were 0.93 at age 8 and 0.95 at age 9. For this study, the WISC-R total IQ scores at ages 8 and 9 were combined by averaging over the two administrations</w:t>
      </w:r>
      <w:r w:rsidR="002B3EE1">
        <w:rPr>
          <w:rFonts w:cstheme="minorHAnsi"/>
        </w:rPr>
        <w:t xml:space="preserve"> giving an overall mean and standard deviation of mean=102.9; S</w:t>
      </w:r>
      <w:r w:rsidR="00DF6465">
        <w:rPr>
          <w:rFonts w:cstheme="minorHAnsi"/>
        </w:rPr>
        <w:t>.</w:t>
      </w:r>
      <w:r w:rsidR="002B3EE1">
        <w:rPr>
          <w:rFonts w:cstheme="minorHAnsi"/>
        </w:rPr>
        <w:t>D</w:t>
      </w:r>
      <w:proofErr w:type="gramStart"/>
      <w:r w:rsidR="00DF6465">
        <w:rPr>
          <w:rFonts w:cstheme="minorHAnsi"/>
        </w:rPr>
        <w:t>.</w:t>
      </w:r>
      <w:r w:rsidR="002B3EE1">
        <w:rPr>
          <w:rFonts w:cstheme="minorHAnsi"/>
        </w:rPr>
        <w:t>=</w:t>
      </w:r>
      <w:proofErr w:type="gramEnd"/>
      <w:r w:rsidR="002B3EE1">
        <w:rPr>
          <w:rFonts w:cstheme="minorHAnsi"/>
        </w:rPr>
        <w:t>14.2</w:t>
      </w:r>
      <w:r w:rsidRPr="00604D5E">
        <w:rPr>
          <w:rFonts w:cstheme="minorHAnsi"/>
        </w:rPr>
        <w:t xml:space="preserve">. </w:t>
      </w:r>
    </w:p>
    <w:p w:rsidR="0036332D" w:rsidRPr="00604D5E" w:rsidRDefault="0036332D" w:rsidP="0036332D">
      <w:pPr>
        <w:spacing w:after="0" w:line="480" w:lineRule="auto"/>
        <w:contextualSpacing/>
        <w:rPr>
          <w:rFonts w:cstheme="minorHAnsi"/>
        </w:rPr>
      </w:pPr>
      <w:r w:rsidRPr="00604D5E">
        <w:rPr>
          <w:rFonts w:cstheme="minorHAnsi"/>
        </w:rPr>
        <w:tab/>
      </w:r>
      <w:r w:rsidRPr="00604D5E">
        <w:rPr>
          <w:rFonts w:cstheme="minorHAnsi"/>
          <w:i/>
        </w:rPr>
        <w:t>Neuroticism (14 years).</w:t>
      </w:r>
      <w:r w:rsidRPr="00604D5E">
        <w:rPr>
          <w:rFonts w:cstheme="minorHAnsi"/>
        </w:rPr>
        <w:t xml:space="preserve"> At age 14, neuroti</w:t>
      </w:r>
      <w:r w:rsidR="00C533E0">
        <w:rPr>
          <w:rFonts w:cstheme="minorHAnsi"/>
        </w:rPr>
        <w:t>cism was assessed using a short-</w:t>
      </w:r>
      <w:r w:rsidRPr="00604D5E">
        <w:rPr>
          <w:rFonts w:cstheme="minorHAnsi"/>
        </w:rPr>
        <w:t xml:space="preserve">form version of the neuroticism scale of the Eysenck Personality Inventory </w:t>
      </w:r>
      <w:r w:rsidR="00F4054A" w:rsidRPr="00604D5E">
        <w:rPr>
          <w:rFonts w:cstheme="minorHAnsi"/>
        </w:rPr>
        <w:fldChar w:fldCharType="begin"/>
      </w:r>
      <w:r w:rsidR="00DE3019">
        <w:rPr>
          <w:rFonts w:cstheme="minorHAnsi"/>
        </w:rPr>
        <w:instrText xml:space="preserve"> ADDIN EN.CITE &lt;EndNote&gt;&lt;Cite&gt;&lt;Author&gt;Eysenck&lt;/Author&gt;&lt;Year&gt;1964&lt;/Year&gt;&lt;RecNum&gt;263&lt;/RecNum&gt;&lt;DisplayText&gt;(Eysenck and Eysenck, 1964)&lt;/DisplayText&gt;&lt;record&gt;&lt;rec-number&gt;263&lt;/rec-number&gt;&lt;foreign-keys&gt;&lt;key app="EN" db-id="vx9et9rw6df0a8e9szqxfwzkzd0vvfpz2vse" timestamp="1429846167"&gt;263&lt;/key&gt;&lt;/foreign-keys&gt;&lt;ref-type name="Book"&gt;6&lt;/ref-type&gt;&lt;contributors&gt;&lt;authors&gt;&lt;author&gt;Eysenck, H.M.&lt;/author&gt;&lt;author&gt;Eysenck, S.B.G.&lt;/author&gt;&lt;/authors&gt;&lt;/contributors&gt;&lt;titles&gt;&lt;title&gt;Manual of the Eysenck Personality Inventory&lt;/title&gt;&lt;/titles&gt;&lt;dates&gt;&lt;year&gt;1964&lt;/year&gt;&lt;/dates&gt;&lt;pub-location&gt;London&lt;/pub-location&gt;&lt;publisher&gt;London University Press&lt;/publisher&gt;&lt;urls&gt;&lt;/urls&gt;&lt;/record&gt;&lt;/Cite&gt;&lt;/EndNote&gt;</w:instrText>
      </w:r>
      <w:r w:rsidR="00F4054A" w:rsidRPr="00604D5E">
        <w:rPr>
          <w:rFonts w:cstheme="minorHAnsi"/>
        </w:rPr>
        <w:fldChar w:fldCharType="separate"/>
      </w:r>
      <w:r w:rsidR="00F4054A" w:rsidRPr="00604D5E">
        <w:rPr>
          <w:rFonts w:cstheme="minorHAnsi"/>
          <w:noProof/>
        </w:rPr>
        <w:t>(</w:t>
      </w:r>
      <w:hyperlink w:anchor="_ENREF_4" w:tooltip="Eysenck, 1964 #263" w:history="1">
        <w:r w:rsidR="00631024" w:rsidRPr="00604D5E">
          <w:rPr>
            <w:rFonts w:cstheme="minorHAnsi"/>
            <w:noProof/>
          </w:rPr>
          <w:t>Eysenck and Eysenck, 1964</w:t>
        </w:r>
      </w:hyperlink>
      <w:r w:rsidR="00F4054A" w:rsidRPr="00604D5E">
        <w:rPr>
          <w:rFonts w:cstheme="minorHAnsi"/>
          <w:noProof/>
        </w:rPr>
        <w:t>)</w:t>
      </w:r>
      <w:r w:rsidR="00F4054A" w:rsidRPr="00604D5E">
        <w:rPr>
          <w:rFonts w:cstheme="minorHAnsi"/>
        </w:rPr>
        <w:fldChar w:fldCharType="end"/>
      </w:r>
      <w:r w:rsidRPr="00604D5E">
        <w:rPr>
          <w:rFonts w:cstheme="minorHAnsi"/>
        </w:rPr>
        <w:t>. The internal consist</w:t>
      </w:r>
      <w:r w:rsidR="002536DE">
        <w:rPr>
          <w:rFonts w:cstheme="minorHAnsi"/>
        </w:rPr>
        <w:t xml:space="preserve">ency of this scale was α=0.80. </w:t>
      </w:r>
      <w:r w:rsidRPr="00604D5E">
        <w:t xml:space="preserve"> </w:t>
      </w:r>
    </w:p>
    <w:p w:rsidR="00695256" w:rsidRDefault="0036332D" w:rsidP="00695256">
      <w:pPr>
        <w:spacing w:after="0" w:line="480" w:lineRule="auto"/>
        <w:rPr>
          <w:rFonts w:cstheme="minorHAnsi"/>
          <w:i/>
        </w:rPr>
      </w:pPr>
      <w:r w:rsidRPr="00604D5E">
        <w:rPr>
          <w:rFonts w:cstheme="minorHAnsi"/>
        </w:rPr>
        <w:tab/>
      </w:r>
      <w:r w:rsidRPr="00604D5E">
        <w:rPr>
          <w:rFonts w:cstheme="minorHAnsi"/>
          <w:i/>
        </w:rPr>
        <w:t>Novelty seeking (16 years).</w:t>
      </w:r>
      <w:r w:rsidRPr="00604D5E">
        <w:rPr>
          <w:rFonts w:cstheme="minorHAnsi"/>
        </w:rPr>
        <w:t xml:space="preserve"> At age 16, </w:t>
      </w:r>
      <w:r w:rsidRPr="00604D5E">
        <w:t>cohort members</w:t>
      </w:r>
      <w:r w:rsidRPr="00604D5E">
        <w:rPr>
          <w:rFonts w:cstheme="minorHAnsi"/>
        </w:rPr>
        <w:t xml:space="preserve"> were assessed on the novelty seeking scale of the Tridimensional Personality Questionnaire </w:t>
      </w:r>
      <w:r w:rsidR="00F4054A" w:rsidRPr="00604D5E">
        <w:rPr>
          <w:rFonts w:cstheme="minorHAnsi"/>
        </w:rPr>
        <w:fldChar w:fldCharType="begin"/>
      </w:r>
      <w:r w:rsidR="00DE3019">
        <w:rPr>
          <w:rFonts w:cstheme="minorHAnsi"/>
        </w:rPr>
        <w:instrText xml:space="preserve"> ADDIN EN.CITE &lt;EndNote&gt;&lt;Cite&gt;&lt;Author&gt;Cloninger&lt;/Author&gt;&lt;Year&gt;1987&lt;/Year&gt;&lt;RecNum&gt;12&lt;/RecNum&gt;&lt;DisplayText&gt;(Cloninger, 1987)&lt;/DisplayText&gt;&lt;record&gt;&lt;rec-number&gt;12&lt;/rec-number&gt;&lt;foreign-keys&gt;&lt;key app="EN" db-id="vx9et9rw6df0a8e9szqxfwzkzd0vvfpz2vse" timestamp="1393453714"&gt;12&lt;/key&gt;&lt;/foreign-keys&gt;&lt;ref-type name="Journal Article"&gt;17&lt;/ref-type&gt;&lt;contributors&gt;&lt;authors&gt;&lt;author&gt;Cloninger, C. Robert&lt;/author&gt;&lt;/authors&gt;&lt;/contributors&gt;&lt;titles&gt;&lt;title&gt;A systematic method for clinical description and classification of personality variants: a proposal&lt;/title&gt;&lt;secondary-title&gt;Archives of General Psychiatry&lt;/secondary-title&gt;&lt;/titles&gt;&lt;periodical&gt;&lt;full-title&gt;Archives of General Psychiatry&lt;/full-title&gt;&lt;abbr-1&gt;Arch. Gen. Psychiatry&lt;/abbr-1&gt;&lt;abbr-2&gt;Arch Gen Psychiatry&lt;/abbr-2&gt;&lt;/periodical&gt;&lt;pages&gt;573-588&lt;/pages&gt;&lt;volume&gt;44&lt;/volume&gt;&lt;number&gt;6&lt;/number&gt;&lt;dates&gt;&lt;year&gt;1987&lt;/year&gt;&lt;/dates&gt;&lt;urls&gt;&lt;/urls&gt;&lt;/record&gt;&lt;/Cite&gt;&lt;/EndNote&gt;</w:instrText>
      </w:r>
      <w:r w:rsidR="00F4054A" w:rsidRPr="00604D5E">
        <w:rPr>
          <w:rFonts w:cstheme="minorHAnsi"/>
        </w:rPr>
        <w:fldChar w:fldCharType="separate"/>
      </w:r>
      <w:r w:rsidR="00F4054A" w:rsidRPr="00604D5E">
        <w:rPr>
          <w:rFonts w:cstheme="minorHAnsi"/>
          <w:noProof/>
        </w:rPr>
        <w:t>(</w:t>
      </w:r>
      <w:hyperlink w:anchor="_ENREF_2" w:tooltip="Cloninger, 1987 #12" w:history="1">
        <w:r w:rsidR="00631024" w:rsidRPr="00604D5E">
          <w:rPr>
            <w:rFonts w:cstheme="minorHAnsi"/>
            <w:noProof/>
          </w:rPr>
          <w:t>Cloninger, 1987</w:t>
        </w:r>
      </w:hyperlink>
      <w:r w:rsidR="00F4054A" w:rsidRPr="00604D5E">
        <w:rPr>
          <w:rFonts w:cstheme="minorHAnsi"/>
          <w:noProof/>
        </w:rPr>
        <w:t>)</w:t>
      </w:r>
      <w:r w:rsidR="00F4054A" w:rsidRPr="00604D5E">
        <w:rPr>
          <w:rFonts w:cstheme="minorHAnsi"/>
        </w:rPr>
        <w:fldChar w:fldCharType="end"/>
      </w:r>
      <w:r w:rsidRPr="00604D5E">
        <w:rPr>
          <w:rFonts w:cstheme="minorHAnsi"/>
        </w:rPr>
        <w:t>. This 31-item scale provides a measure of the extent to an individual considered themselves to be ``impulsive, exploratory, excitable, disorderly and distractible'' (</w:t>
      </w:r>
      <w:proofErr w:type="spellStart"/>
      <w:r w:rsidRPr="00604D5E">
        <w:rPr>
          <w:rFonts w:cstheme="minorHAnsi"/>
        </w:rPr>
        <w:t>Cloninger</w:t>
      </w:r>
      <w:proofErr w:type="spellEnd"/>
      <w:r w:rsidRPr="00604D5E">
        <w:rPr>
          <w:rFonts w:cstheme="minorHAnsi"/>
        </w:rPr>
        <w:t xml:space="preserve">, 1987, p.411). Scale items were summed to produce an overall novelty-seeking measure. The internal consistency of the scale was </w:t>
      </w:r>
      <w:r w:rsidRPr="00604D5E">
        <w:rPr>
          <w:rStyle w:val="Emphasis"/>
          <w:rFonts w:eastAsia="Arial Unicode MS" w:cstheme="minorHAnsi"/>
          <w:i w:val="0"/>
          <w:bdr w:val="none" w:sz="0" w:space="0" w:color="auto" w:frame="1"/>
        </w:rPr>
        <w:t>α</w:t>
      </w:r>
      <w:r w:rsidRPr="00604D5E">
        <w:rPr>
          <w:rFonts w:cstheme="minorHAnsi"/>
        </w:rPr>
        <w:t>=0.76.</w:t>
      </w:r>
      <w:r w:rsidR="00695256" w:rsidRPr="00695256">
        <w:rPr>
          <w:rFonts w:cstheme="minorHAnsi"/>
          <w:i/>
        </w:rPr>
        <w:t xml:space="preserve"> </w:t>
      </w:r>
    </w:p>
    <w:p w:rsidR="00695256" w:rsidRPr="00604D5E" w:rsidRDefault="00695256" w:rsidP="00695256">
      <w:pPr>
        <w:spacing w:after="0" w:line="480" w:lineRule="auto"/>
        <w:ind w:firstLine="709"/>
        <w:rPr>
          <w:rFonts w:cstheme="minorHAnsi"/>
        </w:rPr>
      </w:pPr>
      <w:r w:rsidRPr="00604D5E">
        <w:rPr>
          <w:rFonts w:cstheme="minorHAnsi"/>
          <w:i/>
        </w:rPr>
        <w:t>Parental attachment score (15 years).</w:t>
      </w:r>
      <w:r w:rsidRPr="00604D5E">
        <w:rPr>
          <w:rFonts w:cstheme="minorHAnsi"/>
        </w:rPr>
        <w:t xml:space="preserve"> At age 15, </w:t>
      </w:r>
      <w:r w:rsidRPr="00604D5E">
        <w:t>cohort members</w:t>
      </w:r>
      <w:r w:rsidRPr="00604D5E">
        <w:rPr>
          <w:rFonts w:cstheme="minorHAnsi"/>
        </w:rPr>
        <w:t xml:space="preserve"> were interviewed about the quality of their relationship with their parents using the parental attachment scale of the Inventory of Pa</w:t>
      </w:r>
      <w:r w:rsidR="00631024">
        <w:rPr>
          <w:rFonts w:cstheme="minorHAnsi"/>
        </w:rPr>
        <w:t xml:space="preserve">rent and Peer Attachment (IPPA) </w:t>
      </w:r>
      <w:r w:rsidR="00631024">
        <w:rPr>
          <w:rFonts w:cstheme="minorHAnsi"/>
        </w:rPr>
        <w:fldChar w:fldCharType="begin"/>
      </w:r>
      <w:r w:rsidR="00631024">
        <w:rPr>
          <w:rFonts w:cstheme="minorHAnsi"/>
        </w:rPr>
        <w:instrText xml:space="preserve"> ADDIN EN.CITE &lt;EndNote&gt;&lt;Cite&gt;&lt;Author&gt;Armsden&lt;/Author&gt;&lt;Year&gt;1987&lt;/Year&gt;&lt;RecNum&gt;9&lt;/RecNum&gt;&lt;DisplayText&gt;(Armsden and Greenberg, 1987)&lt;/DisplayText&gt;&lt;record&gt;&lt;rec-number&gt;9&lt;/rec-number&gt;&lt;foreign-keys&gt;&lt;key app="EN" db-id="vx9et9rw6df0a8e9szqxfwzkzd0vvfpz2vse" timestamp="1393298390"&gt;9&lt;/key&gt;&lt;/foreign-keys&gt;&lt;ref-type name="Journal Article"&gt;17&lt;/ref-type&gt;&lt;contributors&gt;&lt;authors&gt;&lt;author&gt;Armsden, Gay C.&lt;/author&gt;&lt;author&gt;Greenberg, Mark T.&lt;/author&gt;&lt;/authors&gt;&lt;/contributors&gt;&lt;titles&gt;&lt;title&gt;The inventory of parent and peer attachment: individual differences and their relationship to psychological well-being in adolescence&lt;/title&gt;&lt;secondary-title&gt;Journal of Youth and  Adolescence&lt;/secondary-title&gt;&lt;/titles&gt;&lt;periodical&gt;&lt;full-title&gt;Journal of Youth and  Adolescence&lt;/full-title&gt;&lt;/periodical&gt;&lt;pages&gt;427-454&lt;/pages&gt;&lt;volume&gt;16&lt;/volume&gt;&lt;number&gt;5&lt;/number&gt;&lt;dates&gt;&lt;year&gt;1987&lt;/year&gt;&lt;/dates&gt;&lt;urls&gt;&lt;/urls&gt;&lt;/record&gt;&lt;/Cite&gt;&lt;/EndNote&gt;</w:instrText>
      </w:r>
      <w:r w:rsidR="00631024">
        <w:rPr>
          <w:rFonts w:cstheme="minorHAnsi"/>
        </w:rPr>
        <w:fldChar w:fldCharType="separate"/>
      </w:r>
      <w:r w:rsidR="00631024">
        <w:rPr>
          <w:rFonts w:cstheme="minorHAnsi"/>
          <w:noProof/>
        </w:rPr>
        <w:t>(</w:t>
      </w:r>
      <w:hyperlink w:anchor="_ENREF_1" w:tooltip="Armsden, 1987 #9" w:history="1">
        <w:r w:rsidR="00631024">
          <w:rPr>
            <w:rFonts w:cstheme="minorHAnsi"/>
            <w:noProof/>
          </w:rPr>
          <w:t>Armsden and Greenberg, 1987</w:t>
        </w:r>
      </w:hyperlink>
      <w:r w:rsidR="00631024">
        <w:rPr>
          <w:rFonts w:cstheme="minorHAnsi"/>
          <w:noProof/>
        </w:rPr>
        <w:t>)</w:t>
      </w:r>
      <w:r w:rsidR="00631024">
        <w:rPr>
          <w:rFonts w:cstheme="minorHAnsi"/>
        </w:rPr>
        <w:fldChar w:fldCharType="end"/>
      </w:r>
      <w:r w:rsidRPr="00604D5E">
        <w:rPr>
          <w:rFonts w:cstheme="minorHAnsi"/>
        </w:rPr>
        <w:t>. The internal consistency of the scale was</w:t>
      </w:r>
      <w:r w:rsidRPr="00604D5E">
        <w:rPr>
          <w:rStyle w:val="apple-converted-space"/>
          <w:rFonts w:eastAsia="Arial Unicode MS" w:cstheme="minorHAnsi"/>
        </w:rPr>
        <w:t xml:space="preserve"> </w:t>
      </w:r>
      <w:r w:rsidRPr="00604D5E">
        <w:rPr>
          <w:rStyle w:val="Emphasis"/>
          <w:rFonts w:eastAsia="Arial Unicode MS" w:cstheme="minorHAnsi"/>
          <w:i w:val="0"/>
          <w:bdr w:val="none" w:sz="0" w:space="0" w:color="auto" w:frame="1"/>
        </w:rPr>
        <w:t>α</w:t>
      </w:r>
      <w:r w:rsidRPr="00604D5E">
        <w:rPr>
          <w:rFonts w:cstheme="minorHAnsi"/>
        </w:rPr>
        <w:t>=0.87.</w:t>
      </w:r>
    </w:p>
    <w:p w:rsidR="0036332D" w:rsidRPr="00604D5E" w:rsidRDefault="0036332D" w:rsidP="00695256">
      <w:pPr>
        <w:spacing w:after="0" w:line="480" w:lineRule="auto"/>
        <w:rPr>
          <w:rFonts w:cstheme="minorHAnsi"/>
        </w:rPr>
      </w:pPr>
      <w:r w:rsidRPr="00604D5E">
        <w:rPr>
          <w:rFonts w:cstheme="minorHAnsi"/>
          <w:i/>
        </w:rPr>
        <w:tab/>
      </w:r>
    </w:p>
    <w:p w:rsidR="0036332D" w:rsidRPr="00604D5E" w:rsidRDefault="0036332D" w:rsidP="0036332D">
      <w:pPr>
        <w:spacing w:after="0" w:line="480" w:lineRule="auto"/>
        <w:contextualSpacing/>
        <w:rPr>
          <w:rFonts w:cstheme="minorHAnsi"/>
          <w:b/>
          <w:i/>
        </w:rPr>
      </w:pPr>
      <w:r w:rsidRPr="00604D5E">
        <w:rPr>
          <w:rFonts w:cstheme="minorHAnsi"/>
          <w:b/>
          <w:i/>
        </w:rPr>
        <w:t>Comorbid mental health problems (14-16 years)</w:t>
      </w:r>
    </w:p>
    <w:p w:rsidR="0036332D" w:rsidRPr="00604D5E" w:rsidRDefault="0036332D" w:rsidP="0036332D">
      <w:pPr>
        <w:spacing w:after="0" w:line="480" w:lineRule="auto"/>
        <w:rPr>
          <w:rFonts w:cstheme="minorHAnsi"/>
        </w:rPr>
      </w:pPr>
      <w:r w:rsidRPr="00604D5E">
        <w:rPr>
          <w:rFonts w:cstheme="minorHAnsi"/>
        </w:rPr>
        <w:t xml:space="preserve">Parallel to the assessment of adolescent depression, at age 15 and 16 years </w:t>
      </w:r>
      <w:r w:rsidRPr="00604D5E">
        <w:t>cohort members</w:t>
      </w:r>
      <w:r w:rsidRPr="00604D5E">
        <w:rPr>
          <w:rFonts w:cstheme="minorHAnsi"/>
        </w:rPr>
        <w:t xml:space="preserve"> and their parents were also interviewed about other aspects of the young person’s mental health over the preceding 12 months. These interviews combined a range of standardized assessment instruments including components of the relevant version (self or parent report) of the Diagnostic Interview Schedule for Children (DISC</w:t>
      </w:r>
      <w:r w:rsidR="003420C9" w:rsidRPr="00604D5E">
        <w:rPr>
          <w:rFonts w:cstheme="minorHAnsi"/>
        </w:rPr>
        <w:t>)</w:t>
      </w:r>
      <w:r w:rsidRPr="00604D5E">
        <w:rPr>
          <w:rFonts w:cstheme="minorHAnsi"/>
        </w:rPr>
        <w:t xml:space="preserve"> </w:t>
      </w:r>
      <w:r w:rsidR="00F4054A" w:rsidRPr="00604D5E">
        <w:rPr>
          <w:rFonts w:cstheme="minorHAnsi"/>
        </w:rPr>
        <w:fldChar w:fldCharType="begin"/>
      </w:r>
      <w:r w:rsidR="00695256">
        <w:rPr>
          <w:rFonts w:cstheme="minorHAnsi"/>
        </w:rPr>
        <w:instrText xml:space="preserve"> ADDIN EN.CITE &lt;EndNote&gt;&lt;Cite&gt;&lt;Author&gt;Costello&lt;/Author&gt;&lt;Year&gt;1982&lt;/Year&gt;&lt;RecNum&gt;8296&lt;/RecNum&gt;&lt;DisplayText&gt;(Costello&lt;style face="italic"&gt; et al.&lt;/style&gt;, 1982)&lt;/DisplayText&gt;&lt;record&gt;&lt;rec-number&gt;8296&lt;/rec-number&gt;&lt;foreign-keys&gt;&lt;key app="EN" db-id="rwat590xavpapgefwervdapbzdaxsf5wdff2" timestamp="1366944780"&gt;8296&lt;/key&gt;&lt;/foreign-keys&gt;&lt;ref-type name="Report"&gt;27&lt;/ref-type&gt;&lt;contributors&gt;&lt;authors&gt;&lt;author&gt;Costello, A.&lt;/author&gt;&lt;author&gt;Edelbrock, C.&lt;/author&gt;&lt;author&gt;Kalas, R.&lt;/author&gt;&lt;author&gt;Kessler, M.&lt;/author&gt;&lt;author&gt;Klaric, S.A.&lt;/author&gt;&lt;/authors&gt;&lt;/contributors&gt;&lt;titles&gt;&lt;title&gt;Diagnostic Interview Schedule for Children (DISC)&lt;/title&gt;&lt;/titles&gt;&lt;dates&gt;&lt;year&gt;1982&lt;/year&gt;&lt;/dates&gt;&lt;pub-location&gt;Bethesda, MD&lt;/pub-location&gt;&lt;publisher&gt;National Institute of Mental Health&lt;/publisher&gt;&lt;urls&gt;&lt;/urls&gt;&lt;/record&gt;&lt;/Cite&gt;&lt;/EndNote&gt;</w:instrText>
      </w:r>
      <w:r w:rsidR="00F4054A" w:rsidRPr="00604D5E">
        <w:rPr>
          <w:rFonts w:cstheme="minorHAnsi"/>
        </w:rPr>
        <w:fldChar w:fldCharType="separate"/>
      </w:r>
      <w:r w:rsidR="00604D5E">
        <w:rPr>
          <w:rFonts w:cstheme="minorHAnsi"/>
          <w:noProof/>
        </w:rPr>
        <w:t>(</w:t>
      </w:r>
      <w:hyperlink w:anchor="_ENREF_3" w:tooltip="Costello, 1982 #8296" w:history="1">
        <w:r w:rsidR="00631024">
          <w:rPr>
            <w:rFonts w:cstheme="minorHAnsi"/>
            <w:noProof/>
          </w:rPr>
          <w:t>Costello</w:t>
        </w:r>
        <w:r w:rsidR="00631024" w:rsidRPr="00604D5E">
          <w:rPr>
            <w:rFonts w:cstheme="minorHAnsi"/>
            <w:i/>
            <w:noProof/>
          </w:rPr>
          <w:t xml:space="preserve"> et al.</w:t>
        </w:r>
        <w:r w:rsidR="00631024">
          <w:rPr>
            <w:rFonts w:cstheme="minorHAnsi"/>
            <w:noProof/>
          </w:rPr>
          <w:t>, 1982</w:t>
        </w:r>
      </w:hyperlink>
      <w:r w:rsidR="00604D5E">
        <w:rPr>
          <w:rFonts w:cstheme="minorHAnsi"/>
          <w:noProof/>
        </w:rPr>
        <w:t>)</w:t>
      </w:r>
      <w:r w:rsidR="00F4054A" w:rsidRPr="00604D5E">
        <w:rPr>
          <w:rFonts w:cstheme="minorHAnsi"/>
        </w:rPr>
        <w:fldChar w:fldCharType="end"/>
      </w:r>
      <w:r w:rsidRPr="00604D5E">
        <w:rPr>
          <w:rFonts w:cstheme="minorHAnsi"/>
        </w:rPr>
        <w:t>, the Self-Report Early Delinquency Inventory</w:t>
      </w:r>
      <w:r w:rsidR="003420C9" w:rsidRPr="00604D5E">
        <w:rPr>
          <w:rFonts w:cstheme="minorHAnsi"/>
        </w:rPr>
        <w:t xml:space="preserve"> </w:t>
      </w:r>
      <w:r w:rsidR="00F4054A" w:rsidRPr="00604D5E">
        <w:rPr>
          <w:rFonts w:cstheme="minorHAnsi"/>
        </w:rPr>
        <w:fldChar w:fldCharType="begin"/>
      </w:r>
      <w:r w:rsidR="00695256">
        <w:rPr>
          <w:rFonts w:cstheme="minorHAnsi"/>
        </w:rPr>
        <w:instrText xml:space="preserve"> ADDIN EN.CITE &lt;EndNote&gt;&lt;Cite&gt;&lt;Author&gt;Moffitt&lt;/Author&gt;&lt;Year&gt;1988&lt;/Year&gt;&lt;RecNum&gt;547&lt;/RecNum&gt;&lt;DisplayText&gt;(Moffitt and Silva, 1988)&lt;/DisplayText&gt;&lt;record&gt;&lt;rec-number&gt;547&lt;/rec-number&gt;&lt;foreign-keys&gt;&lt;key app="EN" db-id="rwat590xavpapgefwervdapbzdaxsf5wdff2" timestamp="0"&gt;547&lt;/key&gt;&lt;/foreign-keys&gt;&lt;ref-type name="Journal Article"&gt;17&lt;/ref-type&gt;&lt;contributors&gt;&lt;authors&gt;&lt;author&gt;Moffitt, Terrie R.&lt;/author&gt;&lt;author&gt;Silva, Phil A.&lt;/author&gt;&lt;/authors&gt;&lt;/contributors&gt;&lt;titles&gt;&lt;title&gt;Self-reported delinquency: Results from an instrument for New Zealand&lt;/title&gt;&lt;secondary-title&gt;Australian and New Zealand Journal of Criminology&lt;/secondary-title&gt;&lt;/titles&gt;&lt;pages&gt;227-240&lt;/pages&gt;&lt;volume&gt;21&lt;/volume&gt;&lt;dates&gt;&lt;year&gt;1988&lt;/year&gt;&lt;/dates&gt;&lt;urls&gt;&lt;/urls&gt;&lt;/record&gt;&lt;/Cite&gt;&lt;/EndNote&gt;</w:instrText>
      </w:r>
      <w:r w:rsidR="00F4054A" w:rsidRPr="00604D5E">
        <w:rPr>
          <w:rFonts w:cstheme="minorHAnsi"/>
        </w:rPr>
        <w:fldChar w:fldCharType="separate"/>
      </w:r>
      <w:r w:rsidR="00F4054A" w:rsidRPr="00604D5E">
        <w:rPr>
          <w:rFonts w:cstheme="minorHAnsi"/>
          <w:noProof/>
        </w:rPr>
        <w:t>(</w:t>
      </w:r>
      <w:hyperlink w:anchor="_ENREF_11" w:tooltip="Moffitt, 1988 #547" w:history="1">
        <w:r w:rsidR="00631024" w:rsidRPr="00604D5E">
          <w:rPr>
            <w:rFonts w:cstheme="minorHAnsi"/>
            <w:noProof/>
          </w:rPr>
          <w:t>Moffitt and Silva, 1988</w:t>
        </w:r>
      </w:hyperlink>
      <w:r w:rsidR="00F4054A" w:rsidRPr="00604D5E">
        <w:rPr>
          <w:rFonts w:cstheme="minorHAnsi"/>
          <w:noProof/>
        </w:rPr>
        <w:t>)</w:t>
      </w:r>
      <w:r w:rsidR="00F4054A" w:rsidRPr="00604D5E">
        <w:rPr>
          <w:rFonts w:cstheme="minorHAnsi"/>
        </w:rPr>
        <w:fldChar w:fldCharType="end"/>
      </w:r>
      <w:r w:rsidRPr="00604D5E">
        <w:rPr>
          <w:rFonts w:cstheme="minorHAnsi"/>
        </w:rPr>
        <w:t xml:space="preserve"> and the Rutgers Alcohol Problems Index</w:t>
      </w:r>
      <w:r w:rsidR="003420C9" w:rsidRPr="00604D5E">
        <w:rPr>
          <w:rFonts w:cstheme="minorHAnsi"/>
        </w:rPr>
        <w:t xml:space="preserve"> </w:t>
      </w:r>
      <w:r w:rsidR="00F4054A" w:rsidRPr="00604D5E">
        <w:rPr>
          <w:rFonts w:cstheme="minorHAnsi"/>
        </w:rPr>
        <w:fldChar w:fldCharType="begin"/>
      </w:r>
      <w:r w:rsidR="00F4054A" w:rsidRPr="00604D5E">
        <w:rPr>
          <w:rFonts w:cstheme="minorHAnsi"/>
        </w:rPr>
        <w:instrText xml:space="preserve"> ADDIN EN.CITE &lt;EndNote&gt;&lt;Cite&gt;&lt;Author&gt;White&lt;/Author&gt;&lt;Year&gt;1989&lt;/Year&gt;&lt;RecNum&gt;166&lt;/RecNum&gt;&lt;DisplayText&gt;(White and Labouvie, 1989)&lt;/DisplayText&gt;&lt;record&gt;&lt;rec-number&gt;166&lt;/rec-number&gt;&lt;foreign-keys&gt;&lt;key app="EN" db-id="pfde2vp06ttxw0es5535zp5ltw5a5xxfw95s"&gt;166&lt;/key&gt;&lt;/foreign-keys&gt;&lt;ref-type name="Journal Article"&gt;17&lt;/ref-type&gt;&lt;contributors&gt;&lt;authors&gt;&lt;author&gt;White, H.L.&lt;/author&gt;&lt;author&gt;Labouvie, E.W.&lt;/author&gt;&lt;/authors&gt;&lt;/contributors&gt;&lt;titles&gt;&lt;title&gt;Towards the assessment of adolescent problem drinking&lt;/title&gt;&lt;secondary-title&gt;Journal of Studies on Alcohol&lt;/secondary-title&gt;&lt;/titles&gt;&lt;periodical&gt;&lt;full-title&gt;Journal of Studies on Alcohol&lt;/full-title&gt;&lt;abbr-1&gt;J. Stud. Alcohol&lt;/abbr-1&gt;&lt;abbr-2&gt;J Stud Alcohol&lt;/abbr-2&gt;&lt;/periodical&gt;&lt;pages&gt;30-37&lt;/pages&gt;&lt;volume&gt;50&lt;/volume&gt;&lt;dates&gt;&lt;year&gt;1989&lt;/year&gt;&lt;/dates&gt;&lt;urls&gt;&lt;/urls&gt;&lt;/record&gt;&lt;/Cite&gt;&lt;/EndNote&gt;</w:instrText>
      </w:r>
      <w:r w:rsidR="00F4054A" w:rsidRPr="00604D5E">
        <w:rPr>
          <w:rFonts w:cstheme="minorHAnsi"/>
        </w:rPr>
        <w:fldChar w:fldCharType="separate"/>
      </w:r>
      <w:r w:rsidR="00F4054A" w:rsidRPr="00604D5E">
        <w:rPr>
          <w:rFonts w:cstheme="minorHAnsi"/>
          <w:noProof/>
        </w:rPr>
        <w:t>(</w:t>
      </w:r>
      <w:hyperlink w:anchor="_ENREF_13" w:tooltip="White, 1989 #166" w:history="1">
        <w:r w:rsidR="00631024" w:rsidRPr="00604D5E">
          <w:rPr>
            <w:rFonts w:cstheme="minorHAnsi"/>
            <w:noProof/>
          </w:rPr>
          <w:t>White and Labouvie, 1989</w:t>
        </w:r>
      </w:hyperlink>
      <w:r w:rsidR="00F4054A" w:rsidRPr="00604D5E">
        <w:rPr>
          <w:rFonts w:cstheme="minorHAnsi"/>
          <w:noProof/>
        </w:rPr>
        <w:t>)</w:t>
      </w:r>
      <w:r w:rsidR="00F4054A" w:rsidRPr="00604D5E">
        <w:rPr>
          <w:rFonts w:cstheme="minorHAnsi"/>
        </w:rPr>
        <w:fldChar w:fldCharType="end"/>
      </w:r>
      <w:r w:rsidRPr="00604D5E">
        <w:rPr>
          <w:rFonts w:cstheme="minorHAnsi"/>
        </w:rPr>
        <w:t xml:space="preserve"> together with custom written survey items to assess DSM-III-R symptom criteria for a range of mental disorders as well as the</w:t>
      </w:r>
      <w:r w:rsidR="00604D5E">
        <w:rPr>
          <w:rFonts w:cstheme="minorHAnsi"/>
        </w:rPr>
        <w:t xml:space="preserve"> occurrence of suicidal behavio</w:t>
      </w:r>
      <w:r w:rsidRPr="00604D5E">
        <w:rPr>
          <w:rFonts w:cstheme="minorHAnsi"/>
        </w:rPr>
        <w:t xml:space="preserve">rs (suicidal ideation or attempt) in </w:t>
      </w:r>
      <w:r w:rsidRPr="00604D5E">
        <w:rPr>
          <w:rFonts w:cstheme="minorHAnsi"/>
        </w:rPr>
        <w:lastRenderedPageBreak/>
        <w:t xml:space="preserve">each interview period (see Fergusson, </w:t>
      </w:r>
      <w:proofErr w:type="spellStart"/>
      <w:r w:rsidRPr="00604D5E">
        <w:rPr>
          <w:rFonts w:cstheme="minorHAnsi"/>
        </w:rPr>
        <w:t>Horwood</w:t>
      </w:r>
      <w:proofErr w:type="spellEnd"/>
      <w:r w:rsidRPr="00604D5E">
        <w:rPr>
          <w:rFonts w:cstheme="minorHAnsi"/>
        </w:rPr>
        <w:t xml:space="preserve"> and </w:t>
      </w:r>
      <w:proofErr w:type="spellStart"/>
      <w:r w:rsidRPr="00604D5E">
        <w:rPr>
          <w:rFonts w:cstheme="minorHAnsi"/>
        </w:rPr>
        <w:t>Lynskey</w:t>
      </w:r>
      <w:proofErr w:type="spellEnd"/>
      <w:r w:rsidR="003420C9" w:rsidRPr="00604D5E">
        <w:rPr>
          <w:rFonts w:cstheme="minorHAnsi"/>
        </w:rPr>
        <w:t xml:space="preserve"> </w:t>
      </w:r>
      <w:r w:rsidR="00F4054A" w:rsidRPr="00604D5E">
        <w:rPr>
          <w:rFonts w:cstheme="minorHAnsi"/>
        </w:rPr>
        <w:fldChar w:fldCharType="begin"/>
      </w:r>
      <w:r w:rsidR="00DE3019">
        <w:rPr>
          <w:rFonts w:cstheme="minorHAnsi"/>
        </w:rPr>
        <w:instrText xml:space="preserve"> ADDIN EN.CITE &lt;EndNote&gt;&lt;Cite ExcludeAuth="1"&gt;&lt;Author&gt;Fergusson&lt;/Author&gt;&lt;Year&gt;1993&lt;/Year&gt;&lt;RecNum&gt;257&lt;/RecNum&gt;&lt;DisplayText&gt;(1993)&lt;/DisplayText&gt;&lt;record&gt;&lt;rec-number&gt;257&lt;/rec-number&gt;&lt;foreign-keys&gt;&lt;key app="EN" db-id="vx9et9rw6df0a8e9szqxfwzkzd0vvfpz2vse" timestamp="1429757003"&gt;257&lt;/key&gt;&lt;/foreign-keys&gt;&lt;ref-type name="Journal Article"&gt;17&lt;/ref-type&gt;&lt;contributors&gt;&lt;authors&gt;&lt;author&gt;Fergusson, David M.&lt;/author&gt;&lt;author&gt;Horwood, L. John&lt;/author&gt;&lt;author&gt;Lynskey, Michael T.&lt;/author&gt;&lt;/authors&gt;&lt;/contributors&gt;&lt;titles&gt;&lt;title&gt;The prevalence and comorbidity of DSM-III-R diagnoses in a birth cohort of 15 year olds&lt;/title&gt;&lt;secondary-title&gt;Journal of the American Academy of Child and Adolescent Psychiatry&lt;/secondary-title&gt;&lt;/titles&gt;&lt;periodical&gt;&lt;full-title&gt;Journal of the American Academy of Child and Adolescent Psychiatry&lt;/full-title&gt;&lt;abbr-1&gt;J. Am. Acad. Child Adolesc. Psychiatry&lt;/abbr-1&gt;&lt;abbr-2&gt;J Am Acad Child Adolesc Psychiatry&lt;/abbr-2&gt;&lt;abbr-3&gt;Journal of the American Academy of Child &amp;amp; Adolescent Psychiatry&lt;/abbr-3&gt;&lt;/periodical&gt;&lt;pages&gt;1127-1134&lt;/pages&gt;&lt;volume&gt;32&lt;/volume&gt;&lt;number&gt;6&lt;/number&gt;&lt;dates&gt;&lt;year&gt;1993&lt;/year&gt;&lt;/dates&gt;&lt;urls&gt;&lt;/urls&gt;&lt;/record&gt;&lt;/Cite&gt;&lt;/EndNote&gt;</w:instrText>
      </w:r>
      <w:r w:rsidR="00F4054A" w:rsidRPr="00604D5E">
        <w:rPr>
          <w:rFonts w:cstheme="minorHAnsi"/>
        </w:rPr>
        <w:fldChar w:fldCharType="separate"/>
      </w:r>
      <w:r w:rsidR="003420C9" w:rsidRPr="00604D5E">
        <w:rPr>
          <w:rFonts w:cstheme="minorHAnsi"/>
          <w:noProof/>
        </w:rPr>
        <w:t>(</w:t>
      </w:r>
      <w:hyperlink w:anchor="_ENREF_6" w:tooltip="Fergusson, 1993 #257" w:history="1">
        <w:r w:rsidR="00631024" w:rsidRPr="00604D5E">
          <w:rPr>
            <w:rFonts w:cstheme="minorHAnsi"/>
            <w:noProof/>
          </w:rPr>
          <w:t>1993</w:t>
        </w:r>
      </w:hyperlink>
      <w:r w:rsidR="003420C9" w:rsidRPr="00604D5E">
        <w:rPr>
          <w:rFonts w:cstheme="minorHAnsi"/>
          <w:noProof/>
        </w:rPr>
        <w:t>)</w:t>
      </w:r>
      <w:r w:rsidR="00F4054A" w:rsidRPr="00604D5E">
        <w:rPr>
          <w:rFonts w:cstheme="minorHAnsi"/>
        </w:rPr>
        <w:fldChar w:fldCharType="end"/>
      </w:r>
      <w:r w:rsidRPr="00604D5E">
        <w:rPr>
          <w:rFonts w:cstheme="minorHAnsi"/>
        </w:rPr>
        <w:t xml:space="preserve"> for further information). These data were combined over the two assessments to derive a series of dichotomous measures reflecting whether the young person met criteria on the basis of either parent or self-report for a diagnosis of anxiety disorder (generalized anxiety disorder, overanxious disorder, phobias), conduct or oppositional defiant disorder, ADHD, alcohol and illicit substance abuse, or had experienced suicidal ideation or a suicide attempt over the period from age 14-16 years.</w:t>
      </w:r>
    </w:p>
    <w:p w:rsidR="0036332D" w:rsidRPr="00604D5E" w:rsidRDefault="0036332D" w:rsidP="0036332D">
      <w:pPr>
        <w:spacing w:line="360" w:lineRule="auto"/>
        <w:jc w:val="both"/>
        <w:rPr>
          <w:rFonts w:cstheme="minorHAnsi"/>
        </w:rPr>
      </w:pPr>
    </w:p>
    <w:p w:rsidR="00B66807" w:rsidRPr="00604D5E" w:rsidRDefault="00B66807">
      <w:pPr>
        <w:rPr>
          <w:rFonts w:cstheme="minorHAnsi"/>
        </w:rPr>
      </w:pPr>
      <w:r w:rsidRPr="00604D5E">
        <w:rPr>
          <w:rFonts w:cstheme="minorHAnsi"/>
        </w:rPr>
        <w:br w:type="page"/>
      </w:r>
    </w:p>
    <w:p w:rsidR="005C514B" w:rsidRPr="005C514B" w:rsidRDefault="005C514B" w:rsidP="005C514B">
      <w:pPr>
        <w:spacing w:line="360" w:lineRule="auto"/>
        <w:rPr>
          <w:rFonts w:cstheme="minorHAnsi"/>
          <w:b/>
        </w:rPr>
      </w:pPr>
      <w:r w:rsidRPr="005C514B">
        <w:rPr>
          <w:rFonts w:cstheme="minorHAnsi"/>
          <w:b/>
        </w:rPr>
        <w:lastRenderedPageBreak/>
        <w:t xml:space="preserve">Online Supplement 2. Associations between depression at 14-16 years and a series of mental health and psychosocial outcomes assessed at ages 30, 35 years, and pooled across observations. </w:t>
      </w:r>
    </w:p>
    <w:tbl>
      <w:tblPr>
        <w:tblStyle w:val="TableGrid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1917"/>
        <w:gridCol w:w="2178"/>
        <w:gridCol w:w="1897"/>
        <w:gridCol w:w="1967"/>
      </w:tblGrid>
      <w:tr w:rsidR="005C514B" w:rsidRPr="00604D5E" w:rsidTr="00EF3CA8">
        <w:trPr>
          <w:trHeight w:val="454"/>
        </w:trPr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604D5E">
              <w:rPr>
                <w:rFonts w:cstheme="minorHAnsi"/>
              </w:rPr>
              <w:t>Depression (14-16 years)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54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Outcome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604D5E">
              <w:rPr>
                <w:rFonts w:cstheme="minorHAnsi"/>
              </w:rPr>
              <w:t>None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604D5E">
              <w:rPr>
                <w:rFonts w:cstheme="minorHAnsi"/>
              </w:rPr>
              <w:t>Sub-threshold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604D5E">
              <w:rPr>
                <w:rFonts w:cstheme="minorHAnsi"/>
              </w:rPr>
              <w:t>Major depression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5C514B" w:rsidRPr="00C209D3" w:rsidRDefault="005C514B" w:rsidP="00EF3CA8">
            <w:pPr>
              <w:spacing w:line="360" w:lineRule="auto"/>
              <w:jc w:val="center"/>
              <w:rPr>
                <w:rFonts w:cstheme="minorHAnsi"/>
                <w:i/>
                <w:vertAlign w:val="superscript"/>
              </w:rPr>
            </w:pPr>
            <w:r>
              <w:rPr>
                <w:rFonts w:cstheme="minorHAnsi"/>
                <w:i/>
              </w:rPr>
              <w:t>p</w:t>
            </w:r>
            <w:r>
              <w:rPr>
                <w:rFonts w:cstheme="minorHAnsi"/>
                <w:i/>
                <w:vertAlign w:val="superscript"/>
              </w:rPr>
              <w:t>a</w:t>
            </w:r>
          </w:p>
        </w:tc>
      </w:tr>
      <w:tr w:rsidR="005C514B" w:rsidRPr="00604D5E" w:rsidTr="00EF3CA8">
        <w:trPr>
          <w:trHeight w:val="40"/>
        </w:trPr>
        <w:tc>
          <w:tcPr>
            <w:tcW w:w="3582" w:type="dxa"/>
            <w:gridSpan w:val="2"/>
            <w:tcBorders>
              <w:top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b/>
              </w:rPr>
            </w:pPr>
            <w:r w:rsidRPr="00604D5E">
              <w:rPr>
                <w:rFonts w:cstheme="minorHAnsi"/>
                <w:b/>
              </w:rPr>
              <w:t>Mental health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3582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u w:val="single"/>
              </w:rPr>
            </w:pPr>
            <w:r w:rsidRPr="00604D5E">
              <w:rPr>
                <w:rFonts w:cstheme="minorHAnsi"/>
                <w:u w:val="single"/>
              </w:rPr>
              <w:t>Major depression %</w:t>
            </w:r>
            <w:r>
              <w:rPr>
                <w:rFonts w:cstheme="minorHAnsi"/>
                <w:u w:val="single"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25-</w:t>
            </w:r>
            <w:r w:rsidRPr="00604D5E">
              <w:rPr>
                <w:rFonts w:cstheme="minorHAnsi"/>
              </w:rPr>
              <w:t xml:space="preserve">30 years 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22.6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35.2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30-35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15.5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20.4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30.9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16.5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21.5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&lt;0.001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3582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u w:val="single"/>
              </w:rPr>
            </w:pPr>
            <w:r w:rsidRPr="00604D5E">
              <w:rPr>
                <w:rFonts w:cstheme="minorHAnsi"/>
                <w:u w:val="single"/>
              </w:rPr>
              <w:t>Anxiety disorder %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604D5E">
              <w:rPr>
                <w:rFonts w:cstheme="minorHAnsi"/>
              </w:rPr>
              <w:t>-30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28.9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Pr="00604D5E">
              <w:rPr>
                <w:rFonts w:cstheme="minorHAnsi"/>
              </w:rPr>
              <w:t xml:space="preserve">-35 years 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11.9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12.7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20.6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&lt;0.001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3582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u w:val="single"/>
              </w:rPr>
            </w:pPr>
            <w:r w:rsidRPr="00604D5E">
              <w:rPr>
                <w:rFonts w:cstheme="minorHAnsi"/>
                <w:u w:val="single"/>
              </w:rPr>
              <w:t>Suicidal ideation/attempt %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604D5E">
              <w:rPr>
                <w:rFonts w:cstheme="minorHAnsi"/>
              </w:rPr>
              <w:t>-30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5.1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9.5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Pr="00604D5E">
              <w:rPr>
                <w:rFonts w:cstheme="minorHAnsi"/>
              </w:rPr>
              <w:t xml:space="preserve">-35 years 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&lt;0.001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3582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u w:val="single"/>
              </w:rPr>
            </w:pPr>
            <w:r w:rsidRPr="00604D5E">
              <w:rPr>
                <w:rFonts w:cstheme="minorHAnsi"/>
                <w:u w:val="single"/>
              </w:rPr>
              <w:t>Alcohol abuse/dependence %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604D5E">
              <w:rPr>
                <w:rFonts w:cstheme="minorHAnsi"/>
              </w:rPr>
              <w:t>-30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13.3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16.7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Pr="00604D5E">
              <w:rPr>
                <w:rFonts w:cstheme="minorHAnsi"/>
              </w:rPr>
              <w:t xml:space="preserve">-35 years 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20.4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18.5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15.5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=0.450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5C514B" w:rsidRDefault="005C514B" w:rsidP="005C514B">
      <w:r>
        <w:br w:type="page"/>
      </w:r>
    </w:p>
    <w:tbl>
      <w:tblPr>
        <w:tblStyle w:val="TableGrid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81"/>
        <w:gridCol w:w="1917"/>
        <w:gridCol w:w="2178"/>
        <w:gridCol w:w="1897"/>
        <w:gridCol w:w="1967"/>
      </w:tblGrid>
      <w:tr w:rsidR="005C514B" w:rsidRPr="00604D5E" w:rsidTr="00EF3CA8">
        <w:trPr>
          <w:trHeight w:val="40"/>
        </w:trPr>
        <w:tc>
          <w:tcPr>
            <w:tcW w:w="5760" w:type="dxa"/>
            <w:gridSpan w:val="4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u w:val="single"/>
              </w:rPr>
            </w:pPr>
            <w:r w:rsidRPr="00604D5E">
              <w:rPr>
                <w:rFonts w:cstheme="minorHAnsi"/>
                <w:u w:val="single"/>
              </w:rPr>
              <w:lastRenderedPageBreak/>
              <w:t>Illicit substance abuse/dependence %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604D5E">
              <w:rPr>
                <w:rFonts w:cstheme="minorHAnsi"/>
              </w:rPr>
              <w:t>-30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11.9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15.6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Pr="00604D5E">
              <w:rPr>
                <w:rFonts w:cstheme="minorHAnsi"/>
              </w:rPr>
              <w:t xml:space="preserve">-35 years 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7.2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10.5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11.4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7.1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13.5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=0.002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5760" w:type="dxa"/>
            <w:gridSpan w:val="4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  <w:u w:val="single"/>
              </w:rPr>
              <w:t>Any mental health problem %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604D5E">
              <w:rPr>
                <w:rFonts w:cstheme="minorHAnsi"/>
              </w:rPr>
              <w:t>-30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37.9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49.4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Pr="00604D5E">
              <w:rPr>
                <w:rFonts w:cstheme="minorHAnsi"/>
              </w:rPr>
              <w:t>-35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46.9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61.0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 xml:space="preserve">Pooled 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36.5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48.2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62.2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&lt;0.001</w:t>
            </w:r>
          </w:p>
        </w:tc>
      </w:tr>
      <w:tr w:rsidR="005C514B" w:rsidRPr="0055051F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55051F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55051F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55051F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55051F">
              <w:rPr>
                <w:rFonts w:cstheme="minorHAnsi"/>
              </w:rPr>
              <w:t>1240</w:t>
            </w:r>
          </w:p>
        </w:tc>
        <w:tc>
          <w:tcPr>
            <w:tcW w:w="2178" w:type="dxa"/>
            <w:vAlign w:val="center"/>
          </w:tcPr>
          <w:p w:rsidR="005C514B" w:rsidRPr="0055051F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55051F">
              <w:rPr>
                <w:rFonts w:cstheme="minorHAnsi"/>
              </w:rPr>
              <w:t>330</w:t>
            </w:r>
          </w:p>
        </w:tc>
        <w:tc>
          <w:tcPr>
            <w:tcW w:w="1897" w:type="dxa"/>
            <w:vAlign w:val="center"/>
          </w:tcPr>
          <w:p w:rsidR="005C514B" w:rsidRPr="0055051F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55051F">
              <w:rPr>
                <w:rFonts w:cstheme="minorHAnsi"/>
              </w:rPr>
              <w:t>251</w:t>
            </w:r>
          </w:p>
        </w:tc>
        <w:tc>
          <w:tcPr>
            <w:tcW w:w="1967" w:type="dxa"/>
            <w:vAlign w:val="center"/>
          </w:tcPr>
          <w:p w:rsidR="005C514B" w:rsidRPr="0055051F" w:rsidRDefault="005C514B" w:rsidP="00EF3CA8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5760" w:type="dxa"/>
            <w:gridSpan w:val="4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  <w:b/>
              </w:rPr>
              <w:t>Education and economic circumstances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5760" w:type="dxa"/>
            <w:gridSpan w:val="4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u w:val="single"/>
              </w:rPr>
            </w:pPr>
            <w:r w:rsidRPr="00604D5E">
              <w:rPr>
                <w:rFonts w:cstheme="minorHAnsi"/>
                <w:u w:val="single"/>
              </w:rPr>
              <w:t>Degree attainment %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584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30 years</w:t>
            </w:r>
          </w:p>
        </w:tc>
        <w:tc>
          <w:tcPr>
            <w:tcW w:w="1998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32.5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22.9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584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98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175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584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35 years</w:t>
            </w:r>
          </w:p>
        </w:tc>
        <w:tc>
          <w:tcPr>
            <w:tcW w:w="1998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34.2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21.4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584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98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647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176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584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 xml:space="preserve">Pooled </w:t>
            </w:r>
          </w:p>
        </w:tc>
        <w:tc>
          <w:tcPr>
            <w:tcW w:w="1998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33.3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23.9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19.9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=0.001</w:t>
            </w:r>
          </w:p>
        </w:tc>
      </w:tr>
      <w:tr w:rsidR="005C514B" w:rsidRPr="00604D5E" w:rsidTr="00EF3CA8">
        <w:trPr>
          <w:trHeight w:val="40"/>
        </w:trPr>
        <w:tc>
          <w:tcPr>
            <w:tcW w:w="1584" w:type="dxa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98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1291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351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262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3582" w:type="dxa"/>
            <w:gridSpan w:val="3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u w:val="single"/>
              </w:rPr>
            </w:pPr>
            <w:r w:rsidRPr="00604D5E">
              <w:rPr>
                <w:rFonts w:cstheme="minorHAnsi"/>
                <w:u w:val="single"/>
              </w:rPr>
              <w:t>Welfare dependence %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604D5E">
              <w:rPr>
                <w:rFonts w:cstheme="minorHAnsi"/>
              </w:rPr>
              <w:t>-30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17.9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Pr="00604D5E">
              <w:rPr>
                <w:rFonts w:cstheme="minorHAnsi"/>
              </w:rPr>
              <w:t>-35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12.9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&lt;0.001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5760" w:type="dxa"/>
            <w:gridSpan w:val="4"/>
            <w:vAlign w:val="center"/>
          </w:tcPr>
          <w:p w:rsidR="005C514B" w:rsidRPr="005E0389" w:rsidRDefault="005C514B" w:rsidP="00EF3CA8">
            <w:pPr>
              <w:spacing w:line="360" w:lineRule="auto"/>
              <w:rPr>
                <w:rFonts w:cstheme="minorHAnsi"/>
                <w:u w:val="single"/>
                <w:vertAlign w:val="superscript"/>
              </w:rPr>
            </w:pPr>
            <w:r w:rsidRPr="00604D5E">
              <w:rPr>
                <w:rFonts w:cstheme="minorHAnsi"/>
                <w:u w:val="single"/>
              </w:rPr>
              <w:t>Net personal weekly income (NZD) mean (</w:t>
            </w:r>
            <w:r w:rsidRPr="00604D5E">
              <w:rPr>
                <w:rFonts w:cstheme="minorHAnsi"/>
                <w:sz w:val="20"/>
                <w:szCs w:val="20"/>
                <w:u w:val="single"/>
              </w:rPr>
              <w:t>S.D.</w:t>
            </w:r>
            <w:r w:rsidRPr="00604D5E">
              <w:rPr>
                <w:rFonts w:cstheme="minorHAnsi"/>
                <w:u w:val="single"/>
              </w:rPr>
              <w:t>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29-30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806.9 (585.0)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653.8 (517.0)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563.7 (547.0)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623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 xml:space="preserve">34-35 years 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837.0 (626.4)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700.0 (531.6)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617.8 (644.3)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821.8 (605.9)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676.5 (523.9)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590.2 (596.0)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&lt;0.001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1237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329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5760" w:type="dxa"/>
            <w:gridSpan w:val="4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  <w:b/>
              </w:rPr>
              <w:lastRenderedPageBreak/>
              <w:t>Partnership and family outcomes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5760" w:type="dxa"/>
            <w:gridSpan w:val="4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u w:val="single"/>
              </w:rPr>
            </w:pPr>
            <w:r w:rsidRPr="00604D5E">
              <w:rPr>
                <w:rFonts w:cstheme="minorHAnsi"/>
                <w:u w:val="single"/>
              </w:rPr>
              <w:t>Any unintended pregnancies %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42.3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53.9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 xml:space="preserve">35 years 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40.7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50.6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58.5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37.3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46.4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56.2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&lt;0.001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5760" w:type="dxa"/>
            <w:gridSpan w:val="4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  <w:u w:val="single"/>
              </w:rPr>
              <w:t>Sole parenthood %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3.8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35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5.9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11.4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614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4.8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13.2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&lt;0.001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1240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251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5760" w:type="dxa"/>
            <w:gridSpan w:val="4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vertAlign w:val="superscript"/>
              </w:rPr>
            </w:pPr>
            <w:r w:rsidRPr="00604D5E">
              <w:rPr>
                <w:rFonts w:cstheme="minorHAnsi"/>
                <w:u w:val="single"/>
              </w:rPr>
              <w:t>Relationship quality mean (</w:t>
            </w:r>
            <w:r w:rsidRPr="00604D5E">
              <w:rPr>
                <w:rFonts w:cstheme="minorHAnsi"/>
                <w:sz w:val="20"/>
                <w:szCs w:val="20"/>
                <w:u w:val="single"/>
              </w:rPr>
              <w:t>S.D.</w:t>
            </w:r>
            <w:r w:rsidRPr="00604D5E">
              <w:rPr>
                <w:rFonts w:cstheme="minorHAnsi"/>
                <w:u w:val="single"/>
              </w:rPr>
              <w:t>)</w:t>
            </w:r>
            <w:r>
              <w:rPr>
                <w:rFonts w:cstheme="minorHAnsi"/>
                <w:u w:val="single"/>
                <w:vertAlign w:val="superscript"/>
              </w:rPr>
              <w:t>b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29-30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27.7 (7.1)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26.6 (7.9)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26.1 (8.8)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 xml:space="preserve">34-35 years 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28.5 (6.3)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 (6.3)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27.5 (7.0)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529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28.1 (6.7)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27.3 (7.5)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26.8 (8.0)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=0.013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1085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9624" w:type="dxa"/>
            <w:gridSpan w:val="6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vertAlign w:val="superscript"/>
              </w:rPr>
            </w:pPr>
            <w:r w:rsidRPr="00604D5E">
              <w:rPr>
                <w:u w:val="single"/>
              </w:rPr>
              <w:t>Intimate partner violence perpetration</w:t>
            </w:r>
            <w:r w:rsidRPr="00604D5E">
              <w:rPr>
                <w:rFonts w:cstheme="minorHAnsi"/>
                <w:u w:val="single"/>
              </w:rPr>
              <w:t xml:space="preserve"> mean (</w:t>
            </w:r>
            <w:r w:rsidRPr="00604D5E">
              <w:rPr>
                <w:rFonts w:cstheme="minorHAnsi"/>
                <w:sz w:val="20"/>
                <w:szCs w:val="20"/>
                <w:u w:val="single"/>
              </w:rPr>
              <w:t>S.D.</w:t>
            </w:r>
            <w:r w:rsidRPr="00604D5E">
              <w:rPr>
                <w:rFonts w:cstheme="minorHAnsi"/>
                <w:u w:val="single"/>
              </w:rPr>
              <w:t>)</w:t>
            </w:r>
            <w:r>
              <w:rPr>
                <w:rFonts w:cstheme="minorHAnsi"/>
                <w:u w:val="single"/>
                <w:vertAlign w:val="superscript"/>
              </w:rPr>
              <w:t>b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29-30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(1.9)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 (2.0)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 (2.3)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558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 xml:space="preserve">34-35 years 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(1.7)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2.3 (1.7)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 (1.9)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528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(1.8)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 (1.9)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 (2.1)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&lt;0.001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1086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7657" w:type="dxa"/>
            <w:gridSpan w:val="5"/>
            <w:vAlign w:val="center"/>
          </w:tcPr>
          <w:p w:rsidR="005C514B" w:rsidRPr="006A5570" w:rsidRDefault="005C514B" w:rsidP="006A5570">
            <w:pPr>
              <w:spacing w:line="360" w:lineRule="auto"/>
              <w:rPr>
                <w:rFonts w:cstheme="minorHAnsi"/>
                <w:u w:val="single"/>
                <w:vertAlign w:val="superscript"/>
              </w:rPr>
            </w:pPr>
            <w:r w:rsidRPr="00604D5E">
              <w:rPr>
                <w:u w:val="single"/>
              </w:rPr>
              <w:t>Intimate partner violence victimi</w:t>
            </w:r>
            <w:r>
              <w:rPr>
                <w:u w:val="single"/>
              </w:rPr>
              <w:t>z</w:t>
            </w:r>
            <w:r w:rsidRPr="00604D5E">
              <w:rPr>
                <w:u w:val="single"/>
              </w:rPr>
              <w:t>ation</w:t>
            </w:r>
            <w:r w:rsidRPr="00604D5E">
              <w:t xml:space="preserve"> </w:t>
            </w:r>
            <w:r w:rsidRPr="00604D5E">
              <w:rPr>
                <w:rFonts w:cstheme="minorHAnsi"/>
                <w:u w:val="single"/>
              </w:rPr>
              <w:t>mean (</w:t>
            </w:r>
            <w:r w:rsidRPr="00604D5E">
              <w:rPr>
                <w:rFonts w:cstheme="minorHAnsi"/>
                <w:sz w:val="20"/>
                <w:szCs w:val="20"/>
                <w:u w:val="single"/>
              </w:rPr>
              <w:t>S.D.</w:t>
            </w:r>
            <w:r w:rsidR="006A5570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6A5570">
              <w:rPr>
                <w:rFonts w:cstheme="minorHAnsi"/>
                <w:sz w:val="20"/>
                <w:szCs w:val="20"/>
                <w:u w:val="single"/>
                <w:vertAlign w:val="superscript"/>
              </w:rPr>
              <w:t>b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29-30 years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 (2.0)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 (2.3)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2.9 (3.0)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558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 xml:space="preserve">34-35 years 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2.3 (2.1)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 (2.5)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2.8 (2.3)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528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</w:rPr>
            </w:pPr>
            <w:r w:rsidRPr="00604D5E">
              <w:rPr>
                <w:rFonts w:cstheme="minorHAnsi"/>
              </w:rPr>
              <w:t>Pooled</w:t>
            </w:r>
          </w:p>
        </w:tc>
        <w:tc>
          <w:tcPr>
            <w:tcW w:w="191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 (2.1)</w:t>
            </w:r>
          </w:p>
        </w:tc>
        <w:tc>
          <w:tcPr>
            <w:tcW w:w="2178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 (2.4)</w:t>
            </w:r>
          </w:p>
        </w:tc>
        <w:tc>
          <w:tcPr>
            <w:tcW w:w="189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2.9 (2.6)</w:t>
            </w:r>
          </w:p>
        </w:tc>
        <w:tc>
          <w:tcPr>
            <w:tcW w:w="1967" w:type="dxa"/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 w:rsidRPr="0023219B"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&lt;0.001</w:t>
            </w:r>
          </w:p>
        </w:tc>
      </w:tr>
      <w:tr w:rsidR="005C514B" w:rsidRPr="00604D5E" w:rsidTr="00EF3CA8">
        <w:trPr>
          <w:trHeight w:val="40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rPr>
                <w:rFonts w:cstheme="minorHAnsi"/>
                <w:i/>
              </w:rPr>
            </w:pPr>
            <w:r w:rsidRPr="00604D5E">
              <w:rPr>
                <w:rFonts w:cstheme="minorHAnsi"/>
                <w:i/>
              </w:rPr>
              <w:t>N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1086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288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5C514B" w:rsidRPr="00604D5E" w:rsidRDefault="005C514B" w:rsidP="00EF3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6527DF" w:rsidRDefault="005C514B" w:rsidP="005C514B">
      <w:pPr>
        <w:spacing w:line="240" w:lineRule="auto"/>
        <w:contextualSpacing/>
        <w:rPr>
          <w:rFonts w:cstheme="minorHAnsi"/>
        </w:rPr>
      </w:pPr>
      <w:r w:rsidRPr="00604D5E">
        <w:rPr>
          <w:rFonts w:cstheme="minorHAnsi"/>
          <w:sz w:val="20"/>
          <w:szCs w:val="20"/>
        </w:rPr>
        <w:lastRenderedPageBreak/>
        <w:t>S.D.</w:t>
      </w:r>
      <w:r w:rsidRPr="00604D5E">
        <w:rPr>
          <w:rFonts w:cstheme="minorHAnsi"/>
        </w:rPr>
        <w:t>, standard deviation; NZD, New Zealand dollars.</w:t>
      </w:r>
      <w:r>
        <w:rPr>
          <w:rFonts w:cstheme="minorHAnsi"/>
        </w:rPr>
        <w:t xml:space="preserve"> Unadjusted regression coefficients (B) and standard errors (S.E.) are shown in Table 1 of the manuscript.</w:t>
      </w:r>
      <w:r w:rsidRPr="00604D5E">
        <w:rPr>
          <w:rFonts w:cstheme="minorHAnsi"/>
        </w:rPr>
        <w:br/>
      </w:r>
      <w:proofErr w:type="gramStart"/>
      <w:r w:rsidRPr="00604D5E">
        <w:rPr>
          <w:rFonts w:cstheme="minorHAnsi"/>
          <w:vertAlign w:val="superscript"/>
        </w:rPr>
        <w:t>a</w:t>
      </w:r>
      <w:proofErr w:type="gramEnd"/>
      <w:r w:rsidRPr="00604D5E"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P-values for the associations between extent of adolescent depression and the outcomes were obtained from fitting population-averaged generalized estimating equation regression models to the data (see Statistical methods in the manuscript). </w:t>
      </w:r>
    </w:p>
    <w:p w:rsidR="005C514B" w:rsidRPr="00604D5E" w:rsidRDefault="005C514B" w:rsidP="005C514B">
      <w:pPr>
        <w:spacing w:line="240" w:lineRule="auto"/>
        <w:contextualSpacing/>
        <w:rPr>
          <w:rFonts w:cstheme="minorHAnsi"/>
        </w:rPr>
      </w:pPr>
      <w:r>
        <w:rPr>
          <w:rFonts w:cstheme="minorHAnsi"/>
          <w:vertAlign w:val="superscript"/>
        </w:rPr>
        <w:t xml:space="preserve">b </w:t>
      </w:r>
      <w:r w:rsidRPr="00604D5E">
        <w:rPr>
          <w:rFonts w:cstheme="minorHAnsi"/>
        </w:rPr>
        <w:t>Analysis restricted to respondents in any romantic partnership over the previous 12 months, at 29-30 years and 34-35 years, who also had information on adolescent depression: 30 years n=818; 35 years n=779; and pooled n=1596.</w:t>
      </w:r>
    </w:p>
    <w:p w:rsidR="00076939" w:rsidRPr="00180190" w:rsidRDefault="005C514B" w:rsidP="00076939">
      <w:pPr>
        <w:rPr>
          <w:b/>
        </w:rPr>
      </w:pPr>
      <w:r w:rsidRPr="00604D5E">
        <w:br w:type="page"/>
      </w:r>
      <w:r w:rsidR="00076939" w:rsidRPr="00180190">
        <w:rPr>
          <w:b/>
        </w:rPr>
        <w:lastRenderedPageBreak/>
        <w:t xml:space="preserve">Online Supplement 3: Sensitivity </w:t>
      </w:r>
      <w:r w:rsidR="00880626">
        <w:rPr>
          <w:b/>
        </w:rPr>
        <w:t>a</w:t>
      </w:r>
      <w:r w:rsidR="00076939" w:rsidRPr="00180190">
        <w:rPr>
          <w:b/>
        </w:rPr>
        <w:t xml:space="preserve">nalysis </w:t>
      </w:r>
      <w:r w:rsidR="00880626">
        <w:rPr>
          <w:b/>
        </w:rPr>
        <w:t>using</w:t>
      </w:r>
      <w:r w:rsidR="00076939" w:rsidRPr="00180190">
        <w:rPr>
          <w:b/>
        </w:rPr>
        <w:t xml:space="preserve"> </w:t>
      </w:r>
      <w:r w:rsidR="00880626">
        <w:rPr>
          <w:b/>
        </w:rPr>
        <w:t>n</w:t>
      </w:r>
      <w:r w:rsidR="00076939" w:rsidRPr="00180190">
        <w:rPr>
          <w:b/>
        </w:rPr>
        <w:t xml:space="preserve">umber of </w:t>
      </w:r>
      <w:r w:rsidR="00880626">
        <w:rPr>
          <w:b/>
        </w:rPr>
        <w:t>d</w:t>
      </w:r>
      <w:r w:rsidR="00076939" w:rsidRPr="00180190">
        <w:rPr>
          <w:b/>
        </w:rPr>
        <w:t xml:space="preserve">epressive </w:t>
      </w:r>
      <w:r w:rsidR="00880626">
        <w:rPr>
          <w:b/>
        </w:rPr>
        <w:t>s</w:t>
      </w:r>
      <w:r w:rsidR="00076939" w:rsidRPr="00180190">
        <w:rPr>
          <w:b/>
        </w:rPr>
        <w:t xml:space="preserve">ymptoms (14-16 years) </w:t>
      </w:r>
    </w:p>
    <w:p w:rsidR="00076939" w:rsidRDefault="00076939" w:rsidP="00076939">
      <w:r>
        <w:t>As described in the paper a sensitivity analysis was conducted to examine the robustness of analysis findings to the use of an alternative measure of adolescent depression</w:t>
      </w:r>
      <w:r w:rsidR="00880626">
        <w:t>, a count of the number of DSM major depression symptoms reported for the interval 14-16 years, where a symptom was counted as present if it was reported by either the child or the parent.</w:t>
      </w:r>
      <w:r>
        <w:t xml:space="preserve"> </w:t>
      </w:r>
      <w:r w:rsidR="00880626">
        <w:t xml:space="preserve">The table below </w:t>
      </w:r>
      <w:proofErr w:type="spellStart"/>
      <w:r w:rsidR="00880626">
        <w:t>summarises</w:t>
      </w:r>
      <w:proofErr w:type="spellEnd"/>
      <w:r w:rsidR="00880626">
        <w:t xml:space="preserve"> the fitted regression coefficients </w:t>
      </w:r>
      <w:r w:rsidR="00270C9B">
        <w:t xml:space="preserve">from population averaged regression models fitted to the repeated measures data at ages 30, 35 years </w:t>
      </w:r>
      <w:r w:rsidR="00880626">
        <w:t xml:space="preserve">for the effect of number of depressive symptoms </w:t>
      </w:r>
      <w:r w:rsidR="00270C9B">
        <w:t>on each outcome, before and after adjustment for covariates.</w:t>
      </w:r>
    </w:p>
    <w:p w:rsidR="00076939" w:rsidRDefault="00076939" w:rsidP="00076939">
      <w:r>
        <w:t>Associations between number of depressive symptoms in adolescence (14-16 years) and adult functional outcomes assessed at 30, 35 years before and after adjustment for covariates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1529"/>
        <w:gridCol w:w="850"/>
        <w:gridCol w:w="280"/>
        <w:gridCol w:w="1520"/>
        <w:gridCol w:w="828"/>
        <w:gridCol w:w="1413"/>
      </w:tblGrid>
      <w:tr w:rsidR="00920813" w:rsidTr="00467E7B">
        <w:tc>
          <w:tcPr>
            <w:tcW w:w="29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6939" w:rsidRDefault="00076939" w:rsidP="007566D6">
            <w:pPr>
              <w:spacing w:before="120" w:after="120"/>
            </w:pPr>
          </w:p>
          <w:p w:rsidR="00076939" w:rsidRDefault="00076939" w:rsidP="007566D6">
            <w:pPr>
              <w:spacing w:before="240" w:after="120"/>
            </w:pPr>
            <w:r>
              <w:t>Outcome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939" w:rsidRDefault="00076939" w:rsidP="007566D6">
            <w:pPr>
              <w:spacing w:before="120" w:after="120"/>
              <w:jc w:val="center"/>
            </w:pPr>
            <w:r>
              <w:t>Unadjusted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076939" w:rsidRDefault="00076939" w:rsidP="007566D6">
            <w:pPr>
              <w:spacing w:before="120" w:after="120"/>
              <w:jc w:val="center"/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939" w:rsidRDefault="00076939" w:rsidP="007566D6">
            <w:pPr>
              <w:spacing w:before="120" w:after="120"/>
              <w:jc w:val="center"/>
            </w:pPr>
            <w:r>
              <w:t>Adjusted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6939" w:rsidRPr="006527DF" w:rsidRDefault="00076939" w:rsidP="007566D6">
            <w:pPr>
              <w:spacing w:before="360" w:after="120"/>
              <w:rPr>
                <w:vertAlign w:val="superscript"/>
              </w:rPr>
            </w:pPr>
            <w:r>
              <w:t xml:space="preserve">Significant </w:t>
            </w:r>
            <w:r>
              <w:br/>
            </w:r>
            <w:proofErr w:type="spellStart"/>
            <w:r>
              <w:t>Covariates</w:t>
            </w:r>
            <w:r w:rsidR="006527DF">
              <w:rPr>
                <w:vertAlign w:val="superscript"/>
              </w:rPr>
              <w:t>c</w:t>
            </w:r>
            <w:proofErr w:type="spellEnd"/>
          </w:p>
        </w:tc>
      </w:tr>
      <w:tr w:rsidR="00920813" w:rsidTr="00467E7B">
        <w:tc>
          <w:tcPr>
            <w:tcW w:w="29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076939" w:rsidRDefault="00076939" w:rsidP="007566D6">
            <w:pPr>
              <w:spacing w:before="120" w:after="120"/>
              <w:jc w:val="center"/>
            </w:pPr>
            <w:r>
              <w:t>B (</w:t>
            </w:r>
            <w:r w:rsidRPr="00645151">
              <w:rPr>
                <w:smallCaps/>
              </w:rPr>
              <w:t>S.E</w:t>
            </w:r>
            <w: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6939" w:rsidRPr="00645151" w:rsidRDefault="00076939" w:rsidP="007566D6">
            <w:pPr>
              <w:spacing w:before="120" w:after="120"/>
              <w:jc w:val="center"/>
              <w:rPr>
                <w:i/>
              </w:rPr>
            </w:pPr>
            <w:r w:rsidRPr="00645151">
              <w:rPr>
                <w:i/>
              </w:rPr>
              <w:t>P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076939" w:rsidRDefault="00076939" w:rsidP="007566D6">
            <w:pPr>
              <w:spacing w:before="120" w:after="120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076939" w:rsidRDefault="00076939" w:rsidP="007566D6">
            <w:pPr>
              <w:spacing w:before="120" w:after="120"/>
              <w:jc w:val="center"/>
            </w:pPr>
            <w:r>
              <w:t>B (</w:t>
            </w:r>
            <w:r w:rsidRPr="00645151">
              <w:rPr>
                <w:smallCaps/>
              </w:rPr>
              <w:t>S.E</w:t>
            </w:r>
            <w:r>
              <w:t>.)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76939" w:rsidRPr="00645151" w:rsidRDefault="00076939" w:rsidP="007566D6">
            <w:pPr>
              <w:spacing w:before="120" w:after="120"/>
              <w:jc w:val="center"/>
              <w:rPr>
                <w:i/>
              </w:rPr>
            </w:pPr>
            <w:r w:rsidRPr="00645151">
              <w:rPr>
                <w:i/>
              </w:rPr>
              <w:t>P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076939" w:rsidRDefault="00076939" w:rsidP="007566D6">
            <w:pPr>
              <w:spacing w:before="120" w:after="120"/>
            </w:pPr>
          </w:p>
        </w:tc>
      </w:tr>
      <w:tr w:rsidR="00467E7B" w:rsidTr="00467E7B"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076939" w:rsidRPr="00BD5DFA" w:rsidRDefault="00076939" w:rsidP="007566D6">
            <w:pPr>
              <w:spacing w:before="120" w:after="120"/>
              <w:rPr>
                <w:b/>
                <w:vertAlign w:val="superscript"/>
                <w:lang w:val="en-GB"/>
              </w:rPr>
            </w:pPr>
            <w:r w:rsidRPr="00C77F77">
              <w:rPr>
                <w:b/>
                <w:lang w:val="en-GB"/>
              </w:rPr>
              <w:t>Mental health</w:t>
            </w:r>
            <w:r>
              <w:rPr>
                <w:b/>
                <w:lang w:val="en-GB"/>
              </w:rPr>
              <w:t xml:space="preserve"> problems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76939" w:rsidRDefault="00076939" w:rsidP="007566D6">
            <w:pPr>
              <w:spacing w:before="120" w:after="120"/>
            </w:pP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C77F77" w:rsidRDefault="00076939" w:rsidP="007566D6">
            <w:pPr>
              <w:spacing w:before="120" w:after="120"/>
              <w:rPr>
                <w:lang w:val="en-GB"/>
              </w:rPr>
            </w:pPr>
            <w:r w:rsidRPr="00C77F77">
              <w:rPr>
                <w:lang w:val="en-GB"/>
              </w:rPr>
              <w:t xml:space="preserve">Major depression 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0.126 (0.022)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420D10">
            <w:pPr>
              <w:spacing w:before="120" w:after="120"/>
              <w:jc w:val="center"/>
            </w:pPr>
            <w:r>
              <w:t>0.05</w:t>
            </w:r>
            <w:r w:rsidR="00420D10">
              <w:t>6</w:t>
            </w:r>
            <w:r>
              <w:t xml:space="preserve"> (0.02</w:t>
            </w:r>
            <w:r w:rsidR="00420D10">
              <w:t>5</w:t>
            </w:r>
            <w:r>
              <w:t>)</w:t>
            </w:r>
          </w:p>
        </w:tc>
        <w:tc>
          <w:tcPr>
            <w:tcW w:w="828" w:type="dxa"/>
          </w:tcPr>
          <w:p w:rsidR="00076939" w:rsidRDefault="00076939" w:rsidP="00420D10">
            <w:pPr>
              <w:spacing w:before="120" w:after="120"/>
            </w:pPr>
            <w:r>
              <w:t>0.02</w:t>
            </w:r>
            <w:r w:rsidR="00420D10">
              <w:t>4</w:t>
            </w:r>
          </w:p>
        </w:tc>
        <w:tc>
          <w:tcPr>
            <w:tcW w:w="1413" w:type="dxa"/>
          </w:tcPr>
          <w:p w:rsidR="00076939" w:rsidRDefault="00076939" w:rsidP="00467E7B">
            <w:pPr>
              <w:spacing w:before="120" w:after="120"/>
            </w:pPr>
            <w:r>
              <w:t xml:space="preserve">1, </w:t>
            </w:r>
            <w:r w:rsidR="00467E7B">
              <w:t>4-7</w:t>
            </w: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C77F77" w:rsidRDefault="00076939" w:rsidP="007566D6">
            <w:pPr>
              <w:spacing w:before="120" w:after="120"/>
              <w:rPr>
                <w:lang w:val="en-GB"/>
              </w:rPr>
            </w:pPr>
            <w:r w:rsidRPr="00C77F77">
              <w:rPr>
                <w:lang w:val="en-GB"/>
              </w:rPr>
              <w:t xml:space="preserve">Anxiety disorder 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0.163 (0.023)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420D10">
            <w:pPr>
              <w:spacing w:before="120" w:after="120"/>
              <w:jc w:val="center"/>
            </w:pPr>
            <w:r>
              <w:t>0.0</w:t>
            </w:r>
            <w:r w:rsidR="00420D10">
              <w:t>86</w:t>
            </w:r>
            <w:r>
              <w:t xml:space="preserve"> (0.02</w:t>
            </w:r>
            <w:r w:rsidR="00420D10">
              <w:t>7</w:t>
            </w:r>
            <w:r>
              <w:t>)</w:t>
            </w:r>
          </w:p>
        </w:tc>
        <w:tc>
          <w:tcPr>
            <w:tcW w:w="828" w:type="dxa"/>
          </w:tcPr>
          <w:p w:rsidR="00076939" w:rsidRDefault="00420D10" w:rsidP="00420D10">
            <w:pPr>
              <w:spacing w:before="120" w:after="120"/>
            </w:pPr>
            <w:r>
              <w:t>0.</w:t>
            </w:r>
            <w:r w:rsidR="00076939">
              <w:t>002</w:t>
            </w:r>
          </w:p>
        </w:tc>
        <w:tc>
          <w:tcPr>
            <w:tcW w:w="1413" w:type="dxa"/>
          </w:tcPr>
          <w:p w:rsidR="00076939" w:rsidRDefault="00467E7B" w:rsidP="00467E7B">
            <w:pPr>
              <w:spacing w:before="120" w:after="120"/>
            </w:pPr>
            <w:r>
              <w:t>2, 5, 7</w:t>
            </w: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C77F77" w:rsidRDefault="00076939" w:rsidP="007566D6">
            <w:pPr>
              <w:spacing w:before="120" w:after="120"/>
              <w:rPr>
                <w:lang w:val="en-GB"/>
              </w:rPr>
            </w:pPr>
            <w:r w:rsidRPr="00C77F77">
              <w:rPr>
                <w:lang w:val="en-GB"/>
              </w:rPr>
              <w:t xml:space="preserve">Suicidal ideation/attempt 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0.156 (0.034)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420D10">
            <w:pPr>
              <w:spacing w:before="120" w:after="120"/>
              <w:jc w:val="center"/>
            </w:pPr>
            <w:r>
              <w:t>0.05</w:t>
            </w:r>
            <w:r w:rsidR="00420D10">
              <w:t>9</w:t>
            </w:r>
            <w:r>
              <w:t xml:space="preserve"> (0.04</w:t>
            </w:r>
            <w:r w:rsidR="00420D10">
              <w:t>4</w:t>
            </w:r>
            <w:r>
              <w:t>)</w:t>
            </w:r>
          </w:p>
        </w:tc>
        <w:tc>
          <w:tcPr>
            <w:tcW w:w="828" w:type="dxa"/>
          </w:tcPr>
          <w:p w:rsidR="00076939" w:rsidRDefault="00076939" w:rsidP="00420D10">
            <w:pPr>
              <w:spacing w:before="120" w:after="120"/>
            </w:pPr>
            <w:r>
              <w:t>0.</w:t>
            </w:r>
            <w:r w:rsidR="00420D10">
              <w:t>18</w:t>
            </w:r>
          </w:p>
        </w:tc>
        <w:tc>
          <w:tcPr>
            <w:tcW w:w="1413" w:type="dxa"/>
          </w:tcPr>
          <w:p w:rsidR="00076939" w:rsidRDefault="00076939" w:rsidP="007566D6">
            <w:pPr>
              <w:spacing w:before="120" w:after="120"/>
            </w:pPr>
            <w:r>
              <w:t>3</w:t>
            </w:r>
            <w:r w:rsidR="00467E7B">
              <w:t>, 4</w:t>
            </w: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5F3E02" w:rsidRDefault="00076939" w:rsidP="007566D6">
            <w:pPr>
              <w:spacing w:before="120" w:after="12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Alcohol abuse/</w:t>
            </w:r>
            <w:proofErr w:type="spellStart"/>
            <w:r>
              <w:rPr>
                <w:lang w:val="en-GB"/>
              </w:rPr>
              <w:t>dependence</w:t>
            </w:r>
            <w:r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529" w:type="dxa"/>
          </w:tcPr>
          <w:p w:rsidR="00076939" w:rsidRDefault="00003579" w:rsidP="007566D6">
            <w:pPr>
              <w:spacing w:before="120" w:after="120"/>
              <w:jc w:val="center"/>
            </w:pPr>
            <w:r>
              <w:t>0.023 (0.027)</w:t>
            </w:r>
          </w:p>
        </w:tc>
        <w:tc>
          <w:tcPr>
            <w:tcW w:w="850" w:type="dxa"/>
          </w:tcPr>
          <w:p w:rsidR="00076939" w:rsidRDefault="00003579" w:rsidP="007566D6">
            <w:pPr>
              <w:spacing w:before="120" w:after="120"/>
            </w:pPr>
            <w:r>
              <w:t>0.381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8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076939" w:rsidRDefault="00076939" w:rsidP="007566D6">
            <w:pPr>
              <w:spacing w:before="120" w:after="120"/>
              <w:jc w:val="center"/>
            </w:pP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C77F77" w:rsidRDefault="00076939" w:rsidP="007566D6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Illicit substance abuse/ dependence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0.103 (0.034)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420D10">
            <w:pPr>
              <w:spacing w:before="120" w:after="120"/>
              <w:jc w:val="center"/>
            </w:pPr>
            <w:r>
              <w:t>0.0</w:t>
            </w:r>
            <w:r w:rsidR="00420D10">
              <w:t>85</w:t>
            </w:r>
            <w:r>
              <w:t xml:space="preserve"> (0.037)</w:t>
            </w:r>
          </w:p>
        </w:tc>
        <w:tc>
          <w:tcPr>
            <w:tcW w:w="828" w:type="dxa"/>
          </w:tcPr>
          <w:p w:rsidR="00076939" w:rsidRDefault="00076939" w:rsidP="00420D10">
            <w:pPr>
              <w:spacing w:before="120" w:after="120"/>
            </w:pPr>
            <w:r>
              <w:t>0.0</w:t>
            </w:r>
            <w:r w:rsidR="00420D10">
              <w:t>21</w:t>
            </w:r>
          </w:p>
        </w:tc>
        <w:tc>
          <w:tcPr>
            <w:tcW w:w="1413" w:type="dxa"/>
          </w:tcPr>
          <w:p w:rsidR="00076939" w:rsidRDefault="00076939" w:rsidP="00467E7B">
            <w:pPr>
              <w:spacing w:before="120" w:after="120"/>
            </w:pPr>
            <w:r>
              <w:t xml:space="preserve">2, </w:t>
            </w:r>
            <w:r w:rsidR="00467E7B">
              <w:t>5, 9, 10</w:t>
            </w: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C77F77" w:rsidRDefault="00076939" w:rsidP="007566D6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Any mental health problem</w:t>
            </w:r>
            <w:r w:rsidRPr="00C77F77">
              <w:rPr>
                <w:lang w:val="en-GB"/>
              </w:rPr>
              <w:t xml:space="preserve"> 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0.149 (0.020)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0.084 (0.023)</w:t>
            </w:r>
          </w:p>
        </w:tc>
        <w:tc>
          <w:tcPr>
            <w:tcW w:w="828" w:type="dxa"/>
          </w:tcPr>
          <w:p w:rsidR="00076939" w:rsidRDefault="00076939" w:rsidP="007566D6">
            <w:pPr>
              <w:spacing w:before="120" w:after="120"/>
            </w:pPr>
            <w:r>
              <w:t>&lt;</w:t>
            </w:r>
            <w:r w:rsidR="00420D10">
              <w:t>0</w:t>
            </w:r>
            <w:r>
              <w:t>.001</w:t>
            </w:r>
          </w:p>
        </w:tc>
        <w:tc>
          <w:tcPr>
            <w:tcW w:w="1413" w:type="dxa"/>
          </w:tcPr>
          <w:p w:rsidR="00076939" w:rsidRDefault="00467E7B" w:rsidP="00467E7B">
            <w:pPr>
              <w:spacing w:before="120" w:after="120"/>
            </w:pPr>
            <w:r>
              <w:t>2, 3, 5, 7, 9</w:t>
            </w:r>
          </w:p>
        </w:tc>
      </w:tr>
      <w:tr w:rsidR="00920813" w:rsidTr="00467E7B">
        <w:tc>
          <w:tcPr>
            <w:tcW w:w="4465" w:type="dxa"/>
            <w:gridSpan w:val="2"/>
            <w:vAlign w:val="center"/>
          </w:tcPr>
          <w:p w:rsidR="00076939" w:rsidRDefault="00076939" w:rsidP="007566D6">
            <w:pPr>
              <w:spacing w:before="120" w:after="120"/>
            </w:pPr>
            <w:r w:rsidRPr="00C77F77">
              <w:rPr>
                <w:b/>
                <w:lang w:val="en-GB"/>
              </w:rPr>
              <w:t>Education and economic circumstances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7566D6">
            <w:pPr>
              <w:spacing w:before="120" w:after="120"/>
              <w:jc w:val="center"/>
            </w:pPr>
          </w:p>
        </w:tc>
        <w:tc>
          <w:tcPr>
            <w:tcW w:w="828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413" w:type="dxa"/>
          </w:tcPr>
          <w:p w:rsidR="00076939" w:rsidRDefault="00076939" w:rsidP="007566D6">
            <w:pPr>
              <w:spacing w:before="120" w:after="120"/>
            </w:pP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C77F77" w:rsidRDefault="00076939" w:rsidP="007566D6">
            <w:pPr>
              <w:spacing w:before="120" w:after="120"/>
              <w:rPr>
                <w:lang w:val="en-GB"/>
              </w:rPr>
            </w:pPr>
            <w:r w:rsidRPr="00C77F77">
              <w:rPr>
                <w:lang w:val="en-GB"/>
              </w:rPr>
              <w:t xml:space="preserve">Degree attainment  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-0.103 0.029)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920813">
            <w:pPr>
              <w:spacing w:before="120" w:after="120"/>
              <w:jc w:val="center"/>
            </w:pPr>
            <w:r>
              <w:t>-0.019 (0.03</w:t>
            </w:r>
            <w:r w:rsidR="00920813">
              <w:t>7</w:t>
            </w:r>
            <w:r>
              <w:t>)</w:t>
            </w:r>
          </w:p>
        </w:tc>
        <w:tc>
          <w:tcPr>
            <w:tcW w:w="828" w:type="dxa"/>
          </w:tcPr>
          <w:p w:rsidR="00076939" w:rsidRDefault="00076939" w:rsidP="00920813">
            <w:pPr>
              <w:spacing w:before="120" w:after="120"/>
            </w:pPr>
            <w:r>
              <w:t>0.6</w:t>
            </w:r>
            <w:r w:rsidR="00920813">
              <w:t>2</w:t>
            </w:r>
          </w:p>
        </w:tc>
        <w:tc>
          <w:tcPr>
            <w:tcW w:w="1413" w:type="dxa"/>
          </w:tcPr>
          <w:p w:rsidR="00076939" w:rsidRDefault="00076939" w:rsidP="00467E7B">
            <w:pPr>
              <w:spacing w:before="120" w:after="120"/>
            </w:pPr>
            <w:r>
              <w:t>1, 5, 9</w:t>
            </w: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C77F77" w:rsidRDefault="00076939" w:rsidP="007566D6">
            <w:pPr>
              <w:spacing w:before="120" w:after="120"/>
              <w:rPr>
                <w:lang w:val="en-GB"/>
              </w:rPr>
            </w:pPr>
            <w:r w:rsidRPr="00C77F77">
              <w:rPr>
                <w:lang w:val="en-GB"/>
              </w:rPr>
              <w:t>Welfare dependence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0.117 (0.025)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920813">
            <w:pPr>
              <w:spacing w:before="120" w:after="120"/>
              <w:jc w:val="center"/>
            </w:pPr>
            <w:r>
              <w:t>0.0</w:t>
            </w:r>
            <w:r w:rsidR="00920813">
              <w:t>30</w:t>
            </w:r>
            <w:r>
              <w:t xml:space="preserve"> (0.03</w:t>
            </w:r>
            <w:r w:rsidR="00920813">
              <w:t>0</w:t>
            </w:r>
            <w:r>
              <w:t>)</w:t>
            </w:r>
          </w:p>
        </w:tc>
        <w:tc>
          <w:tcPr>
            <w:tcW w:w="828" w:type="dxa"/>
          </w:tcPr>
          <w:p w:rsidR="00076939" w:rsidRDefault="00076939" w:rsidP="00920813">
            <w:pPr>
              <w:spacing w:before="120" w:after="120"/>
            </w:pPr>
            <w:r>
              <w:t>0.</w:t>
            </w:r>
            <w:r w:rsidR="00920813">
              <w:t>33</w:t>
            </w:r>
          </w:p>
        </w:tc>
        <w:tc>
          <w:tcPr>
            <w:tcW w:w="1413" w:type="dxa"/>
          </w:tcPr>
          <w:p w:rsidR="00076939" w:rsidRDefault="00076939" w:rsidP="007566D6">
            <w:pPr>
              <w:spacing w:before="120" w:after="120"/>
            </w:pPr>
            <w:r>
              <w:t>1, 3</w:t>
            </w:r>
            <w:r w:rsidR="00467E7B">
              <w:t>, 4</w:t>
            </w: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C77F77" w:rsidRDefault="00076939" w:rsidP="007566D6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Net w</w:t>
            </w:r>
            <w:r w:rsidRPr="00C77F77">
              <w:rPr>
                <w:lang w:val="en-GB"/>
              </w:rPr>
              <w:t>eekly personal income (NZD)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-34.76 (6.40)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920813">
            <w:pPr>
              <w:spacing w:before="120" w:after="120"/>
              <w:jc w:val="center"/>
            </w:pPr>
            <w:r>
              <w:t>-</w:t>
            </w:r>
            <w:r w:rsidR="00920813">
              <w:t>10.68</w:t>
            </w:r>
            <w:r>
              <w:t xml:space="preserve"> (6.</w:t>
            </w:r>
            <w:r w:rsidR="00920813">
              <w:t>2</w:t>
            </w:r>
            <w:r>
              <w:t>7)</w:t>
            </w:r>
          </w:p>
        </w:tc>
        <w:tc>
          <w:tcPr>
            <w:tcW w:w="828" w:type="dxa"/>
          </w:tcPr>
          <w:p w:rsidR="00076939" w:rsidRDefault="00076939" w:rsidP="00920813">
            <w:pPr>
              <w:spacing w:before="120" w:after="120"/>
            </w:pPr>
            <w:r>
              <w:t>0.</w:t>
            </w:r>
            <w:r w:rsidR="00920813">
              <w:t>09</w:t>
            </w:r>
          </w:p>
        </w:tc>
        <w:tc>
          <w:tcPr>
            <w:tcW w:w="1413" w:type="dxa"/>
          </w:tcPr>
          <w:p w:rsidR="00076939" w:rsidRDefault="00076939" w:rsidP="00467E7B">
            <w:pPr>
              <w:spacing w:before="120" w:after="120"/>
            </w:pPr>
            <w:r>
              <w:t>1, 5,</w:t>
            </w:r>
            <w:r w:rsidR="00467E7B">
              <w:t xml:space="preserve"> 6, 9</w:t>
            </w:r>
          </w:p>
        </w:tc>
      </w:tr>
      <w:tr w:rsidR="00920813" w:rsidTr="00467E7B">
        <w:tc>
          <w:tcPr>
            <w:tcW w:w="4465" w:type="dxa"/>
            <w:gridSpan w:val="2"/>
            <w:vAlign w:val="center"/>
          </w:tcPr>
          <w:p w:rsidR="00076939" w:rsidRDefault="00076939" w:rsidP="007566D6">
            <w:pPr>
              <w:spacing w:before="120" w:after="120"/>
            </w:pPr>
            <w:r w:rsidRPr="00C77F77">
              <w:rPr>
                <w:b/>
                <w:lang w:val="en-GB"/>
              </w:rPr>
              <w:t>Partnership and family outcomes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7566D6">
            <w:pPr>
              <w:spacing w:before="120" w:after="120"/>
              <w:jc w:val="center"/>
            </w:pPr>
          </w:p>
        </w:tc>
        <w:tc>
          <w:tcPr>
            <w:tcW w:w="828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413" w:type="dxa"/>
          </w:tcPr>
          <w:p w:rsidR="00076939" w:rsidRDefault="00076939" w:rsidP="007566D6">
            <w:pPr>
              <w:spacing w:before="120" w:after="120"/>
            </w:pP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9474A8" w:rsidRDefault="00076939" w:rsidP="007566D6">
            <w:pPr>
              <w:spacing w:before="120" w:after="120"/>
              <w:rPr>
                <w:lang w:val="en-GB"/>
              </w:rPr>
            </w:pPr>
            <w:r w:rsidRPr="009474A8">
              <w:rPr>
                <w:lang w:val="en-GB"/>
              </w:rPr>
              <w:t xml:space="preserve">Unintended pregnancy 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0.125 (0.024)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920813">
            <w:pPr>
              <w:spacing w:before="120" w:after="120"/>
              <w:jc w:val="center"/>
            </w:pPr>
            <w:r>
              <w:t>0.0</w:t>
            </w:r>
            <w:r w:rsidR="00920813">
              <w:t>3</w:t>
            </w:r>
            <w:r>
              <w:t>3 (0.027)</w:t>
            </w:r>
          </w:p>
        </w:tc>
        <w:tc>
          <w:tcPr>
            <w:tcW w:w="828" w:type="dxa"/>
          </w:tcPr>
          <w:p w:rsidR="00076939" w:rsidRDefault="00076939" w:rsidP="00920813">
            <w:pPr>
              <w:spacing w:before="120" w:after="120"/>
            </w:pPr>
            <w:r>
              <w:t>0.</w:t>
            </w:r>
            <w:r w:rsidR="00920813">
              <w:t>24</w:t>
            </w:r>
          </w:p>
        </w:tc>
        <w:tc>
          <w:tcPr>
            <w:tcW w:w="1413" w:type="dxa"/>
          </w:tcPr>
          <w:p w:rsidR="00076939" w:rsidRDefault="00076939" w:rsidP="00467E7B">
            <w:pPr>
              <w:spacing w:before="120" w:after="120"/>
            </w:pPr>
            <w:r>
              <w:t xml:space="preserve">1, </w:t>
            </w:r>
            <w:r w:rsidR="00467E7B">
              <w:t>4, 9</w:t>
            </w: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9474A8" w:rsidRDefault="00076939" w:rsidP="007566D6">
            <w:pPr>
              <w:spacing w:before="120" w:after="120"/>
              <w:rPr>
                <w:lang w:val="en-GB"/>
              </w:rPr>
            </w:pPr>
            <w:r w:rsidRPr="009474A8">
              <w:rPr>
                <w:lang w:val="en-GB"/>
              </w:rPr>
              <w:t>Sole parent</w:t>
            </w:r>
            <w:r>
              <w:rPr>
                <w:lang w:val="en-GB"/>
              </w:rPr>
              <w:t>hood</w:t>
            </w:r>
            <w:r w:rsidRPr="009474A8">
              <w:rPr>
                <w:lang w:val="en-GB"/>
              </w:rPr>
              <w:t xml:space="preserve"> 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0.146 (0.034)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920813">
            <w:pPr>
              <w:spacing w:before="120" w:after="120"/>
              <w:jc w:val="center"/>
            </w:pPr>
            <w:r>
              <w:t>0.0</w:t>
            </w:r>
            <w:r w:rsidR="00920813">
              <w:t>21</w:t>
            </w:r>
            <w:r>
              <w:t xml:space="preserve"> (0.03</w:t>
            </w:r>
            <w:r w:rsidR="00920813">
              <w:t>8</w:t>
            </w:r>
            <w:r>
              <w:t>)</w:t>
            </w:r>
          </w:p>
        </w:tc>
        <w:tc>
          <w:tcPr>
            <w:tcW w:w="828" w:type="dxa"/>
          </w:tcPr>
          <w:p w:rsidR="00076939" w:rsidRDefault="00076939" w:rsidP="00920813">
            <w:pPr>
              <w:spacing w:before="120" w:after="120"/>
            </w:pPr>
            <w:r>
              <w:t>0.</w:t>
            </w:r>
            <w:r w:rsidR="00920813">
              <w:t>58</w:t>
            </w:r>
          </w:p>
        </w:tc>
        <w:tc>
          <w:tcPr>
            <w:tcW w:w="1413" w:type="dxa"/>
          </w:tcPr>
          <w:p w:rsidR="00076939" w:rsidRDefault="00076939" w:rsidP="0096759E">
            <w:pPr>
              <w:spacing w:before="120" w:after="120"/>
            </w:pPr>
            <w:r>
              <w:t xml:space="preserve">1, </w:t>
            </w:r>
            <w:r w:rsidR="0096759E">
              <w:t>5</w:t>
            </w:r>
            <w:r>
              <w:t xml:space="preserve">, </w:t>
            </w:r>
            <w:r w:rsidR="00467E7B">
              <w:t>6</w:t>
            </w:r>
            <w:r>
              <w:t>, 9</w:t>
            </w:r>
            <w:r w:rsidR="00467E7B">
              <w:t>, 10</w:t>
            </w: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9474A8" w:rsidRDefault="00076939" w:rsidP="007566D6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9474A8">
              <w:rPr>
                <w:lang w:val="en-GB"/>
              </w:rPr>
              <w:t xml:space="preserve">elationship </w:t>
            </w:r>
            <w:proofErr w:type="spellStart"/>
            <w:r w:rsidRPr="009474A8">
              <w:rPr>
                <w:lang w:val="en-GB"/>
              </w:rPr>
              <w:t>quality</w:t>
            </w:r>
            <w:r w:rsidR="006527DF">
              <w:rPr>
                <w:vertAlign w:val="superscript"/>
                <w:lang w:val="en-GB"/>
              </w:rPr>
              <w:t>b</w:t>
            </w:r>
            <w:proofErr w:type="spellEnd"/>
            <w:r w:rsidRPr="009474A8">
              <w:rPr>
                <w:lang w:val="en-GB"/>
              </w:rPr>
              <w:t xml:space="preserve"> 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-0.220 (0.072)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0.002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122B6A">
            <w:pPr>
              <w:spacing w:before="120" w:after="120"/>
              <w:jc w:val="center"/>
            </w:pPr>
            <w:r>
              <w:t>-0.0</w:t>
            </w:r>
            <w:r w:rsidR="00122B6A">
              <w:t>51</w:t>
            </w:r>
            <w:r>
              <w:t xml:space="preserve"> (0.083)</w:t>
            </w:r>
          </w:p>
        </w:tc>
        <w:tc>
          <w:tcPr>
            <w:tcW w:w="828" w:type="dxa"/>
          </w:tcPr>
          <w:p w:rsidR="00076939" w:rsidRDefault="00076939" w:rsidP="00122B6A">
            <w:pPr>
              <w:spacing w:before="120" w:after="120"/>
            </w:pPr>
            <w:r>
              <w:t>0.</w:t>
            </w:r>
            <w:r w:rsidR="00122B6A">
              <w:t>54</w:t>
            </w:r>
          </w:p>
        </w:tc>
        <w:tc>
          <w:tcPr>
            <w:tcW w:w="1413" w:type="dxa"/>
          </w:tcPr>
          <w:p w:rsidR="00076939" w:rsidRDefault="00076939" w:rsidP="007566D6">
            <w:pPr>
              <w:spacing w:before="120" w:after="120"/>
            </w:pPr>
            <w:r>
              <w:t>8</w:t>
            </w:r>
            <w:r w:rsidR="00122B6A">
              <w:t>, 10</w:t>
            </w:r>
          </w:p>
        </w:tc>
      </w:tr>
      <w:tr w:rsidR="00467E7B" w:rsidTr="00467E7B">
        <w:tc>
          <w:tcPr>
            <w:tcW w:w="2936" w:type="dxa"/>
            <w:vAlign w:val="center"/>
          </w:tcPr>
          <w:p w:rsidR="00076939" w:rsidRPr="009474A8" w:rsidRDefault="00076939" w:rsidP="007566D6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9474A8">
              <w:rPr>
                <w:lang w:val="en-GB"/>
              </w:rPr>
              <w:t xml:space="preserve">ntimate partner </w:t>
            </w:r>
            <w:proofErr w:type="spellStart"/>
            <w:r w:rsidRPr="009474A8">
              <w:rPr>
                <w:lang w:val="en-GB"/>
              </w:rPr>
              <w:t>violence</w:t>
            </w:r>
            <w:r w:rsidR="006527DF">
              <w:rPr>
                <w:vertAlign w:val="superscript"/>
                <w:lang w:val="en-GB"/>
              </w:rPr>
              <w:t>b</w:t>
            </w:r>
            <w:proofErr w:type="spellEnd"/>
            <w:r w:rsidRPr="009474A8">
              <w:rPr>
                <w:lang w:val="en-GB"/>
              </w:rPr>
              <w:t xml:space="preserve"> perpetration </w:t>
            </w:r>
          </w:p>
        </w:tc>
        <w:tc>
          <w:tcPr>
            <w:tcW w:w="1529" w:type="dxa"/>
          </w:tcPr>
          <w:p w:rsidR="00076939" w:rsidRDefault="00076939" w:rsidP="007566D6">
            <w:pPr>
              <w:spacing w:before="120" w:after="120"/>
              <w:jc w:val="center"/>
            </w:pPr>
            <w:r>
              <w:t>0.033 (0.007)</w:t>
            </w:r>
          </w:p>
        </w:tc>
        <w:tc>
          <w:tcPr>
            <w:tcW w:w="850" w:type="dxa"/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</w:tcPr>
          <w:p w:rsidR="00076939" w:rsidRDefault="00076939" w:rsidP="00122B6A">
            <w:pPr>
              <w:spacing w:before="120" w:after="120"/>
              <w:jc w:val="center"/>
            </w:pPr>
            <w:r>
              <w:t>0.00</w:t>
            </w:r>
            <w:r w:rsidR="00122B6A">
              <w:t>6</w:t>
            </w:r>
            <w:r>
              <w:t xml:space="preserve"> (0.008)</w:t>
            </w:r>
          </w:p>
        </w:tc>
        <w:tc>
          <w:tcPr>
            <w:tcW w:w="828" w:type="dxa"/>
          </w:tcPr>
          <w:p w:rsidR="00076939" w:rsidRDefault="00076939" w:rsidP="00122B6A">
            <w:pPr>
              <w:spacing w:before="120" w:after="120"/>
            </w:pPr>
            <w:r>
              <w:t>0.</w:t>
            </w:r>
            <w:r w:rsidR="00122B6A">
              <w:t>4</w:t>
            </w:r>
            <w:r w:rsidR="00920813">
              <w:t>3</w:t>
            </w:r>
          </w:p>
        </w:tc>
        <w:tc>
          <w:tcPr>
            <w:tcW w:w="1413" w:type="dxa"/>
          </w:tcPr>
          <w:p w:rsidR="00076939" w:rsidRDefault="00076939" w:rsidP="00467E7B">
            <w:pPr>
              <w:spacing w:before="120" w:after="120"/>
            </w:pPr>
            <w:r>
              <w:t xml:space="preserve">1, 3, </w:t>
            </w:r>
            <w:r w:rsidR="00467E7B">
              <w:t>4,</w:t>
            </w:r>
            <w:r>
              <w:t xml:space="preserve"> 9</w:t>
            </w:r>
            <w:r w:rsidR="00467E7B">
              <w:t>, 10</w:t>
            </w:r>
          </w:p>
        </w:tc>
      </w:tr>
      <w:tr w:rsidR="00467E7B" w:rsidTr="00467E7B"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076939" w:rsidRDefault="00076939" w:rsidP="007566D6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9474A8">
              <w:rPr>
                <w:lang w:val="en-GB"/>
              </w:rPr>
              <w:t xml:space="preserve">ntimate partner </w:t>
            </w:r>
            <w:proofErr w:type="spellStart"/>
            <w:r w:rsidRPr="009474A8">
              <w:rPr>
                <w:lang w:val="en-GB"/>
              </w:rPr>
              <w:t>violence</w:t>
            </w:r>
            <w:r w:rsidR="006527DF">
              <w:rPr>
                <w:vertAlign w:val="superscript"/>
                <w:lang w:val="en-GB"/>
              </w:rPr>
              <w:t>b</w:t>
            </w:r>
            <w:proofErr w:type="spellEnd"/>
            <w:r>
              <w:rPr>
                <w:lang w:val="en-GB"/>
              </w:rPr>
              <w:t xml:space="preserve"> victimization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076939" w:rsidRDefault="00076939" w:rsidP="007566D6">
            <w:pPr>
              <w:spacing w:before="120" w:after="120"/>
              <w:jc w:val="center"/>
            </w:pPr>
            <w:r>
              <w:t>0.035 (0.006)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6939" w:rsidRDefault="00076939" w:rsidP="007566D6">
            <w:pPr>
              <w:spacing w:before="120" w:after="120"/>
            </w:pPr>
            <w:r>
              <w:t>&lt;0.001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076939" w:rsidRDefault="00076939" w:rsidP="007566D6">
            <w:pPr>
              <w:spacing w:before="120" w:after="120"/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076939" w:rsidRDefault="00076939" w:rsidP="00920813">
            <w:pPr>
              <w:spacing w:before="120" w:after="120"/>
              <w:jc w:val="center"/>
            </w:pPr>
            <w:r>
              <w:t>0.0</w:t>
            </w:r>
            <w:r w:rsidR="00920813">
              <w:t>18</w:t>
            </w:r>
            <w:r>
              <w:t xml:space="preserve"> (0.007)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76939" w:rsidRDefault="00076939" w:rsidP="00920813">
            <w:pPr>
              <w:spacing w:before="120" w:after="120"/>
            </w:pPr>
            <w:r>
              <w:t>0.0</w:t>
            </w:r>
            <w:r w:rsidR="00920813">
              <w:t>15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76939" w:rsidRDefault="0096759E" w:rsidP="00467E7B">
            <w:pPr>
              <w:spacing w:before="120" w:after="120"/>
            </w:pPr>
            <w:r>
              <w:t>2</w:t>
            </w:r>
            <w:r w:rsidR="00467E7B">
              <w:t>, 3-5, 7, 9, 10</w:t>
            </w:r>
          </w:p>
        </w:tc>
      </w:tr>
    </w:tbl>
    <w:p w:rsidR="006527DF" w:rsidRDefault="00076939" w:rsidP="00076939">
      <w:pPr>
        <w:spacing w:after="0" w:line="240" w:lineRule="auto"/>
        <w:rPr>
          <w:vertAlign w:val="superscript"/>
          <w:lang w:val="en-GB"/>
        </w:rPr>
      </w:pPr>
      <w:r>
        <w:rPr>
          <w:sz w:val="20"/>
          <w:szCs w:val="20"/>
        </w:rPr>
        <w:lastRenderedPageBreak/>
        <w:t xml:space="preserve">Note. </w:t>
      </w:r>
      <w:r w:rsidRPr="00A057AF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Pr="00A057AF">
        <w:rPr>
          <w:sz w:val="20"/>
          <w:szCs w:val="20"/>
        </w:rPr>
        <w:t>E</w:t>
      </w:r>
      <w:proofErr w:type="gramStart"/>
      <w:r>
        <w:rPr>
          <w:sz w:val="20"/>
          <w:szCs w:val="20"/>
        </w:rPr>
        <w:t>.</w:t>
      </w:r>
      <w:r>
        <w:t>=</w:t>
      </w:r>
      <w:proofErr w:type="gramEnd"/>
      <w:r>
        <w:t xml:space="preserve"> standard error; OR=odds ratio; IRR=incidence rate ratio;</w:t>
      </w:r>
      <w:r w:rsidRPr="00C77F77">
        <w:rPr>
          <w:lang w:val="en-GB"/>
        </w:rPr>
        <w:t xml:space="preserve"> </w:t>
      </w:r>
      <w:r>
        <w:rPr>
          <w:lang w:val="en-GB"/>
        </w:rPr>
        <w:t>CI=confidence interval; PAR%=population attributable risk percent; NZD=New Zealand dollars.</w:t>
      </w:r>
      <w:r>
        <w:rPr>
          <w:lang w:val="en-GB"/>
        </w:rPr>
        <w:br/>
      </w:r>
      <w:proofErr w:type="spellStart"/>
      <w:proofErr w:type="gramStart"/>
      <w:r>
        <w:rPr>
          <w:vertAlign w:val="superscript"/>
          <w:lang w:val="en-GB"/>
        </w:rPr>
        <w:t>a</w:t>
      </w:r>
      <w:proofErr w:type="spellEnd"/>
      <w:proofErr w:type="gramEnd"/>
      <w:r w:rsidRPr="00C77F77">
        <w:rPr>
          <w:lang w:val="en-GB"/>
        </w:rPr>
        <w:t xml:space="preserve"> </w:t>
      </w:r>
      <w:r>
        <w:rPr>
          <w:lang w:val="en-GB"/>
        </w:rPr>
        <w:t>The outcome alcohol abuse/dependence was excluded from the covariate adjusted analysis because of the non-significant unadjusted bivariate association with adolescent depression.</w:t>
      </w:r>
      <w:r w:rsidR="006527DF">
        <w:rPr>
          <w:vertAlign w:val="superscript"/>
          <w:lang w:val="en-GB"/>
        </w:rPr>
        <w:t xml:space="preserve"> </w:t>
      </w:r>
    </w:p>
    <w:p w:rsidR="00076939" w:rsidRDefault="006527DF" w:rsidP="00076939">
      <w:pPr>
        <w:spacing w:after="0" w:line="240" w:lineRule="auto"/>
        <w:rPr>
          <w:lang w:val="en-GB"/>
        </w:rPr>
      </w:pPr>
      <w:r>
        <w:rPr>
          <w:vertAlign w:val="superscript"/>
          <w:lang w:val="en-GB"/>
        </w:rPr>
        <w:t xml:space="preserve">b </w:t>
      </w:r>
      <w:r w:rsidRPr="00604D5E">
        <w:rPr>
          <w:rFonts w:cstheme="minorHAnsi"/>
        </w:rPr>
        <w:t>Analysis restricted to respondents in any romantic partnership over the previous 12 months, at 29-30 years and 34-35 years, who also had information on adolescent depression: 30 years n=818; 35 years n=779; and pooled n=1596.</w:t>
      </w:r>
      <w:r>
        <w:rPr>
          <w:vertAlign w:val="superscript"/>
          <w:lang w:val="en-GB"/>
        </w:rPr>
        <w:br/>
        <w:t>c</w:t>
      </w:r>
      <w:r w:rsidR="00076939" w:rsidRPr="00C77F77">
        <w:rPr>
          <w:lang w:val="en-GB"/>
        </w:rPr>
        <w:t xml:space="preserve"> Statistically significant (p&lt;0.05)</w:t>
      </w:r>
      <w:r w:rsidR="00076939">
        <w:rPr>
          <w:lang w:val="en-GB"/>
        </w:rPr>
        <w:t xml:space="preserve"> </w:t>
      </w:r>
      <w:r w:rsidR="00076939" w:rsidRPr="000F75BF">
        <w:rPr>
          <w:lang w:val="en-GB"/>
        </w:rPr>
        <w:t xml:space="preserve">covariates: </w:t>
      </w:r>
      <w:r w:rsidR="00076939">
        <w:rPr>
          <w:lang w:val="en-GB"/>
        </w:rPr>
        <w:t>1=childhood adversity score; 2=parental adjustment problems score; 3=</w:t>
      </w:r>
      <w:r w:rsidR="0050678D">
        <w:rPr>
          <w:lang w:val="en-GB"/>
        </w:rPr>
        <w:t>childhood sexual abuse; 4= childhood physical punishment</w:t>
      </w:r>
      <w:r w:rsidR="00076939">
        <w:rPr>
          <w:lang w:val="en-GB"/>
        </w:rPr>
        <w:t xml:space="preserve">; </w:t>
      </w:r>
      <w:r w:rsidR="0050678D">
        <w:rPr>
          <w:lang w:val="en-GB"/>
        </w:rPr>
        <w:t>5</w:t>
      </w:r>
      <w:r w:rsidR="00076939">
        <w:rPr>
          <w:lang w:val="en-GB"/>
        </w:rPr>
        <w:t xml:space="preserve"> = gender; </w:t>
      </w:r>
      <w:r w:rsidR="0050678D">
        <w:rPr>
          <w:lang w:val="en-GB"/>
        </w:rPr>
        <w:t>6</w:t>
      </w:r>
      <w:r w:rsidR="00076939">
        <w:rPr>
          <w:lang w:val="en-GB"/>
        </w:rPr>
        <w:t xml:space="preserve">=cognitive ability (8-9 years); </w:t>
      </w:r>
      <w:r w:rsidR="0050678D">
        <w:rPr>
          <w:lang w:val="en-GB"/>
        </w:rPr>
        <w:t>7</w:t>
      </w:r>
      <w:r w:rsidR="00076939">
        <w:rPr>
          <w:lang w:val="en-GB"/>
        </w:rPr>
        <w:t xml:space="preserve">=neuroticism (14 years); </w:t>
      </w:r>
      <w:r w:rsidR="0050678D">
        <w:rPr>
          <w:lang w:val="en-GB"/>
        </w:rPr>
        <w:t>8</w:t>
      </w:r>
      <w:r w:rsidR="00076939">
        <w:rPr>
          <w:lang w:val="en-GB"/>
        </w:rPr>
        <w:t xml:space="preserve">=parental attachment (15 years); </w:t>
      </w:r>
      <w:r w:rsidR="0050678D">
        <w:rPr>
          <w:lang w:val="en-GB"/>
        </w:rPr>
        <w:t>9</w:t>
      </w:r>
      <w:r w:rsidR="00076939">
        <w:rPr>
          <w:lang w:val="en-GB"/>
        </w:rPr>
        <w:t xml:space="preserve">=novelty seeking (16 years); </w:t>
      </w:r>
      <w:r w:rsidR="0050678D">
        <w:rPr>
          <w:lang w:val="en-GB"/>
        </w:rPr>
        <w:t>10</w:t>
      </w:r>
      <w:r w:rsidR="00076939">
        <w:rPr>
          <w:lang w:val="en-GB"/>
        </w:rPr>
        <w:t>=conduct/oppositional defiant disorder (14-16 years</w:t>
      </w:r>
      <w:r w:rsidR="00122B6A">
        <w:rPr>
          <w:lang w:val="en-GB"/>
        </w:rPr>
        <w:t>)</w:t>
      </w:r>
    </w:p>
    <w:p w:rsidR="00076939" w:rsidRPr="005F3E02" w:rsidRDefault="00076939" w:rsidP="00076939">
      <w:pPr>
        <w:spacing w:after="0" w:line="240" w:lineRule="auto"/>
        <w:rPr>
          <w:lang w:val="en-GB"/>
        </w:rPr>
      </w:pPr>
      <w:r>
        <w:rPr>
          <w:lang w:val="en-GB"/>
        </w:rPr>
        <w:t xml:space="preserve"> </w:t>
      </w:r>
    </w:p>
    <w:p w:rsidR="00DE34BB" w:rsidRPr="00604D5E" w:rsidRDefault="00DE34BB" w:rsidP="00833A36">
      <w:pPr>
        <w:spacing w:line="240" w:lineRule="auto"/>
        <w:rPr>
          <w:rFonts w:cstheme="minorHAnsi"/>
        </w:rPr>
      </w:pPr>
    </w:p>
    <w:p w:rsidR="00D965E7" w:rsidRPr="00604D5E" w:rsidRDefault="00D965E7">
      <w:r w:rsidRPr="00604D5E">
        <w:br w:type="page"/>
      </w:r>
    </w:p>
    <w:p w:rsidR="00DC7BA0" w:rsidRPr="00604D5E" w:rsidRDefault="00DC7BA0" w:rsidP="00DC7BA0">
      <w:pPr>
        <w:spacing w:after="0" w:line="240" w:lineRule="auto"/>
        <w:rPr>
          <w:b/>
        </w:rPr>
      </w:pPr>
      <w:r w:rsidRPr="00604D5E">
        <w:rPr>
          <w:b/>
        </w:rPr>
        <w:lastRenderedPageBreak/>
        <w:t>References</w:t>
      </w:r>
    </w:p>
    <w:p w:rsidR="00DC7BA0" w:rsidRPr="00604D5E" w:rsidRDefault="00DC7BA0" w:rsidP="00DC7BA0">
      <w:pPr>
        <w:spacing w:after="0" w:line="240" w:lineRule="auto"/>
      </w:pPr>
    </w:p>
    <w:p w:rsidR="00631024" w:rsidRPr="00631024" w:rsidRDefault="00DC7BA0" w:rsidP="00631024">
      <w:pPr>
        <w:pStyle w:val="EndNoteBibliography"/>
        <w:spacing w:after="0"/>
      </w:pPr>
      <w:r w:rsidRPr="00604D5E">
        <w:fldChar w:fldCharType="begin"/>
      </w:r>
      <w:r w:rsidRPr="00604D5E">
        <w:instrText xml:space="preserve"> ADDIN EN.REFLIST </w:instrText>
      </w:r>
      <w:r w:rsidRPr="00604D5E">
        <w:fldChar w:fldCharType="separate"/>
      </w:r>
      <w:bookmarkStart w:id="1" w:name="_ENREF_1"/>
      <w:r w:rsidR="00631024" w:rsidRPr="00631024">
        <w:rPr>
          <w:b/>
        </w:rPr>
        <w:t xml:space="preserve">Armsden GC &amp; Greenberg MT </w:t>
      </w:r>
      <w:r w:rsidR="00631024" w:rsidRPr="00631024">
        <w:t xml:space="preserve">(1987). The inventory of parent and peer attachment: individual differences and their relationship to psychological well-being in adolescence. </w:t>
      </w:r>
      <w:r w:rsidR="00631024" w:rsidRPr="00631024">
        <w:rPr>
          <w:i/>
        </w:rPr>
        <w:t>Journal of Youth and  Adolescence</w:t>
      </w:r>
      <w:r w:rsidR="00631024" w:rsidRPr="00631024">
        <w:t xml:space="preserve"> </w:t>
      </w:r>
      <w:r w:rsidR="00631024" w:rsidRPr="00631024">
        <w:rPr>
          <w:b/>
        </w:rPr>
        <w:t>16</w:t>
      </w:r>
      <w:r w:rsidR="00631024" w:rsidRPr="00631024">
        <w:t>, 427-454.</w:t>
      </w:r>
      <w:bookmarkEnd w:id="1"/>
    </w:p>
    <w:p w:rsidR="00631024" w:rsidRPr="00631024" w:rsidRDefault="00631024" w:rsidP="00631024">
      <w:pPr>
        <w:pStyle w:val="EndNoteBibliography"/>
        <w:spacing w:after="0"/>
      </w:pPr>
      <w:bookmarkStart w:id="2" w:name="_ENREF_2"/>
      <w:r w:rsidRPr="00631024">
        <w:rPr>
          <w:b/>
        </w:rPr>
        <w:t xml:space="preserve">Cloninger CR </w:t>
      </w:r>
      <w:r w:rsidRPr="00631024">
        <w:t xml:space="preserve">(1987). A systematic method for clinical description and classification of personality variants: a proposal. </w:t>
      </w:r>
      <w:r w:rsidRPr="00631024">
        <w:rPr>
          <w:i/>
        </w:rPr>
        <w:t>Archives of General Psychiatry</w:t>
      </w:r>
      <w:r w:rsidRPr="00631024">
        <w:t xml:space="preserve"> </w:t>
      </w:r>
      <w:r w:rsidRPr="00631024">
        <w:rPr>
          <w:b/>
        </w:rPr>
        <w:t>44</w:t>
      </w:r>
      <w:r w:rsidRPr="00631024">
        <w:t>, 573-588.</w:t>
      </w:r>
      <w:bookmarkEnd w:id="2"/>
    </w:p>
    <w:p w:rsidR="00631024" w:rsidRPr="00631024" w:rsidRDefault="00631024" w:rsidP="00631024">
      <w:pPr>
        <w:pStyle w:val="EndNoteBibliography"/>
        <w:spacing w:after="0"/>
      </w:pPr>
      <w:bookmarkStart w:id="3" w:name="_ENREF_3"/>
      <w:r w:rsidRPr="00631024">
        <w:rPr>
          <w:b/>
        </w:rPr>
        <w:t xml:space="preserve">Costello A, Edelbrock C, Kalas R, Kessler M &amp; Klaric SA </w:t>
      </w:r>
      <w:r w:rsidRPr="00631024">
        <w:t>(1982). Diagnostic Interview Schedule for Children (DISC). National Institute of Mental Health: Bethesda, MD.</w:t>
      </w:r>
      <w:bookmarkEnd w:id="3"/>
    </w:p>
    <w:p w:rsidR="00631024" w:rsidRPr="00631024" w:rsidRDefault="00631024" w:rsidP="00631024">
      <w:pPr>
        <w:pStyle w:val="EndNoteBibliography"/>
        <w:spacing w:after="0"/>
      </w:pPr>
      <w:bookmarkStart w:id="4" w:name="_ENREF_4"/>
      <w:r w:rsidRPr="00631024">
        <w:rPr>
          <w:b/>
        </w:rPr>
        <w:t xml:space="preserve">Eysenck HM &amp; Eysenck SBG </w:t>
      </w:r>
      <w:r w:rsidRPr="00631024">
        <w:t xml:space="preserve">(1964). </w:t>
      </w:r>
      <w:r w:rsidRPr="00631024">
        <w:rPr>
          <w:i/>
        </w:rPr>
        <w:t>Manual of the Eysenck Personality Inventory</w:t>
      </w:r>
      <w:r w:rsidRPr="00631024">
        <w:t>. London University Press: London.</w:t>
      </w:r>
      <w:bookmarkEnd w:id="4"/>
    </w:p>
    <w:p w:rsidR="00631024" w:rsidRPr="00631024" w:rsidRDefault="00631024" w:rsidP="00631024">
      <w:pPr>
        <w:pStyle w:val="EndNoteBibliography"/>
        <w:spacing w:after="0"/>
      </w:pPr>
      <w:bookmarkStart w:id="5" w:name="_ENREF_5"/>
      <w:r w:rsidRPr="00631024">
        <w:rPr>
          <w:b/>
        </w:rPr>
        <w:t xml:space="preserve">Fergusson DM, Horwood LJ &amp; Boden JM </w:t>
      </w:r>
      <w:r w:rsidRPr="00631024">
        <w:t>(2011). Structural equation modeling of repeated retrospective reports of childhood maltreatment.</w:t>
      </w:r>
      <w:r w:rsidRPr="00631024">
        <w:rPr>
          <w:i/>
        </w:rPr>
        <w:t xml:space="preserve"> International Journal of Methods in Psychiatric Research</w:t>
      </w:r>
      <w:r w:rsidRPr="00631024">
        <w:t xml:space="preserve"> </w:t>
      </w:r>
      <w:r w:rsidRPr="00631024">
        <w:rPr>
          <w:b/>
        </w:rPr>
        <w:t>20</w:t>
      </w:r>
      <w:r w:rsidRPr="00631024">
        <w:t>, 93-104.</w:t>
      </w:r>
      <w:bookmarkEnd w:id="5"/>
    </w:p>
    <w:p w:rsidR="00631024" w:rsidRPr="00631024" w:rsidRDefault="00631024" w:rsidP="00631024">
      <w:pPr>
        <w:pStyle w:val="EndNoteBibliography"/>
        <w:spacing w:after="0"/>
      </w:pPr>
      <w:bookmarkStart w:id="6" w:name="_ENREF_6"/>
      <w:r w:rsidRPr="00631024">
        <w:rPr>
          <w:b/>
        </w:rPr>
        <w:t xml:space="preserve">Fergusson DM, Horwood LJ &amp; Lynskey MT </w:t>
      </w:r>
      <w:r w:rsidRPr="00631024">
        <w:t xml:space="preserve">(1993). The prevalence and comorbidity of DSM-III-R diagnoses in a birth cohort of 15 year olds. </w:t>
      </w:r>
      <w:r w:rsidRPr="00631024">
        <w:rPr>
          <w:i/>
        </w:rPr>
        <w:t>Journal of the American Academy of Child and Adolescent Psychiatry</w:t>
      </w:r>
      <w:r w:rsidRPr="00631024">
        <w:t xml:space="preserve"> </w:t>
      </w:r>
      <w:r w:rsidRPr="00631024">
        <w:rPr>
          <w:b/>
        </w:rPr>
        <w:t>32</w:t>
      </w:r>
      <w:r w:rsidRPr="00631024">
        <w:t>, 1127-1134.</w:t>
      </w:r>
      <w:bookmarkEnd w:id="6"/>
    </w:p>
    <w:p w:rsidR="00631024" w:rsidRPr="00631024" w:rsidRDefault="00631024" w:rsidP="00631024">
      <w:pPr>
        <w:pStyle w:val="EndNoteBibliography"/>
        <w:spacing w:after="0"/>
      </w:pPr>
      <w:bookmarkStart w:id="7" w:name="_ENREF_7"/>
      <w:r w:rsidRPr="00631024">
        <w:rPr>
          <w:b/>
        </w:rPr>
        <w:t xml:space="preserve">Fergusson DM, Horwood LJ &amp; Lynskey MT </w:t>
      </w:r>
      <w:r w:rsidRPr="00631024">
        <w:t xml:space="preserve">(1994). The childhoods of multiple problem adolescents: A 15-year longitudinal study. </w:t>
      </w:r>
      <w:r w:rsidRPr="00631024">
        <w:rPr>
          <w:i/>
        </w:rPr>
        <w:t>Journal of Child Psychology and Psychiatry</w:t>
      </w:r>
      <w:r w:rsidRPr="00631024">
        <w:t xml:space="preserve"> </w:t>
      </w:r>
      <w:r w:rsidRPr="00631024">
        <w:rPr>
          <w:b/>
        </w:rPr>
        <w:t>35</w:t>
      </w:r>
      <w:r w:rsidRPr="00631024">
        <w:t>, 1123-1140.</w:t>
      </w:r>
      <w:bookmarkEnd w:id="7"/>
    </w:p>
    <w:p w:rsidR="00631024" w:rsidRPr="00631024" w:rsidRDefault="00631024" w:rsidP="00631024">
      <w:pPr>
        <w:pStyle w:val="EndNoteBibliography"/>
        <w:spacing w:after="0"/>
      </w:pPr>
      <w:bookmarkStart w:id="8" w:name="_ENREF_8"/>
      <w:r w:rsidRPr="00631024">
        <w:rPr>
          <w:b/>
        </w:rPr>
        <w:t xml:space="preserve">Fergusson DM, Horwood LJ &amp; Lynskey MT </w:t>
      </w:r>
      <w:r w:rsidRPr="00631024">
        <w:t xml:space="preserve">(1996a). Childhood sexual abuse and psychiatric disorder in young adulthood: II. Psychiatric outcomes of childhood sexual abuse. </w:t>
      </w:r>
      <w:r w:rsidRPr="00631024">
        <w:rPr>
          <w:i/>
        </w:rPr>
        <w:t>Journal of the American Academy of Child and Adolescent Psychiatry</w:t>
      </w:r>
      <w:r w:rsidRPr="00631024">
        <w:t xml:space="preserve"> </w:t>
      </w:r>
      <w:r w:rsidRPr="00631024">
        <w:rPr>
          <w:b/>
        </w:rPr>
        <w:t>35</w:t>
      </w:r>
      <w:r w:rsidRPr="00631024">
        <w:t>, 1365-1374.</w:t>
      </w:r>
      <w:bookmarkEnd w:id="8"/>
    </w:p>
    <w:p w:rsidR="00631024" w:rsidRPr="00631024" w:rsidRDefault="00631024" w:rsidP="00631024">
      <w:pPr>
        <w:pStyle w:val="EndNoteBibliography"/>
        <w:spacing w:after="0"/>
      </w:pPr>
      <w:bookmarkStart w:id="9" w:name="_ENREF_9"/>
      <w:r w:rsidRPr="00631024">
        <w:rPr>
          <w:b/>
        </w:rPr>
        <w:t xml:space="preserve">Fergusson DM &amp; Lynskey MT </w:t>
      </w:r>
      <w:r w:rsidRPr="00631024">
        <w:t xml:space="preserve">(1997). Physical punishment/maltreatment during childhood and adjustment in young adulthood. </w:t>
      </w:r>
      <w:r w:rsidRPr="00631024">
        <w:rPr>
          <w:i/>
        </w:rPr>
        <w:t>Child Abuse and Neglect</w:t>
      </w:r>
      <w:r w:rsidRPr="00631024">
        <w:t xml:space="preserve"> </w:t>
      </w:r>
      <w:r w:rsidRPr="00631024">
        <w:rPr>
          <w:b/>
        </w:rPr>
        <w:t>21</w:t>
      </w:r>
      <w:r w:rsidRPr="00631024">
        <w:t>, 617-630.</w:t>
      </w:r>
      <w:bookmarkEnd w:id="9"/>
    </w:p>
    <w:p w:rsidR="00631024" w:rsidRPr="00631024" w:rsidRDefault="00631024" w:rsidP="00631024">
      <w:pPr>
        <w:pStyle w:val="EndNoteBibliography"/>
        <w:spacing w:after="0"/>
      </w:pPr>
      <w:bookmarkStart w:id="10" w:name="_ENREF_10"/>
      <w:r w:rsidRPr="00631024">
        <w:rPr>
          <w:b/>
        </w:rPr>
        <w:t xml:space="preserve">Fergusson DM, Lynskey MT &amp; Horwood LJ </w:t>
      </w:r>
      <w:r w:rsidRPr="00631024">
        <w:t xml:space="preserve">(1996b). Childhood sexual abuse and psychiatric disorder in young adulthood: I. Prevalence of sexual abuse and factors associated with sexual abuse. </w:t>
      </w:r>
      <w:r w:rsidRPr="00631024">
        <w:rPr>
          <w:i/>
        </w:rPr>
        <w:t>Journal of the American Academy of Child and Adolescent Psychiatry</w:t>
      </w:r>
      <w:r w:rsidRPr="00631024">
        <w:t xml:space="preserve"> </w:t>
      </w:r>
      <w:r w:rsidRPr="00631024">
        <w:rPr>
          <w:b/>
        </w:rPr>
        <w:t>35</w:t>
      </w:r>
      <w:r w:rsidRPr="00631024">
        <w:t>, 1355-1364.</w:t>
      </w:r>
      <w:bookmarkEnd w:id="10"/>
    </w:p>
    <w:p w:rsidR="00631024" w:rsidRPr="00631024" w:rsidRDefault="00631024" w:rsidP="00631024">
      <w:pPr>
        <w:pStyle w:val="EndNoteBibliography"/>
        <w:spacing w:after="0"/>
      </w:pPr>
      <w:bookmarkStart w:id="11" w:name="_ENREF_11"/>
      <w:r w:rsidRPr="00631024">
        <w:rPr>
          <w:b/>
        </w:rPr>
        <w:t xml:space="preserve">Moffitt TR &amp; Silva PA </w:t>
      </w:r>
      <w:r w:rsidRPr="00631024">
        <w:t xml:space="preserve">(1988). Self-reported delinquency: Results from an instrument for New Zealand. </w:t>
      </w:r>
      <w:r w:rsidRPr="00631024">
        <w:rPr>
          <w:i/>
        </w:rPr>
        <w:t>Australian and New Zealand Journal of Criminology</w:t>
      </w:r>
      <w:r w:rsidRPr="00631024">
        <w:t xml:space="preserve"> </w:t>
      </w:r>
      <w:r w:rsidRPr="00631024">
        <w:rPr>
          <w:b/>
        </w:rPr>
        <w:t>21</w:t>
      </w:r>
      <w:r w:rsidRPr="00631024">
        <w:t>, 227-240.</w:t>
      </w:r>
      <w:bookmarkEnd w:id="11"/>
    </w:p>
    <w:p w:rsidR="00631024" w:rsidRPr="00631024" w:rsidRDefault="00631024" w:rsidP="00631024">
      <w:pPr>
        <w:pStyle w:val="EndNoteBibliography"/>
        <w:spacing w:after="0"/>
      </w:pPr>
      <w:bookmarkStart w:id="12" w:name="_ENREF_12"/>
      <w:r w:rsidRPr="00631024">
        <w:rPr>
          <w:b/>
        </w:rPr>
        <w:t xml:space="preserve">Wechsler D </w:t>
      </w:r>
      <w:r w:rsidRPr="00631024">
        <w:t xml:space="preserve">(1974). </w:t>
      </w:r>
      <w:r w:rsidRPr="00631024">
        <w:rPr>
          <w:i/>
        </w:rPr>
        <w:t>Manual for the Wechsler Intelligence Scale for Children - Revised</w:t>
      </w:r>
      <w:r w:rsidRPr="00631024">
        <w:t>. Psychological Corporation: New York.</w:t>
      </w:r>
      <w:bookmarkEnd w:id="12"/>
    </w:p>
    <w:p w:rsidR="00631024" w:rsidRPr="00631024" w:rsidRDefault="00631024" w:rsidP="00631024">
      <w:pPr>
        <w:pStyle w:val="EndNoteBibliography"/>
      </w:pPr>
      <w:bookmarkStart w:id="13" w:name="_ENREF_13"/>
      <w:r w:rsidRPr="00631024">
        <w:rPr>
          <w:b/>
        </w:rPr>
        <w:t xml:space="preserve">White HL &amp; Labouvie EW </w:t>
      </w:r>
      <w:r w:rsidRPr="00631024">
        <w:t xml:space="preserve">(1989). Towards the assessment of adolescent problem drinking. </w:t>
      </w:r>
      <w:r w:rsidRPr="00631024">
        <w:rPr>
          <w:i/>
        </w:rPr>
        <w:t>Journal of Studies on Alcohol</w:t>
      </w:r>
      <w:r w:rsidRPr="00631024">
        <w:t xml:space="preserve"> </w:t>
      </w:r>
      <w:r w:rsidRPr="00631024">
        <w:rPr>
          <w:b/>
        </w:rPr>
        <w:t>50</w:t>
      </w:r>
      <w:r w:rsidRPr="00631024">
        <w:t>, 30-37.</w:t>
      </w:r>
      <w:bookmarkEnd w:id="13"/>
    </w:p>
    <w:p w:rsidR="005852F9" w:rsidRPr="00604D5E" w:rsidRDefault="00DC7BA0">
      <w:r w:rsidRPr="00604D5E">
        <w:fldChar w:fldCharType="end"/>
      </w:r>
    </w:p>
    <w:sectPr w:rsidR="005852F9" w:rsidRPr="00604D5E" w:rsidSect="00E55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6FB" w:rsidRDefault="004436FB" w:rsidP="00F800D9">
      <w:pPr>
        <w:spacing w:after="0" w:line="240" w:lineRule="auto"/>
      </w:pPr>
      <w:r>
        <w:separator/>
      </w:r>
    </w:p>
  </w:endnote>
  <w:endnote w:type="continuationSeparator" w:id="0">
    <w:p w:rsidR="004436FB" w:rsidRDefault="004436FB" w:rsidP="00F8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56" w:rsidRDefault="00695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56" w:rsidRDefault="006952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56" w:rsidRDefault="00695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6FB" w:rsidRDefault="004436FB" w:rsidP="00F800D9">
      <w:pPr>
        <w:spacing w:after="0" w:line="240" w:lineRule="auto"/>
      </w:pPr>
      <w:r>
        <w:separator/>
      </w:r>
    </w:p>
  </w:footnote>
  <w:footnote w:type="continuationSeparator" w:id="0">
    <w:p w:rsidR="004436FB" w:rsidRDefault="004436FB" w:rsidP="00F8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56" w:rsidRDefault="00695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151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5256" w:rsidRDefault="006952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46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95256" w:rsidRDefault="006952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56" w:rsidRDefault="00695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x9et9rw6df0a8e9szqxfwzkzd0vvfpz2vse&quot;&gt;Geri endnotes 13.2.14&lt;record-ids&gt;&lt;item&gt;6&lt;/item&gt;&lt;item&gt;9&lt;/item&gt;&lt;item&gt;12&lt;/item&gt;&lt;item&gt;200&lt;/item&gt;&lt;item&gt;204&lt;/item&gt;&lt;item&gt;205&lt;/item&gt;&lt;item&gt;207&lt;/item&gt;&lt;item&gt;257&lt;/item&gt;&lt;item&gt;263&lt;/item&gt;&lt;/record-ids&gt;&lt;/item&gt;&lt;/Libraries&gt;"/>
  </w:docVars>
  <w:rsids>
    <w:rsidRoot w:val="008E5456"/>
    <w:rsid w:val="00003579"/>
    <w:rsid w:val="00007AA4"/>
    <w:rsid w:val="00027A14"/>
    <w:rsid w:val="00034584"/>
    <w:rsid w:val="000440A2"/>
    <w:rsid w:val="00044376"/>
    <w:rsid w:val="00061BF8"/>
    <w:rsid w:val="0007204C"/>
    <w:rsid w:val="00076939"/>
    <w:rsid w:val="000773BE"/>
    <w:rsid w:val="0007780E"/>
    <w:rsid w:val="00077906"/>
    <w:rsid w:val="000864B3"/>
    <w:rsid w:val="00090AA1"/>
    <w:rsid w:val="00091896"/>
    <w:rsid w:val="00093A89"/>
    <w:rsid w:val="000A66D2"/>
    <w:rsid w:val="000B4FAB"/>
    <w:rsid w:val="000C0764"/>
    <w:rsid w:val="000C6B0A"/>
    <w:rsid w:val="000D021F"/>
    <w:rsid w:val="000D3FEF"/>
    <w:rsid w:val="000E58A1"/>
    <w:rsid w:val="000F10E7"/>
    <w:rsid w:val="000F24A3"/>
    <w:rsid w:val="000F30F5"/>
    <w:rsid w:val="000F40C3"/>
    <w:rsid w:val="000F52B5"/>
    <w:rsid w:val="001020A0"/>
    <w:rsid w:val="00103C17"/>
    <w:rsid w:val="00122B6A"/>
    <w:rsid w:val="0013692A"/>
    <w:rsid w:val="00143757"/>
    <w:rsid w:val="001439AF"/>
    <w:rsid w:val="00151E18"/>
    <w:rsid w:val="001563DE"/>
    <w:rsid w:val="00164435"/>
    <w:rsid w:val="00166176"/>
    <w:rsid w:val="001667DA"/>
    <w:rsid w:val="00182B46"/>
    <w:rsid w:val="001919F2"/>
    <w:rsid w:val="001A0B0E"/>
    <w:rsid w:val="001A3248"/>
    <w:rsid w:val="001A48E3"/>
    <w:rsid w:val="001B0A76"/>
    <w:rsid w:val="001C12C4"/>
    <w:rsid w:val="001C473F"/>
    <w:rsid w:val="001C6CD0"/>
    <w:rsid w:val="001D6A3B"/>
    <w:rsid w:val="001E4A04"/>
    <w:rsid w:val="001F19B7"/>
    <w:rsid w:val="002052D6"/>
    <w:rsid w:val="00217D5F"/>
    <w:rsid w:val="00231D39"/>
    <w:rsid w:val="0023219B"/>
    <w:rsid w:val="00232E19"/>
    <w:rsid w:val="00233C24"/>
    <w:rsid w:val="00242962"/>
    <w:rsid w:val="002536DE"/>
    <w:rsid w:val="00260C1E"/>
    <w:rsid w:val="00265398"/>
    <w:rsid w:val="00265848"/>
    <w:rsid w:val="0026690F"/>
    <w:rsid w:val="00270C9B"/>
    <w:rsid w:val="0028180D"/>
    <w:rsid w:val="00281D78"/>
    <w:rsid w:val="00284BD5"/>
    <w:rsid w:val="00294C65"/>
    <w:rsid w:val="002A434B"/>
    <w:rsid w:val="002A444E"/>
    <w:rsid w:val="002A4886"/>
    <w:rsid w:val="002A56A5"/>
    <w:rsid w:val="002A620D"/>
    <w:rsid w:val="002B3EE1"/>
    <w:rsid w:val="002B6DE9"/>
    <w:rsid w:val="002C2A8E"/>
    <w:rsid w:val="002D0A0F"/>
    <w:rsid w:val="002D7329"/>
    <w:rsid w:val="002D773F"/>
    <w:rsid w:val="002F25D3"/>
    <w:rsid w:val="003043CF"/>
    <w:rsid w:val="0030746B"/>
    <w:rsid w:val="00326C6C"/>
    <w:rsid w:val="0032784F"/>
    <w:rsid w:val="0033561C"/>
    <w:rsid w:val="003420C9"/>
    <w:rsid w:val="00344E65"/>
    <w:rsid w:val="00354748"/>
    <w:rsid w:val="00362F71"/>
    <w:rsid w:val="0036332D"/>
    <w:rsid w:val="003654EC"/>
    <w:rsid w:val="0037250B"/>
    <w:rsid w:val="00386A34"/>
    <w:rsid w:val="003A745A"/>
    <w:rsid w:val="003E4DB1"/>
    <w:rsid w:val="004042FC"/>
    <w:rsid w:val="00417137"/>
    <w:rsid w:val="00420D10"/>
    <w:rsid w:val="004417AE"/>
    <w:rsid w:val="004436FB"/>
    <w:rsid w:val="00447D5E"/>
    <w:rsid w:val="004513A6"/>
    <w:rsid w:val="00451CAF"/>
    <w:rsid w:val="00454D54"/>
    <w:rsid w:val="00460FA0"/>
    <w:rsid w:val="00467E7B"/>
    <w:rsid w:val="004750FB"/>
    <w:rsid w:val="00484459"/>
    <w:rsid w:val="0048635E"/>
    <w:rsid w:val="0049632C"/>
    <w:rsid w:val="004A5640"/>
    <w:rsid w:val="004A63FF"/>
    <w:rsid w:val="004B0930"/>
    <w:rsid w:val="004B24F6"/>
    <w:rsid w:val="004B30DB"/>
    <w:rsid w:val="004B33C5"/>
    <w:rsid w:val="004C16D4"/>
    <w:rsid w:val="004C4BA9"/>
    <w:rsid w:val="004C6BD8"/>
    <w:rsid w:val="004D08F1"/>
    <w:rsid w:val="004D14A7"/>
    <w:rsid w:val="004E01AC"/>
    <w:rsid w:val="004E259C"/>
    <w:rsid w:val="004E4F16"/>
    <w:rsid w:val="004E5858"/>
    <w:rsid w:val="004F0CE0"/>
    <w:rsid w:val="00500A26"/>
    <w:rsid w:val="0050366D"/>
    <w:rsid w:val="0050678D"/>
    <w:rsid w:val="00510594"/>
    <w:rsid w:val="00524042"/>
    <w:rsid w:val="00534D6B"/>
    <w:rsid w:val="00543460"/>
    <w:rsid w:val="0055051F"/>
    <w:rsid w:val="0055098B"/>
    <w:rsid w:val="0057328D"/>
    <w:rsid w:val="005852F9"/>
    <w:rsid w:val="00586445"/>
    <w:rsid w:val="005879D0"/>
    <w:rsid w:val="005901E2"/>
    <w:rsid w:val="00590597"/>
    <w:rsid w:val="00596108"/>
    <w:rsid w:val="005973C0"/>
    <w:rsid w:val="005A78D4"/>
    <w:rsid w:val="005B528D"/>
    <w:rsid w:val="005B7F86"/>
    <w:rsid w:val="005C0B67"/>
    <w:rsid w:val="005C514B"/>
    <w:rsid w:val="005E2B57"/>
    <w:rsid w:val="005F4BD4"/>
    <w:rsid w:val="00604D5E"/>
    <w:rsid w:val="00606747"/>
    <w:rsid w:val="00606F97"/>
    <w:rsid w:val="00611005"/>
    <w:rsid w:val="0061615F"/>
    <w:rsid w:val="00624EDF"/>
    <w:rsid w:val="00631024"/>
    <w:rsid w:val="0064005E"/>
    <w:rsid w:val="00650477"/>
    <w:rsid w:val="006527DF"/>
    <w:rsid w:val="00660D22"/>
    <w:rsid w:val="00662399"/>
    <w:rsid w:val="00662765"/>
    <w:rsid w:val="00663257"/>
    <w:rsid w:val="0067009A"/>
    <w:rsid w:val="006727CB"/>
    <w:rsid w:val="00684F6A"/>
    <w:rsid w:val="0069283C"/>
    <w:rsid w:val="0069360F"/>
    <w:rsid w:val="00695256"/>
    <w:rsid w:val="006A5570"/>
    <w:rsid w:val="006A5F15"/>
    <w:rsid w:val="006B2D96"/>
    <w:rsid w:val="006B5B93"/>
    <w:rsid w:val="006C0CF9"/>
    <w:rsid w:val="006D0738"/>
    <w:rsid w:val="006D2CB3"/>
    <w:rsid w:val="006E49F3"/>
    <w:rsid w:val="006F22ED"/>
    <w:rsid w:val="00701955"/>
    <w:rsid w:val="0070655E"/>
    <w:rsid w:val="007070A6"/>
    <w:rsid w:val="00727242"/>
    <w:rsid w:val="0074637A"/>
    <w:rsid w:val="00746A33"/>
    <w:rsid w:val="007472D9"/>
    <w:rsid w:val="00750C23"/>
    <w:rsid w:val="00766EEA"/>
    <w:rsid w:val="00770AC5"/>
    <w:rsid w:val="00771E65"/>
    <w:rsid w:val="00795522"/>
    <w:rsid w:val="007D2071"/>
    <w:rsid w:val="007D7F70"/>
    <w:rsid w:val="0080369D"/>
    <w:rsid w:val="008147DE"/>
    <w:rsid w:val="00820D00"/>
    <w:rsid w:val="00833A36"/>
    <w:rsid w:val="00841999"/>
    <w:rsid w:val="0084757A"/>
    <w:rsid w:val="00866955"/>
    <w:rsid w:val="00872B2F"/>
    <w:rsid w:val="00876513"/>
    <w:rsid w:val="00880626"/>
    <w:rsid w:val="0089015C"/>
    <w:rsid w:val="008A0CAA"/>
    <w:rsid w:val="008B4A0B"/>
    <w:rsid w:val="008C63C4"/>
    <w:rsid w:val="008E3C12"/>
    <w:rsid w:val="008E5456"/>
    <w:rsid w:val="008F5101"/>
    <w:rsid w:val="008F521D"/>
    <w:rsid w:val="0090069E"/>
    <w:rsid w:val="00920813"/>
    <w:rsid w:val="00925DB0"/>
    <w:rsid w:val="00926E2D"/>
    <w:rsid w:val="009411DB"/>
    <w:rsid w:val="00944964"/>
    <w:rsid w:val="00952F4C"/>
    <w:rsid w:val="0096759E"/>
    <w:rsid w:val="00970955"/>
    <w:rsid w:val="00970E80"/>
    <w:rsid w:val="0097617E"/>
    <w:rsid w:val="009A5450"/>
    <w:rsid w:val="009A6D31"/>
    <w:rsid w:val="009B4EA5"/>
    <w:rsid w:val="009C456B"/>
    <w:rsid w:val="009D690C"/>
    <w:rsid w:val="009D70EC"/>
    <w:rsid w:val="009F5C9B"/>
    <w:rsid w:val="009F7747"/>
    <w:rsid w:val="00A0078A"/>
    <w:rsid w:val="00A01069"/>
    <w:rsid w:val="00A05EA5"/>
    <w:rsid w:val="00A13FFB"/>
    <w:rsid w:val="00A21A61"/>
    <w:rsid w:val="00A24780"/>
    <w:rsid w:val="00A27FB7"/>
    <w:rsid w:val="00A34AC7"/>
    <w:rsid w:val="00A36FB4"/>
    <w:rsid w:val="00A43A4C"/>
    <w:rsid w:val="00A6661F"/>
    <w:rsid w:val="00A75D44"/>
    <w:rsid w:val="00A77EC8"/>
    <w:rsid w:val="00A94FF8"/>
    <w:rsid w:val="00AA7A6D"/>
    <w:rsid w:val="00AC2296"/>
    <w:rsid w:val="00AC577C"/>
    <w:rsid w:val="00AC6179"/>
    <w:rsid w:val="00AC6608"/>
    <w:rsid w:val="00AD1885"/>
    <w:rsid w:val="00AD1F34"/>
    <w:rsid w:val="00AD3074"/>
    <w:rsid w:val="00AD5B44"/>
    <w:rsid w:val="00AE4454"/>
    <w:rsid w:val="00AF0367"/>
    <w:rsid w:val="00AF2D53"/>
    <w:rsid w:val="00AF2E59"/>
    <w:rsid w:val="00B009F0"/>
    <w:rsid w:val="00B01824"/>
    <w:rsid w:val="00B06286"/>
    <w:rsid w:val="00B10DD3"/>
    <w:rsid w:val="00B1220A"/>
    <w:rsid w:val="00B1222B"/>
    <w:rsid w:val="00B22201"/>
    <w:rsid w:val="00B4450D"/>
    <w:rsid w:val="00B55A6F"/>
    <w:rsid w:val="00B561BF"/>
    <w:rsid w:val="00B65164"/>
    <w:rsid w:val="00B6542D"/>
    <w:rsid w:val="00B66807"/>
    <w:rsid w:val="00B7055F"/>
    <w:rsid w:val="00B80962"/>
    <w:rsid w:val="00B84606"/>
    <w:rsid w:val="00B94DA0"/>
    <w:rsid w:val="00B95E52"/>
    <w:rsid w:val="00BA29F0"/>
    <w:rsid w:val="00BA44CF"/>
    <w:rsid w:val="00BB4C77"/>
    <w:rsid w:val="00BB7650"/>
    <w:rsid w:val="00BC4EC5"/>
    <w:rsid w:val="00BD0660"/>
    <w:rsid w:val="00BE12EB"/>
    <w:rsid w:val="00BE6122"/>
    <w:rsid w:val="00C00933"/>
    <w:rsid w:val="00C03A37"/>
    <w:rsid w:val="00C10475"/>
    <w:rsid w:val="00C155D8"/>
    <w:rsid w:val="00C209D3"/>
    <w:rsid w:val="00C350EF"/>
    <w:rsid w:val="00C36DBD"/>
    <w:rsid w:val="00C437F4"/>
    <w:rsid w:val="00C5084B"/>
    <w:rsid w:val="00C533E0"/>
    <w:rsid w:val="00C620E8"/>
    <w:rsid w:val="00CA09F7"/>
    <w:rsid w:val="00CB19D6"/>
    <w:rsid w:val="00CB1DFF"/>
    <w:rsid w:val="00CB22A8"/>
    <w:rsid w:val="00CB33E4"/>
    <w:rsid w:val="00CC12E2"/>
    <w:rsid w:val="00CD127F"/>
    <w:rsid w:val="00CD3C13"/>
    <w:rsid w:val="00CD4A7D"/>
    <w:rsid w:val="00CE68E9"/>
    <w:rsid w:val="00CE752E"/>
    <w:rsid w:val="00CE7A03"/>
    <w:rsid w:val="00CF5C98"/>
    <w:rsid w:val="00CF6505"/>
    <w:rsid w:val="00D176E8"/>
    <w:rsid w:val="00D27D1B"/>
    <w:rsid w:val="00D577D3"/>
    <w:rsid w:val="00D650C1"/>
    <w:rsid w:val="00D7594C"/>
    <w:rsid w:val="00D84659"/>
    <w:rsid w:val="00D9181D"/>
    <w:rsid w:val="00D965E7"/>
    <w:rsid w:val="00D96D1F"/>
    <w:rsid w:val="00DC2E97"/>
    <w:rsid w:val="00DC7470"/>
    <w:rsid w:val="00DC7BA0"/>
    <w:rsid w:val="00DD3A8C"/>
    <w:rsid w:val="00DE3019"/>
    <w:rsid w:val="00DE34BB"/>
    <w:rsid w:val="00DE42E6"/>
    <w:rsid w:val="00DF6465"/>
    <w:rsid w:val="00DF7A41"/>
    <w:rsid w:val="00E00B25"/>
    <w:rsid w:val="00E0103C"/>
    <w:rsid w:val="00E03848"/>
    <w:rsid w:val="00E137D0"/>
    <w:rsid w:val="00E22685"/>
    <w:rsid w:val="00E24114"/>
    <w:rsid w:val="00E3090C"/>
    <w:rsid w:val="00E50A4A"/>
    <w:rsid w:val="00E55107"/>
    <w:rsid w:val="00E828DE"/>
    <w:rsid w:val="00E93041"/>
    <w:rsid w:val="00EA17E3"/>
    <w:rsid w:val="00EB677D"/>
    <w:rsid w:val="00EB6EC5"/>
    <w:rsid w:val="00EC323C"/>
    <w:rsid w:val="00ED372E"/>
    <w:rsid w:val="00ED4C18"/>
    <w:rsid w:val="00ED7CBE"/>
    <w:rsid w:val="00EE1E12"/>
    <w:rsid w:val="00EE598E"/>
    <w:rsid w:val="00F04C7D"/>
    <w:rsid w:val="00F1017A"/>
    <w:rsid w:val="00F236B1"/>
    <w:rsid w:val="00F3004C"/>
    <w:rsid w:val="00F32F49"/>
    <w:rsid w:val="00F4054A"/>
    <w:rsid w:val="00F43B58"/>
    <w:rsid w:val="00F616A1"/>
    <w:rsid w:val="00F63B80"/>
    <w:rsid w:val="00F72690"/>
    <w:rsid w:val="00F800D9"/>
    <w:rsid w:val="00F95A60"/>
    <w:rsid w:val="00F961D3"/>
    <w:rsid w:val="00FA72D6"/>
    <w:rsid w:val="00FC78DA"/>
    <w:rsid w:val="00FD453F"/>
    <w:rsid w:val="00FE047B"/>
    <w:rsid w:val="00FF3D3F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7FCE3-118A-4705-984E-424DA888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8E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0C6B0A"/>
  </w:style>
  <w:style w:type="character" w:styleId="Emphasis">
    <w:name w:val="Emphasis"/>
    <w:basedOn w:val="DefaultParagraphFont"/>
    <w:uiPriority w:val="20"/>
    <w:qFormat/>
    <w:rsid w:val="000C6B0A"/>
    <w:rPr>
      <w:i/>
      <w:iCs/>
    </w:rPr>
  </w:style>
  <w:style w:type="character" w:styleId="Hyperlink">
    <w:name w:val="Hyperlink"/>
    <w:basedOn w:val="DefaultParagraphFont"/>
    <w:uiPriority w:val="99"/>
    <w:unhideWhenUsed/>
    <w:rsid w:val="00CB19D6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04D5E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04D5E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04D5E"/>
    <w:pPr>
      <w:spacing w:line="36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04D5E"/>
    <w:rPr>
      <w:rFonts w:ascii="Calibri" w:hAnsi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0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D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0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D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3947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Otago, Christchurch</Company>
  <LinksUpToDate>false</LinksUpToDate>
  <CharactersWithSpaces>26395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McLeod</dc:creator>
  <cp:keywords/>
  <dc:description/>
  <cp:lastModifiedBy>User</cp:lastModifiedBy>
  <cp:revision>18</cp:revision>
  <cp:lastPrinted>2015-12-02T00:11:00Z</cp:lastPrinted>
  <dcterms:created xsi:type="dcterms:W3CDTF">2015-11-30T21:11:00Z</dcterms:created>
  <dcterms:modified xsi:type="dcterms:W3CDTF">2015-12-21T10:43:00Z</dcterms:modified>
</cp:coreProperties>
</file>