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71" w:rsidRPr="00161F27" w:rsidRDefault="00B52F71" w:rsidP="00B52F71">
      <w:pPr>
        <w:pStyle w:val="Caption"/>
        <w:rPr>
          <w:sz w:val="24"/>
          <w:szCs w:val="24"/>
        </w:rPr>
      </w:pPr>
      <w:r w:rsidRPr="00161F27">
        <w:rPr>
          <w:sz w:val="24"/>
          <w:szCs w:val="24"/>
        </w:rPr>
        <w:t xml:space="preserve">Supplementary Figure </w:t>
      </w:r>
      <w:r w:rsidR="00E3682D">
        <w:rPr>
          <w:sz w:val="24"/>
          <w:szCs w:val="24"/>
        </w:rPr>
        <w:t>S</w:t>
      </w:r>
      <w:bookmarkStart w:id="0" w:name="_GoBack"/>
      <w:bookmarkEnd w:id="0"/>
      <w:r w:rsidR="00161F27">
        <w:rPr>
          <w:sz w:val="24"/>
          <w:szCs w:val="24"/>
        </w:rPr>
        <w:t>2</w:t>
      </w:r>
      <w:r w:rsidRPr="00161F27">
        <w:rPr>
          <w:sz w:val="24"/>
          <w:szCs w:val="24"/>
        </w:rPr>
        <w:t xml:space="preserve"> Rates on antidepressant prescribing by antidepressant type in 15-18 year olds in relation to 2011 safety advice</w:t>
      </w:r>
    </w:p>
    <w:p w:rsidR="000C39B7" w:rsidRDefault="000C39B7" w:rsidP="000C39B7">
      <w:pPr>
        <w:keepNext/>
      </w:pPr>
    </w:p>
    <w:p w:rsidR="000C39B7" w:rsidRDefault="002170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CE0F" wp14:editId="074BE002">
                <wp:simplePos x="0" y="0"/>
                <wp:positionH relativeFrom="column">
                  <wp:posOffset>2256155</wp:posOffset>
                </wp:positionH>
                <wp:positionV relativeFrom="paragraph">
                  <wp:posOffset>142875</wp:posOffset>
                </wp:positionV>
                <wp:extent cx="971550" cy="708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1B" w:rsidRPr="0021701B" w:rsidRDefault="002170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701B">
                              <w:rPr>
                                <w:sz w:val="18"/>
                                <w:szCs w:val="18"/>
                              </w:rPr>
                              <w:t>FDA safety communication (US)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6CE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5pt;margin-top:11.25pt;width:76.5pt;height:5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" filled="f" stroked="f">
                <v:textbox style="mso-fit-shape-to-text:t">
                  <w:txbxContent>
                    <w:p w:rsidR="0021701B" w:rsidRPr="0021701B" w:rsidRDefault="0021701B">
                      <w:pPr>
                        <w:rPr>
                          <w:sz w:val="18"/>
                          <w:szCs w:val="18"/>
                        </w:rPr>
                      </w:pPr>
                      <w:r w:rsidRPr="0021701B">
                        <w:rPr>
                          <w:sz w:val="18"/>
                          <w:szCs w:val="18"/>
                        </w:rPr>
                        <w:t>FDA safety communication (US)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00F96" wp14:editId="3162A8E9">
                <wp:simplePos x="0" y="0"/>
                <wp:positionH relativeFrom="column">
                  <wp:posOffset>3352800</wp:posOffset>
                </wp:positionH>
                <wp:positionV relativeFrom="paragraph">
                  <wp:posOffset>311150</wp:posOffset>
                </wp:positionV>
                <wp:extent cx="800100" cy="428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1B" w:rsidRPr="0021701B" w:rsidRDefault="0021701B" w:rsidP="002170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MHRA safety update (UK)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0F96" id="_x0000_s1027" type="#_x0000_t202" style="position:absolute;margin-left:264pt;margin-top:24.5pt;width:63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" filled="f" stroked="f">
                <v:textbox>
                  <w:txbxContent>
                    <w:p w:rsidR="0021701B" w:rsidRPr="0021701B" w:rsidRDefault="0021701B" w:rsidP="002170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MHRA safety update (UK)</w:t>
                      </w:r>
                    </w:p>
                  </w:txbxContent>
                </v:textbox>
              </v:shape>
            </w:pict>
          </mc:Fallback>
        </mc:AlternateContent>
      </w:r>
    </w:p>
    <w:p w:rsidR="000C39B7" w:rsidRDefault="000C39B7" w:rsidP="000C39B7">
      <w:pPr>
        <w:keepNext/>
      </w:pPr>
      <w:r>
        <w:rPr>
          <w:noProof/>
          <w:lang w:eastAsia="en-GB"/>
        </w:rPr>
        <w:drawing>
          <wp:inline distT="0" distB="0" distL="0" distR="0" wp14:anchorId="1EBAA803" wp14:editId="79CC4989">
            <wp:extent cx="5543550" cy="3538538"/>
            <wp:effectExtent l="0" t="0" r="0" b="508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C39B7" w:rsidRDefault="000C39B7" w:rsidP="000C39B7">
      <w:pPr>
        <w:pStyle w:val="Caption"/>
      </w:pPr>
    </w:p>
    <w:sectPr w:rsidR="000C3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B7"/>
    <w:rsid w:val="000C39B7"/>
    <w:rsid w:val="00161F27"/>
    <w:rsid w:val="002068BF"/>
    <w:rsid w:val="0021701B"/>
    <w:rsid w:val="00225EE2"/>
    <w:rsid w:val="004B340C"/>
    <w:rsid w:val="009874EC"/>
    <w:rsid w:val="0098785E"/>
    <w:rsid w:val="009B050F"/>
    <w:rsid w:val="00B350F4"/>
    <w:rsid w:val="00B52F71"/>
    <w:rsid w:val="00B80C9A"/>
    <w:rsid w:val="00C01299"/>
    <w:rsid w:val="00C91FF8"/>
    <w:rsid w:val="00E3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33F8AD-8200-41EC-A8E3-C83EE82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B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C39B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hi\filestore\users\marchana\Documents\CYP\CYP2016\CYP201526.05.2015%20mu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Fluoxetine</c:v>
          </c:tx>
          <c:cat>
            <c:strRef>
              <c:f>'AD breakdown 15-18 years'!$C$34:$C$41</c:f>
              <c:strCache>
                <c:ptCount val="8"/>
                <c:pt idx="0">
                  <c:v>Q4 2010</c:v>
                </c:pt>
                <c:pt idx="1">
                  <c:v>Q1 2011</c:v>
                </c:pt>
                <c:pt idx="2">
                  <c:v>Q2 2011</c:v>
                </c:pt>
                <c:pt idx="3">
                  <c:v>Q3 2011</c:v>
                </c:pt>
                <c:pt idx="4">
                  <c:v>Q4 2011</c:v>
                </c:pt>
                <c:pt idx="5">
                  <c:v>Q1 2012 </c:v>
                </c:pt>
                <c:pt idx="6">
                  <c:v>Q2 2012</c:v>
                </c:pt>
                <c:pt idx="7">
                  <c:v>Q3 2012</c:v>
                </c:pt>
              </c:strCache>
            </c:strRef>
          </c:cat>
          <c:val>
            <c:numRef>
              <c:f>'AD breakdown 15-18 years'!$K$34:$K$41</c:f>
              <c:numCache>
                <c:formatCode>General</c:formatCode>
                <c:ptCount val="8"/>
                <c:pt idx="0">
                  <c:v>1.080710536511803</c:v>
                </c:pt>
                <c:pt idx="1">
                  <c:v>1.266769421816865</c:v>
                </c:pt>
                <c:pt idx="2">
                  <c:v>1.1090543593384361</c:v>
                </c:pt>
                <c:pt idx="3">
                  <c:v>1.3354007445166149</c:v>
                </c:pt>
                <c:pt idx="4">
                  <c:v>1.58981562978316</c:v>
                </c:pt>
                <c:pt idx="5">
                  <c:v>1.8361740960628921</c:v>
                </c:pt>
                <c:pt idx="6">
                  <c:v>1.4713641101318871</c:v>
                </c:pt>
                <c:pt idx="7">
                  <c:v>1.3896612339609491</c:v>
                </c:pt>
              </c:numCache>
            </c:numRef>
          </c:val>
          <c:smooth val="0"/>
        </c:ser>
        <c:ser>
          <c:idx val="1"/>
          <c:order val="1"/>
          <c:tx>
            <c:v>Citalopram</c:v>
          </c:tx>
          <c:cat>
            <c:strRef>
              <c:f>'AD breakdown 15-18 years'!$C$34:$C$41</c:f>
              <c:strCache>
                <c:ptCount val="8"/>
                <c:pt idx="0">
                  <c:v>Q4 2010</c:v>
                </c:pt>
                <c:pt idx="1">
                  <c:v>Q1 2011</c:v>
                </c:pt>
                <c:pt idx="2">
                  <c:v>Q2 2011</c:v>
                </c:pt>
                <c:pt idx="3">
                  <c:v>Q3 2011</c:v>
                </c:pt>
                <c:pt idx="4">
                  <c:v>Q4 2011</c:v>
                </c:pt>
                <c:pt idx="5">
                  <c:v>Q1 2012 </c:v>
                </c:pt>
                <c:pt idx="6">
                  <c:v>Q2 2012</c:v>
                </c:pt>
                <c:pt idx="7">
                  <c:v>Q3 2012</c:v>
                </c:pt>
              </c:strCache>
            </c:strRef>
          </c:cat>
          <c:val>
            <c:numRef>
              <c:f>'AD breakdown 15-18 years'!$P$34:$P$41</c:f>
              <c:numCache>
                <c:formatCode>General</c:formatCode>
                <c:ptCount val="8"/>
                <c:pt idx="0">
                  <c:v>2.3501165635256651</c:v>
                </c:pt>
                <c:pt idx="1">
                  <c:v>2.2905967627373478</c:v>
                </c:pt>
                <c:pt idx="2">
                  <c:v>2.2357127561266879</c:v>
                </c:pt>
                <c:pt idx="3">
                  <c:v>2.286645110473652</c:v>
                </c:pt>
                <c:pt idx="4">
                  <c:v>2.1590088799524398</c:v>
                </c:pt>
                <c:pt idx="5">
                  <c:v>2.0119779988774251</c:v>
                </c:pt>
                <c:pt idx="6">
                  <c:v>1.8441096846986329</c:v>
                </c:pt>
                <c:pt idx="7">
                  <c:v>1.6348955693658229</c:v>
                </c:pt>
              </c:numCache>
            </c:numRef>
          </c:val>
          <c:smooth val="0"/>
        </c:ser>
        <c:ser>
          <c:idx val="2"/>
          <c:order val="2"/>
          <c:tx>
            <c:v>Other SSRI</c:v>
          </c:tx>
          <c:cat>
            <c:strRef>
              <c:f>'AD breakdown 15-18 years'!$C$34:$C$41</c:f>
              <c:strCache>
                <c:ptCount val="8"/>
                <c:pt idx="0">
                  <c:v>Q4 2010</c:v>
                </c:pt>
                <c:pt idx="1">
                  <c:v>Q1 2011</c:v>
                </c:pt>
                <c:pt idx="2">
                  <c:v>Q2 2011</c:v>
                </c:pt>
                <c:pt idx="3">
                  <c:v>Q3 2011</c:v>
                </c:pt>
                <c:pt idx="4">
                  <c:v>Q4 2011</c:v>
                </c:pt>
                <c:pt idx="5">
                  <c:v>Q1 2012 </c:v>
                </c:pt>
                <c:pt idx="6">
                  <c:v>Q2 2012</c:v>
                </c:pt>
                <c:pt idx="7">
                  <c:v>Q3 2012</c:v>
                </c:pt>
              </c:strCache>
            </c:strRef>
          </c:cat>
          <c:val>
            <c:numRef>
              <c:f>'AD breakdown 15-18 years'!$U$34:$U$41</c:f>
              <c:numCache>
                <c:formatCode>General</c:formatCode>
                <c:ptCount val="8"/>
                <c:pt idx="0">
                  <c:v>0.25731203250280998</c:v>
                </c:pt>
                <c:pt idx="1">
                  <c:v>0.41647213867951699</c:v>
                </c:pt>
                <c:pt idx="2">
                  <c:v>0.28166459919706299</c:v>
                </c:pt>
                <c:pt idx="3">
                  <c:v>0.365863217675785</c:v>
                </c:pt>
                <c:pt idx="4">
                  <c:v>0.43180177599048802</c:v>
                </c:pt>
                <c:pt idx="5">
                  <c:v>0.52741170844359697</c:v>
                </c:pt>
                <c:pt idx="6">
                  <c:v>0.333509198296561</c:v>
                </c:pt>
                <c:pt idx="7">
                  <c:v>0.36785150310731002</c:v>
                </c:pt>
              </c:numCache>
            </c:numRef>
          </c:val>
          <c:smooth val="0"/>
        </c:ser>
        <c:ser>
          <c:idx val="3"/>
          <c:order val="3"/>
          <c:tx>
            <c:v>TCA</c:v>
          </c:tx>
          <c:cat>
            <c:strRef>
              <c:f>'AD breakdown 15-18 years'!$C$34:$C$41</c:f>
              <c:strCache>
                <c:ptCount val="8"/>
                <c:pt idx="0">
                  <c:v>Q4 2010</c:v>
                </c:pt>
                <c:pt idx="1">
                  <c:v>Q1 2011</c:v>
                </c:pt>
                <c:pt idx="2">
                  <c:v>Q2 2011</c:v>
                </c:pt>
                <c:pt idx="3">
                  <c:v>Q3 2011</c:v>
                </c:pt>
                <c:pt idx="4">
                  <c:v>Q4 2011</c:v>
                </c:pt>
                <c:pt idx="5">
                  <c:v>Q1 2012 </c:v>
                </c:pt>
                <c:pt idx="6">
                  <c:v>Q2 2012</c:v>
                </c:pt>
                <c:pt idx="7">
                  <c:v>Q3 2012</c:v>
                </c:pt>
              </c:strCache>
            </c:strRef>
          </c:cat>
          <c:val>
            <c:numRef>
              <c:f>'AD breakdown 15-18 years'!$Z$34:$Z$41</c:f>
              <c:numCache>
                <c:formatCode>General</c:formatCode>
                <c:ptCount val="8"/>
                <c:pt idx="0">
                  <c:v>0.70331955550768099</c:v>
                </c:pt>
                <c:pt idx="1">
                  <c:v>0.85029728313734798</c:v>
                </c:pt>
                <c:pt idx="2">
                  <c:v>0.59853727329375905</c:v>
                </c:pt>
                <c:pt idx="3">
                  <c:v>0.67684695270020201</c:v>
                </c:pt>
                <c:pt idx="4">
                  <c:v>0.62807531053161902</c:v>
                </c:pt>
                <c:pt idx="5">
                  <c:v>0.91808704803144603</c:v>
                </c:pt>
                <c:pt idx="6">
                  <c:v>0.78472752540367396</c:v>
                </c:pt>
                <c:pt idx="7">
                  <c:v>0.85832017391705695</c:v>
                </c:pt>
              </c:numCache>
            </c:numRef>
          </c:val>
          <c:smooth val="0"/>
        </c:ser>
        <c:ser>
          <c:idx val="4"/>
          <c:order val="4"/>
          <c:tx>
            <c:v>Other antidepressant</c:v>
          </c:tx>
          <c:cat>
            <c:strRef>
              <c:f>'AD breakdown 15-18 years'!$C$34:$C$41</c:f>
              <c:strCache>
                <c:ptCount val="8"/>
                <c:pt idx="0">
                  <c:v>Q4 2010</c:v>
                </c:pt>
                <c:pt idx="1">
                  <c:v>Q1 2011</c:v>
                </c:pt>
                <c:pt idx="2">
                  <c:v>Q2 2011</c:v>
                </c:pt>
                <c:pt idx="3">
                  <c:v>Q3 2011</c:v>
                </c:pt>
                <c:pt idx="4">
                  <c:v>Q4 2011</c:v>
                </c:pt>
                <c:pt idx="5">
                  <c:v>Q1 2012 </c:v>
                </c:pt>
                <c:pt idx="6">
                  <c:v>Q2 2012</c:v>
                </c:pt>
                <c:pt idx="7">
                  <c:v>Q3 2012</c:v>
                </c:pt>
              </c:strCache>
            </c:strRef>
          </c:cat>
          <c:val>
            <c:numRef>
              <c:f>'AD breakdown 15-18 years'!$AE$34:$AE$41</c:f>
              <c:numCache>
                <c:formatCode>General</c:formatCode>
                <c:ptCount val="8"/>
                <c:pt idx="0">
                  <c:v>0.15438721950168599</c:v>
                </c:pt>
                <c:pt idx="1">
                  <c:v>0.20823606933975899</c:v>
                </c:pt>
                <c:pt idx="2">
                  <c:v>0.228852486847614</c:v>
                </c:pt>
                <c:pt idx="3">
                  <c:v>0.12805212618652501</c:v>
                </c:pt>
                <c:pt idx="4">
                  <c:v>0.13739147417879199</c:v>
                </c:pt>
                <c:pt idx="5">
                  <c:v>0.21487143677331699</c:v>
                </c:pt>
                <c:pt idx="6">
                  <c:v>0.17656369321582699</c:v>
                </c:pt>
                <c:pt idx="7">
                  <c:v>0.16348955693658199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160432"/>
        <c:axId val="64160824"/>
      </c:lineChart>
      <c:catAx>
        <c:axId val="64160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4160824"/>
        <c:crosses val="autoZero"/>
        <c:auto val="1"/>
        <c:lblAlgn val="ctr"/>
        <c:lblOffset val="100"/>
        <c:noMultiLvlLbl val="0"/>
      </c:catAx>
      <c:valAx>
        <c:axId val="64160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Rate per 1000 person quarters</a:t>
                </a:r>
                <a:r>
                  <a:rPr lang="en-US" baseline="0"/>
                  <a:t> </a:t>
                </a:r>
                <a:r>
                  <a:rPr lang="en-US"/>
                  <a:t> at risk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64160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0.49656</cdr:x>
      <cdr:y>0.06461</cdr:y>
    </cdr:from>
    <cdr:to>
      <cdr:x>0.49828</cdr:x>
      <cdr:y>0.743</cdr:y>
    </cdr:to>
    <cdr:cxnSp macro="">
      <cdr:nvCxnSpPr>
        <cdr:cNvPr id="6" name="Straight Connector 5"/>
        <cdr:cNvCxnSpPr/>
      </cdr:nvCxnSpPr>
      <cdr:spPr>
        <a:xfrm xmlns:a="http://schemas.openxmlformats.org/drawingml/2006/main" flipH="1" flipV="1">
          <a:off x="2752725" y="228600"/>
          <a:ext cx="9525" cy="24003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0.60481</cdr:x>
      <cdr:y>0.06192</cdr:y>
    </cdr:from>
    <cdr:to>
      <cdr:x>0.60481</cdr:x>
      <cdr:y>0.74569</cdr:y>
    </cdr:to>
    <cdr:cxnSp macro="">
      <cdr:nvCxnSpPr>
        <cdr:cNvPr id="11" name="Straight Connector 10"/>
        <cdr:cNvCxnSpPr/>
      </cdr:nvCxnSpPr>
      <cdr:spPr>
        <a:xfrm xmlns:a="http://schemas.openxmlformats.org/drawingml/2006/main" flipH="1" flipV="1">
          <a:off x="3352800" y="219075"/>
          <a:ext cx="1" cy="24193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Marchant</dc:creator>
  <cp:lastModifiedBy>User</cp:lastModifiedBy>
  <cp:revision>4</cp:revision>
  <dcterms:created xsi:type="dcterms:W3CDTF">2016-06-28T22:52:00Z</dcterms:created>
  <dcterms:modified xsi:type="dcterms:W3CDTF">2016-08-09T10:19:00Z</dcterms:modified>
</cp:coreProperties>
</file>