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F5" w:rsidRDefault="00C57877" w:rsidP="00417BF5">
      <w:pPr>
        <w:pStyle w:val="Caption"/>
        <w:keepNext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2419350</wp:posOffset>
                </wp:positionH>
                <wp:positionV relativeFrom="paragraph">
                  <wp:posOffset>66675</wp:posOffset>
                </wp:positionV>
                <wp:extent cx="800100" cy="209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77" w:rsidRPr="00C57877" w:rsidRDefault="00C57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7877">
                              <w:rPr>
                                <w:sz w:val="18"/>
                                <w:szCs w:val="18"/>
                              </w:rPr>
                              <w:t>Recession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5.25pt;width:6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" filled="f" stroked="f">
                <v:textbox>
                  <w:txbxContent>
                    <w:p w:rsidR="00C57877" w:rsidRPr="00C57877" w:rsidRDefault="00C57877">
                      <w:pPr>
                        <w:rPr>
                          <w:sz w:val="18"/>
                          <w:szCs w:val="18"/>
                        </w:rPr>
                      </w:pPr>
                      <w:r w:rsidRPr="00C57877">
                        <w:rPr>
                          <w:sz w:val="18"/>
                          <w:szCs w:val="18"/>
                        </w:rPr>
                        <w:t>Recession</w:t>
                      </w:r>
                    </w:p>
                  </w:txbxContent>
                </v:textbox>
              </v:shape>
            </w:pict>
          </mc:Fallback>
        </mc:AlternateContent>
      </w:r>
      <w:r w:rsidR="00417BF5">
        <w:rPr>
          <w:noProof/>
          <w:lang w:eastAsia="en-GB"/>
        </w:rPr>
        <w:drawing>
          <wp:inline distT="0" distB="0" distL="0" distR="0" wp14:anchorId="0049FBDD" wp14:editId="31500DF3">
            <wp:extent cx="5543550" cy="3538538"/>
            <wp:effectExtent l="0" t="0" r="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57EC" w:rsidRDefault="006148D5" w:rsidP="00417BF5">
      <w:pPr>
        <w:pStyle w:val="Caption"/>
      </w:pPr>
      <w:r>
        <w:t xml:space="preserve">Supplementary </w:t>
      </w:r>
      <w:r w:rsidR="00417BF5">
        <w:t xml:space="preserve">Figure </w:t>
      </w:r>
      <w:r>
        <w:t>S</w:t>
      </w:r>
      <w:r w:rsidR="00417BF5">
        <w:t>4 recording or depression in 15-18 year olds in relation to the 2008 recession</w:t>
      </w:r>
    </w:p>
    <w:p w:rsidR="00417BF5" w:rsidRPr="00417BF5" w:rsidRDefault="00417BF5" w:rsidP="00417BF5">
      <w:bookmarkStart w:id="0" w:name="_GoBack"/>
      <w:bookmarkEnd w:id="0"/>
    </w:p>
    <w:sectPr w:rsidR="00417BF5" w:rsidRPr="00417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5"/>
    <w:rsid w:val="000A57EC"/>
    <w:rsid w:val="001E4338"/>
    <w:rsid w:val="00353B2A"/>
    <w:rsid w:val="00383B21"/>
    <w:rsid w:val="00417BF5"/>
    <w:rsid w:val="006148D5"/>
    <w:rsid w:val="00735DC5"/>
    <w:rsid w:val="008F2A91"/>
    <w:rsid w:val="0093064F"/>
    <w:rsid w:val="00B4343A"/>
    <w:rsid w:val="00C51565"/>
    <w:rsid w:val="00C57877"/>
    <w:rsid w:val="00D922A0"/>
    <w:rsid w:val="00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D9AF9F-F9B6-4B17-AA16-E4ACCCE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6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5156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hi\filestore\users\marchana\Documents\CYP\CYP2016\CYP201526.05.2015%20mut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Recurrent depression diagnosis</c:v>
          </c:tx>
          <c:cat>
            <c:strRef>
              <c:f>'Quarterly analysis'!$C$3:$C$25</c:f>
              <c:strCache>
                <c:ptCount val="23"/>
                <c:pt idx="0">
                  <c:v>Q3 2005</c:v>
                </c:pt>
                <c:pt idx="1">
                  <c:v>Q4 2005</c:v>
                </c:pt>
                <c:pt idx="2">
                  <c:v>Q1 2006</c:v>
                </c:pt>
                <c:pt idx="3">
                  <c:v>Q2 2006</c:v>
                </c:pt>
                <c:pt idx="4">
                  <c:v>Q3 2006</c:v>
                </c:pt>
                <c:pt idx="5">
                  <c:v>Q4 2006</c:v>
                </c:pt>
                <c:pt idx="6">
                  <c:v>Q1 2007</c:v>
                </c:pt>
                <c:pt idx="7">
                  <c:v>Q2 2007</c:v>
                </c:pt>
                <c:pt idx="8">
                  <c:v>Q3 2007</c:v>
                </c:pt>
                <c:pt idx="9">
                  <c:v>Q4 2007</c:v>
                </c:pt>
                <c:pt idx="10">
                  <c:v>Q1 2008</c:v>
                </c:pt>
                <c:pt idx="11">
                  <c:v>Q2 2008</c:v>
                </c:pt>
                <c:pt idx="12">
                  <c:v>Q3 2008</c:v>
                </c:pt>
                <c:pt idx="13">
                  <c:v>Q4 2008</c:v>
                </c:pt>
                <c:pt idx="14">
                  <c:v>Q1 2009</c:v>
                </c:pt>
                <c:pt idx="15">
                  <c:v>Q4 2010</c:v>
                </c:pt>
                <c:pt idx="16">
                  <c:v>Q1 2011</c:v>
                </c:pt>
                <c:pt idx="17">
                  <c:v>Q2 2011</c:v>
                </c:pt>
                <c:pt idx="18">
                  <c:v>Q3 2011</c:v>
                </c:pt>
                <c:pt idx="19">
                  <c:v>Q4 2011</c:v>
                </c:pt>
                <c:pt idx="20">
                  <c:v>Q1 2012</c:v>
                </c:pt>
                <c:pt idx="21">
                  <c:v>Q2 2012</c:v>
                </c:pt>
                <c:pt idx="22">
                  <c:v>Q3 2012</c:v>
                </c:pt>
              </c:strCache>
            </c:strRef>
          </c:cat>
          <c:val>
            <c:numRef>
              <c:f>'Quarterly analysis'!$AT$3:$AT$25</c:f>
              <c:numCache>
                <c:formatCode>General</c:formatCode>
                <c:ptCount val="23"/>
                <c:pt idx="0">
                  <c:v>0.102659868760374</c:v>
                </c:pt>
                <c:pt idx="1">
                  <c:v>0.109383177257955</c:v>
                </c:pt>
                <c:pt idx="2">
                  <c:v>0.19626179395853699</c:v>
                </c:pt>
                <c:pt idx="3">
                  <c:v>9.14725794653415E-2</c:v>
                </c:pt>
                <c:pt idx="4">
                  <c:v>9.1670246968854396E-2</c:v>
                </c:pt>
                <c:pt idx="5">
                  <c:v>0.121163142935413</c:v>
                </c:pt>
                <c:pt idx="6">
                  <c:v>0.106037171361547</c:v>
                </c:pt>
                <c:pt idx="7">
                  <c:v>7.6483268310681196E-2</c:v>
                </c:pt>
                <c:pt idx="8">
                  <c:v>6.8900028763926993E-2</c:v>
                </c:pt>
                <c:pt idx="9">
                  <c:v>9.0922938823684199E-2</c:v>
                </c:pt>
                <c:pt idx="10">
                  <c:v>9.0775636780729502E-2</c:v>
                </c:pt>
                <c:pt idx="11">
                  <c:v>7.6188119278950694E-2</c:v>
                </c:pt>
                <c:pt idx="12">
                  <c:v>6.86503418034691E-2</c:v>
                </c:pt>
                <c:pt idx="13">
                  <c:v>5.6807101014210798E-2</c:v>
                </c:pt>
                <c:pt idx="14">
                  <c:v>0.11364910611189701</c:v>
                </c:pt>
                <c:pt idx="15">
                  <c:v>6.2881694036283103E-2</c:v>
                </c:pt>
                <c:pt idx="16">
                  <c:v>8.3489841840503495E-2</c:v>
                </c:pt>
                <c:pt idx="17">
                  <c:v>4.0339349193896E-2</c:v>
                </c:pt>
                <c:pt idx="18">
                  <c:v>6.6941769830353298E-2</c:v>
                </c:pt>
                <c:pt idx="19">
                  <c:v>5.7426334901477902E-2</c:v>
                </c:pt>
                <c:pt idx="20">
                  <c:v>7.9467680240440194E-2</c:v>
                </c:pt>
                <c:pt idx="21">
                  <c:v>6.23763398218075E-2</c:v>
                </c:pt>
                <c:pt idx="22">
                  <c:v>6.0405218318335299E-2</c:v>
                </c:pt>
              </c:numCache>
            </c:numRef>
          </c:val>
          <c:smooth val="0"/>
        </c:ser>
        <c:ser>
          <c:idx val="1"/>
          <c:order val="1"/>
          <c:tx>
            <c:v>Recurrent depression symptoms</c:v>
          </c:tx>
          <c:cat>
            <c:strRef>
              <c:f>'Quarterly analysis'!$C$3:$C$25</c:f>
              <c:strCache>
                <c:ptCount val="23"/>
                <c:pt idx="0">
                  <c:v>Q3 2005</c:v>
                </c:pt>
                <c:pt idx="1">
                  <c:v>Q4 2005</c:v>
                </c:pt>
                <c:pt idx="2">
                  <c:v>Q1 2006</c:v>
                </c:pt>
                <c:pt idx="3">
                  <c:v>Q2 2006</c:v>
                </c:pt>
                <c:pt idx="4">
                  <c:v>Q3 2006</c:v>
                </c:pt>
                <c:pt idx="5">
                  <c:v>Q4 2006</c:v>
                </c:pt>
                <c:pt idx="6">
                  <c:v>Q1 2007</c:v>
                </c:pt>
                <c:pt idx="7">
                  <c:v>Q2 2007</c:v>
                </c:pt>
                <c:pt idx="8">
                  <c:v>Q3 2007</c:v>
                </c:pt>
                <c:pt idx="9">
                  <c:v>Q4 2007</c:v>
                </c:pt>
                <c:pt idx="10">
                  <c:v>Q1 2008</c:v>
                </c:pt>
                <c:pt idx="11">
                  <c:v>Q2 2008</c:v>
                </c:pt>
                <c:pt idx="12">
                  <c:v>Q3 2008</c:v>
                </c:pt>
                <c:pt idx="13">
                  <c:v>Q4 2008</c:v>
                </c:pt>
                <c:pt idx="14">
                  <c:v>Q1 2009</c:v>
                </c:pt>
                <c:pt idx="15">
                  <c:v>Q4 2010</c:v>
                </c:pt>
                <c:pt idx="16">
                  <c:v>Q1 2011</c:v>
                </c:pt>
                <c:pt idx="17">
                  <c:v>Q2 2011</c:v>
                </c:pt>
                <c:pt idx="18">
                  <c:v>Q3 2011</c:v>
                </c:pt>
                <c:pt idx="19">
                  <c:v>Q4 2011</c:v>
                </c:pt>
                <c:pt idx="20">
                  <c:v>Q1 2012</c:v>
                </c:pt>
                <c:pt idx="21">
                  <c:v>Q2 2012</c:v>
                </c:pt>
                <c:pt idx="22">
                  <c:v>Q3 2012</c:v>
                </c:pt>
              </c:strCache>
            </c:strRef>
          </c:cat>
          <c:val>
            <c:numRef>
              <c:f>'Quarterly analysis'!$AY$3:$AY$25</c:f>
              <c:numCache>
                <c:formatCode>General</c:formatCode>
                <c:ptCount val="23"/>
                <c:pt idx="0">
                  <c:v>0.15589091182130899</c:v>
                </c:pt>
                <c:pt idx="1">
                  <c:v>0.188591684927509</c:v>
                </c:pt>
                <c:pt idx="2">
                  <c:v>0.25665003825347099</c:v>
                </c:pt>
                <c:pt idx="3">
                  <c:v>0.182945158930683</c:v>
                </c:pt>
                <c:pt idx="4">
                  <c:v>0.16424252581919699</c:v>
                </c:pt>
                <c:pt idx="5">
                  <c:v>0.20824915192024099</c:v>
                </c:pt>
                <c:pt idx="6">
                  <c:v>0.20450025905441299</c:v>
                </c:pt>
                <c:pt idx="7">
                  <c:v>0.16061486345243001</c:v>
                </c:pt>
                <c:pt idx="8">
                  <c:v>0.20287230691600699</c:v>
                </c:pt>
                <c:pt idx="9">
                  <c:v>0.14396131980416699</c:v>
                </c:pt>
                <c:pt idx="10">
                  <c:v>0.24206836474861201</c:v>
                </c:pt>
                <c:pt idx="11">
                  <c:v>0.20951732801711401</c:v>
                </c:pt>
                <c:pt idx="12">
                  <c:v>0.17543976238664299</c:v>
                </c:pt>
                <c:pt idx="13">
                  <c:v>0.21586698385400099</c:v>
                </c:pt>
                <c:pt idx="14">
                  <c:v>0.35610053248394502</c:v>
                </c:pt>
                <c:pt idx="15">
                  <c:v>0.27117730553147101</c:v>
                </c:pt>
                <c:pt idx="16">
                  <c:v>0.35781360788787198</c:v>
                </c:pt>
                <c:pt idx="17">
                  <c:v>0.262205769760324</c:v>
                </c:pt>
                <c:pt idx="18">
                  <c:v>0.25939935809261899</c:v>
                </c:pt>
                <c:pt idx="19">
                  <c:v>0.31805354714664702</c:v>
                </c:pt>
                <c:pt idx="20">
                  <c:v>0.39292353007773201</c:v>
                </c:pt>
                <c:pt idx="21">
                  <c:v>0.32524805764228198</c:v>
                </c:pt>
                <c:pt idx="22">
                  <c:v>0.218388096997058</c:v>
                </c:pt>
              </c:numCache>
            </c:numRef>
          </c:val>
          <c:smooth val="0"/>
        </c:ser>
        <c:ser>
          <c:idx val="2"/>
          <c:order val="2"/>
          <c:tx>
            <c:v>Incident depression diagnosis</c:v>
          </c:tx>
          <c:cat>
            <c:strRef>
              <c:f>'Quarterly analysis'!$C$3:$C$25</c:f>
              <c:strCache>
                <c:ptCount val="23"/>
                <c:pt idx="0">
                  <c:v>Q3 2005</c:v>
                </c:pt>
                <c:pt idx="1">
                  <c:v>Q4 2005</c:v>
                </c:pt>
                <c:pt idx="2">
                  <c:v>Q1 2006</c:v>
                </c:pt>
                <c:pt idx="3">
                  <c:v>Q2 2006</c:v>
                </c:pt>
                <c:pt idx="4">
                  <c:v>Q3 2006</c:v>
                </c:pt>
                <c:pt idx="5">
                  <c:v>Q4 2006</c:v>
                </c:pt>
                <c:pt idx="6">
                  <c:v>Q1 2007</c:v>
                </c:pt>
                <c:pt idx="7">
                  <c:v>Q2 2007</c:v>
                </c:pt>
                <c:pt idx="8">
                  <c:v>Q3 2007</c:v>
                </c:pt>
                <c:pt idx="9">
                  <c:v>Q4 2007</c:v>
                </c:pt>
                <c:pt idx="10">
                  <c:v>Q1 2008</c:v>
                </c:pt>
                <c:pt idx="11">
                  <c:v>Q2 2008</c:v>
                </c:pt>
                <c:pt idx="12">
                  <c:v>Q3 2008</c:v>
                </c:pt>
                <c:pt idx="13">
                  <c:v>Q4 2008</c:v>
                </c:pt>
                <c:pt idx="14">
                  <c:v>Q1 2009</c:v>
                </c:pt>
                <c:pt idx="15">
                  <c:v>Q4 2010</c:v>
                </c:pt>
                <c:pt idx="16">
                  <c:v>Q1 2011</c:v>
                </c:pt>
                <c:pt idx="17">
                  <c:v>Q2 2011</c:v>
                </c:pt>
                <c:pt idx="18">
                  <c:v>Q3 2011</c:v>
                </c:pt>
                <c:pt idx="19">
                  <c:v>Q4 2011</c:v>
                </c:pt>
                <c:pt idx="20">
                  <c:v>Q1 2012</c:v>
                </c:pt>
                <c:pt idx="21">
                  <c:v>Q2 2012</c:v>
                </c:pt>
                <c:pt idx="22">
                  <c:v>Q3 2012</c:v>
                </c:pt>
              </c:strCache>
            </c:strRef>
          </c:cat>
          <c:val>
            <c:numRef>
              <c:f>'Quarterly analysis'!$F$3:$F$25</c:f>
              <c:numCache>
                <c:formatCode>General</c:formatCode>
                <c:ptCount val="23"/>
                <c:pt idx="0">
                  <c:v>0.42584834448747699</c:v>
                </c:pt>
                <c:pt idx="1">
                  <c:v>0.41867354053907002</c:v>
                </c:pt>
                <c:pt idx="2">
                  <c:v>0.58878538187561102</c:v>
                </c:pt>
                <c:pt idx="3">
                  <c:v>0.30490859821780503</c:v>
                </c:pt>
                <c:pt idx="4">
                  <c:v>0.42397489223095203</c:v>
                </c:pt>
                <c:pt idx="5">
                  <c:v>0.29533516090506901</c:v>
                </c:pt>
                <c:pt idx="6">
                  <c:v>0.48095431296130398</c:v>
                </c:pt>
                <c:pt idx="7">
                  <c:v>0.33652638056699702</c:v>
                </c:pt>
                <c:pt idx="8">
                  <c:v>0.34832792319540901</c:v>
                </c:pt>
                <c:pt idx="9">
                  <c:v>0.36369175529473702</c:v>
                </c:pt>
                <c:pt idx="10">
                  <c:v>0.34419095612693301</c:v>
                </c:pt>
                <c:pt idx="11">
                  <c:v>0.335227724827383</c:v>
                </c:pt>
                <c:pt idx="12">
                  <c:v>0.31274044599358097</c:v>
                </c:pt>
                <c:pt idx="13">
                  <c:v>0.36356544649094902</c:v>
                </c:pt>
                <c:pt idx="14">
                  <c:v>0.488691156281159</c:v>
                </c:pt>
                <c:pt idx="15">
                  <c:v>0.31047836430414799</c:v>
                </c:pt>
                <c:pt idx="16">
                  <c:v>0.41744920920251699</c:v>
                </c:pt>
                <c:pt idx="17">
                  <c:v>0.33481659830933702</c:v>
                </c:pt>
                <c:pt idx="18">
                  <c:v>0.26776707932141303</c:v>
                </c:pt>
                <c:pt idx="19">
                  <c:v>0.39314952355627197</c:v>
                </c:pt>
                <c:pt idx="20">
                  <c:v>0.36643430333091898</c:v>
                </c:pt>
                <c:pt idx="21">
                  <c:v>0.27178262350930399</c:v>
                </c:pt>
                <c:pt idx="22">
                  <c:v>0.260207094294367</c:v>
                </c:pt>
              </c:numCache>
            </c:numRef>
          </c:val>
          <c:smooth val="0"/>
        </c:ser>
        <c:ser>
          <c:idx val="3"/>
          <c:order val="3"/>
          <c:tx>
            <c:v>Incident depression symptoms</c:v>
          </c:tx>
          <c:cat>
            <c:strRef>
              <c:f>'Quarterly analysis'!$C$3:$C$25</c:f>
              <c:strCache>
                <c:ptCount val="23"/>
                <c:pt idx="0">
                  <c:v>Q3 2005</c:v>
                </c:pt>
                <c:pt idx="1">
                  <c:v>Q4 2005</c:v>
                </c:pt>
                <c:pt idx="2">
                  <c:v>Q1 2006</c:v>
                </c:pt>
                <c:pt idx="3">
                  <c:v>Q2 2006</c:v>
                </c:pt>
                <c:pt idx="4">
                  <c:v>Q3 2006</c:v>
                </c:pt>
                <c:pt idx="5">
                  <c:v>Q4 2006</c:v>
                </c:pt>
                <c:pt idx="6">
                  <c:v>Q1 2007</c:v>
                </c:pt>
                <c:pt idx="7">
                  <c:v>Q2 2007</c:v>
                </c:pt>
                <c:pt idx="8">
                  <c:v>Q3 2007</c:v>
                </c:pt>
                <c:pt idx="9">
                  <c:v>Q4 2007</c:v>
                </c:pt>
                <c:pt idx="10">
                  <c:v>Q1 2008</c:v>
                </c:pt>
                <c:pt idx="11">
                  <c:v>Q2 2008</c:v>
                </c:pt>
                <c:pt idx="12">
                  <c:v>Q3 2008</c:v>
                </c:pt>
                <c:pt idx="13">
                  <c:v>Q4 2008</c:v>
                </c:pt>
                <c:pt idx="14">
                  <c:v>Q1 2009</c:v>
                </c:pt>
                <c:pt idx="15">
                  <c:v>Q4 2010</c:v>
                </c:pt>
                <c:pt idx="16">
                  <c:v>Q1 2011</c:v>
                </c:pt>
                <c:pt idx="17">
                  <c:v>Q2 2011</c:v>
                </c:pt>
                <c:pt idx="18">
                  <c:v>Q3 2011</c:v>
                </c:pt>
                <c:pt idx="19">
                  <c:v>Q4 2011</c:v>
                </c:pt>
                <c:pt idx="20">
                  <c:v>Q1 2012</c:v>
                </c:pt>
                <c:pt idx="21">
                  <c:v>Q2 2012</c:v>
                </c:pt>
                <c:pt idx="22">
                  <c:v>Q3 2012</c:v>
                </c:pt>
              </c:strCache>
            </c:strRef>
          </c:cat>
          <c:val>
            <c:numRef>
              <c:f>'Quarterly analysis'!$K$3:$K$25</c:f>
              <c:numCache>
                <c:formatCode>General</c:formatCode>
                <c:ptCount val="23"/>
                <c:pt idx="0">
                  <c:v>0.52850821324785102</c:v>
                </c:pt>
                <c:pt idx="1">
                  <c:v>0.70156106793033302</c:v>
                </c:pt>
                <c:pt idx="2">
                  <c:v>0.90959792969245001</c:v>
                </c:pt>
                <c:pt idx="3">
                  <c:v>0.65555348616828102</c:v>
                </c:pt>
                <c:pt idx="4">
                  <c:v>0.56911944993163799</c:v>
                </c:pt>
                <c:pt idx="5">
                  <c:v>0.80270582194711104</c:v>
                </c:pt>
                <c:pt idx="6">
                  <c:v>0.82178807805199205</c:v>
                </c:pt>
                <c:pt idx="7">
                  <c:v>0.67305276113399404</c:v>
                </c:pt>
                <c:pt idx="8">
                  <c:v>0.68517250826349596</c:v>
                </c:pt>
                <c:pt idx="9">
                  <c:v>0.68949895274627204</c:v>
                </c:pt>
                <c:pt idx="10">
                  <c:v>0.83589232202255104</c:v>
                </c:pt>
                <c:pt idx="11">
                  <c:v>0.731405945077926</c:v>
                </c:pt>
                <c:pt idx="12">
                  <c:v>0.62166698410919197</c:v>
                </c:pt>
                <c:pt idx="13">
                  <c:v>0.86725507548361902</c:v>
                </c:pt>
                <c:pt idx="14">
                  <c:v>1.0152653479329501</c:v>
                </c:pt>
                <c:pt idx="15">
                  <c:v>0.98645657519419105</c:v>
                </c:pt>
                <c:pt idx="16">
                  <c:v>1.1131978912067131</c:v>
                </c:pt>
                <c:pt idx="17">
                  <c:v>0.84309239815242698</c:v>
                </c:pt>
                <c:pt idx="18">
                  <c:v>0.83677212287941705</c:v>
                </c:pt>
                <c:pt idx="19">
                  <c:v>0.93649099993179297</c:v>
                </c:pt>
                <c:pt idx="20">
                  <c:v>1.2979721105938571</c:v>
                </c:pt>
                <c:pt idx="21">
                  <c:v>1.149506833859024</c:v>
                </c:pt>
                <c:pt idx="22">
                  <c:v>0.89678516426451604</c:v>
                </c:pt>
              </c:numCache>
            </c:numRef>
          </c:val>
          <c:smooth val="0"/>
        </c:ser>
        <c:ser>
          <c:idx val="4"/>
          <c:order val="4"/>
          <c:tx>
            <c:v>Incident antidepressant prescription</c:v>
          </c:tx>
          <c:cat>
            <c:strRef>
              <c:f>'Quarterly analysis'!$C$3:$C$25</c:f>
              <c:strCache>
                <c:ptCount val="23"/>
                <c:pt idx="0">
                  <c:v>Q3 2005</c:v>
                </c:pt>
                <c:pt idx="1">
                  <c:v>Q4 2005</c:v>
                </c:pt>
                <c:pt idx="2">
                  <c:v>Q1 2006</c:v>
                </c:pt>
                <c:pt idx="3">
                  <c:v>Q2 2006</c:v>
                </c:pt>
                <c:pt idx="4">
                  <c:v>Q3 2006</c:v>
                </c:pt>
                <c:pt idx="5">
                  <c:v>Q4 2006</c:v>
                </c:pt>
                <c:pt idx="6">
                  <c:v>Q1 2007</c:v>
                </c:pt>
                <c:pt idx="7">
                  <c:v>Q2 2007</c:v>
                </c:pt>
                <c:pt idx="8">
                  <c:v>Q3 2007</c:v>
                </c:pt>
                <c:pt idx="9">
                  <c:v>Q4 2007</c:v>
                </c:pt>
                <c:pt idx="10">
                  <c:v>Q1 2008</c:v>
                </c:pt>
                <c:pt idx="11">
                  <c:v>Q2 2008</c:v>
                </c:pt>
                <c:pt idx="12">
                  <c:v>Q3 2008</c:v>
                </c:pt>
                <c:pt idx="13">
                  <c:v>Q4 2008</c:v>
                </c:pt>
                <c:pt idx="14">
                  <c:v>Q1 2009</c:v>
                </c:pt>
                <c:pt idx="15">
                  <c:v>Q4 2010</c:v>
                </c:pt>
                <c:pt idx="16">
                  <c:v>Q1 2011</c:v>
                </c:pt>
                <c:pt idx="17">
                  <c:v>Q2 2011</c:v>
                </c:pt>
                <c:pt idx="18">
                  <c:v>Q3 2011</c:v>
                </c:pt>
                <c:pt idx="19">
                  <c:v>Q4 2011</c:v>
                </c:pt>
                <c:pt idx="20">
                  <c:v>Q1 2012</c:v>
                </c:pt>
                <c:pt idx="21">
                  <c:v>Q2 2012</c:v>
                </c:pt>
                <c:pt idx="22">
                  <c:v>Q3 2012</c:v>
                </c:pt>
              </c:strCache>
            </c:strRef>
          </c:cat>
          <c:val>
            <c:numRef>
              <c:f>'Quarterly analysis'!$P$3:$P$25</c:f>
              <c:numCache>
                <c:formatCode>General</c:formatCode>
                <c:ptCount val="23"/>
                <c:pt idx="0">
                  <c:v>0.68820134243065501</c:v>
                </c:pt>
                <c:pt idx="1">
                  <c:v>0.78831324299698702</c:v>
                </c:pt>
                <c:pt idx="2">
                  <c:v>0.86430674647124905</c:v>
                </c:pt>
                <c:pt idx="3">
                  <c:v>0.766082853022235</c:v>
                </c:pt>
                <c:pt idx="4">
                  <c:v>0.76009913111675098</c:v>
                </c:pt>
                <c:pt idx="5">
                  <c:v>0.89357817914866999</c:v>
                </c:pt>
                <c:pt idx="6">
                  <c:v>0.94676045858524405</c:v>
                </c:pt>
                <c:pt idx="7">
                  <c:v>0.95986501729904905</c:v>
                </c:pt>
                <c:pt idx="8">
                  <c:v>0.87656147705218201</c:v>
                </c:pt>
                <c:pt idx="9">
                  <c:v>0.769056524216995</c:v>
                </c:pt>
                <c:pt idx="10">
                  <c:v>0.90775636780729496</c:v>
                </c:pt>
                <c:pt idx="11">
                  <c:v>0.86473515381609001</c:v>
                </c:pt>
                <c:pt idx="12">
                  <c:v>0.819990193763658</c:v>
                </c:pt>
                <c:pt idx="13">
                  <c:v>1.0528249387967079</c:v>
                </c:pt>
                <c:pt idx="14">
                  <c:v>1.0114770443958869</c:v>
                </c:pt>
                <c:pt idx="15">
                  <c:v>1.108289857389489</c:v>
                </c:pt>
                <c:pt idx="16">
                  <c:v>1.252347627607552</c:v>
                </c:pt>
                <c:pt idx="17">
                  <c:v>1.109332102832141</c:v>
                </c:pt>
                <c:pt idx="18">
                  <c:v>1.1421939477304031</c:v>
                </c:pt>
                <c:pt idx="19">
                  <c:v>1.201535622553999</c:v>
                </c:pt>
                <c:pt idx="20">
                  <c:v>1.3421208218385461</c:v>
                </c:pt>
                <c:pt idx="21">
                  <c:v>1.153962286703438</c:v>
                </c:pt>
                <c:pt idx="22">
                  <c:v>1.115173261261575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994560"/>
        <c:axId val="268994952"/>
      </c:lineChart>
      <c:catAx>
        <c:axId val="268994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68994952"/>
        <c:crosses val="autoZero"/>
        <c:auto val="1"/>
        <c:lblAlgn val="ctr"/>
        <c:lblOffset val="100"/>
        <c:noMultiLvlLbl val="0"/>
      </c:catAx>
      <c:valAx>
        <c:axId val="2689949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Rate per 1000 person quarters at risk</a:t>
                </a:r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68994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0.55155</cdr:x>
      <cdr:y>0.035</cdr:y>
    </cdr:from>
    <cdr:to>
      <cdr:x>0.55155</cdr:x>
      <cdr:y>0.5411</cdr:y>
    </cdr:to>
    <cdr:cxnSp macro="">
      <cdr:nvCxnSpPr>
        <cdr:cNvPr id="2" name="Straight Connector 1"/>
        <cdr:cNvCxnSpPr/>
      </cdr:nvCxnSpPr>
      <cdr:spPr>
        <a:xfrm xmlns:a="http://schemas.openxmlformats.org/drawingml/2006/main" flipV="1">
          <a:off x="3057525" y="123825"/>
          <a:ext cx="0" cy="17907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Marchant</dc:creator>
  <cp:lastModifiedBy>User</cp:lastModifiedBy>
  <cp:revision>4</cp:revision>
  <dcterms:created xsi:type="dcterms:W3CDTF">2016-06-28T23:12:00Z</dcterms:created>
  <dcterms:modified xsi:type="dcterms:W3CDTF">2016-08-09T10:20:00Z</dcterms:modified>
</cp:coreProperties>
</file>