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D8" w:rsidRPr="00E23484" w:rsidRDefault="00686FFA" w:rsidP="004E67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34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 w:rsidR="004E67D8" w:rsidRPr="00E23484">
        <w:rPr>
          <w:rFonts w:ascii="Times New Roman" w:hAnsi="Times New Roman" w:cs="Times New Roman"/>
          <w:b/>
          <w:sz w:val="28"/>
          <w:szCs w:val="28"/>
          <w:lang w:val="en-US"/>
        </w:rPr>
        <w:t>Supplement</w:t>
      </w:r>
      <w:r w:rsidRPr="00E234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ary </w:t>
      </w:r>
      <w:r w:rsidR="00AB4AA9" w:rsidRPr="00E23484">
        <w:rPr>
          <w:rFonts w:ascii="Times New Roman" w:hAnsi="Times New Roman" w:cs="Times New Roman"/>
          <w:b/>
          <w:sz w:val="28"/>
          <w:szCs w:val="28"/>
          <w:lang w:val="en-US"/>
        </w:rPr>
        <w:t>Material</w:t>
      </w:r>
    </w:p>
    <w:p w:rsidR="009D1A1E" w:rsidRPr="00E23484" w:rsidRDefault="009D1A1E" w:rsidP="009D1A1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DSM-5 Section II Personality Disorders and Section III Personality Trait Domains Reflect the Same Genetic and Environmental Risk Factors? </w:t>
      </w:r>
    </w:p>
    <w:p w:rsidR="009D1A1E" w:rsidRPr="00E23484" w:rsidRDefault="009D1A1E" w:rsidP="009D1A1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sz w:val="24"/>
          <w:szCs w:val="24"/>
          <w:lang w:val="en-US"/>
        </w:rPr>
        <w:t>T. Reichborn-Kjennerud, R. F. Krueger, E. Ystrom, F. A. Torvik, T. H. Rosenström, S. H. Aggen, S. C. South, M. C. Neale, G. P. Knudsen , K. S. Kendler</w:t>
      </w:r>
      <w:r w:rsidR="00BD18E7" w:rsidRPr="00E23484">
        <w:rPr>
          <w:rFonts w:ascii="Times New Roman" w:hAnsi="Times New Roman" w:cs="Times New Roman"/>
          <w:sz w:val="24"/>
          <w:szCs w:val="24"/>
          <w:lang w:val="en-US"/>
        </w:rPr>
        <w:t>,  N. O. Czajkowski.</w:t>
      </w:r>
    </w:p>
    <w:p w:rsidR="009D1A1E" w:rsidRPr="00E23484" w:rsidRDefault="009D1A1E" w:rsidP="004E67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2D9" w:rsidRPr="00E23484" w:rsidRDefault="00B262D9" w:rsidP="009D1A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2D9" w:rsidRPr="00E23484" w:rsidRDefault="00B262D9" w:rsidP="009D1A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4FDB" w:rsidRPr="00E23484" w:rsidRDefault="00063CEA" w:rsidP="00063CE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>Text: Attrition analyses</w:t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  <w:t>Page 2</w:t>
      </w:r>
    </w:p>
    <w:p w:rsidR="009D1A1E" w:rsidRPr="00E23484" w:rsidRDefault="009D1A1E" w:rsidP="009D1A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. Model fit for the AE model, and the AE model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Page 3                                                                        </w:t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for which the specific genetic effect for a given PD was set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gramStart"/>
      <w:r w:rsidRPr="00E23484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End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at wave 1</w:t>
      </w:r>
      <w:r w:rsidR="00DA4FDB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and wave 2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1A1E" w:rsidRPr="00E23484" w:rsidRDefault="009D1A1E" w:rsidP="009D1A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DA4FDB" w:rsidRPr="00E23484">
        <w:rPr>
          <w:rFonts w:ascii="Times New Roman" w:hAnsi="Times New Roman" w:cs="Times New Roman"/>
          <w:b/>
          <w:sz w:val="24"/>
          <w:szCs w:val="24"/>
          <w:lang w:val="en-US"/>
        </w:rPr>
        <w:t>S2</w:t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Genetic and environmental variance for DSM-PDs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>Page 4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and proportion shared with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PID-5 domains at wave 1 and 2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from the full AE model</w:t>
      </w:r>
    </w:p>
    <w:p w:rsidR="00592F2F" w:rsidRPr="00E23484" w:rsidRDefault="00592F2F" w:rsidP="00592F2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>Figure S1a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. The proportion of genetic and individual specific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>Page 5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environmental variance for each DSM-PD that is shared with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the PID-5-NBF factors, and unique to each PD at wave 1in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the best-fitting models</w:t>
      </w:r>
    </w:p>
    <w:p w:rsidR="00592F2F" w:rsidRPr="00E23484" w:rsidRDefault="00592F2F" w:rsidP="00592F2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>Figure S1b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. The proportion of genetic and individual specific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>Page 6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environmental variance for each DSM-PD that is shared </w:t>
      </w:r>
      <w:proofErr w:type="gramStart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the PID-5-NBF factors,</w:t>
      </w:r>
      <w:proofErr w:type="gramEnd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and unique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to each PD at wave 2                                                          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>in the best-fitting model</w:t>
      </w:r>
    </w:p>
    <w:p w:rsidR="009D1A1E" w:rsidRPr="00E23484" w:rsidRDefault="007F2671" w:rsidP="009D1A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B4AA9" w:rsidRPr="00E234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DA4FDB" w:rsidRPr="00E2348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D1A1E" w:rsidRPr="00E23484">
        <w:rPr>
          <w:rFonts w:ascii="Times New Roman" w:hAnsi="Times New Roman" w:cs="Times New Roman"/>
          <w:sz w:val="24"/>
          <w:szCs w:val="24"/>
          <w:lang w:val="en-US"/>
        </w:rPr>
        <w:t>. Environmental correlations between PID-5 and the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2F6" w:rsidRPr="00E23484">
        <w:rPr>
          <w:rFonts w:ascii="Times New Roman" w:hAnsi="Times New Roman" w:cs="Times New Roman"/>
          <w:b/>
          <w:sz w:val="24"/>
          <w:szCs w:val="24"/>
          <w:lang w:val="en-US"/>
        </w:rPr>
        <w:t>Page 7</w:t>
      </w:r>
      <w:r w:rsidR="009D1A1E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2F6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9D1A1E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PD symptom counts at wave </w:t>
      </w:r>
      <w:r w:rsidR="00E934AA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1 and wave </w:t>
      </w:r>
      <w:r w:rsidR="009D1A1E" w:rsidRPr="00E23484">
        <w:rPr>
          <w:rFonts w:ascii="Times New Roman" w:hAnsi="Times New Roman" w:cs="Times New Roman"/>
          <w:sz w:val="24"/>
          <w:szCs w:val="24"/>
          <w:lang w:val="en-US"/>
        </w:rPr>
        <w:t>2 based on best-fitting model</w:t>
      </w:r>
    </w:p>
    <w:p w:rsidR="007C02F6" w:rsidRPr="00E23484" w:rsidRDefault="007C02F6" w:rsidP="009D1A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tab/>
        <w:t>Page 8</w:t>
      </w:r>
    </w:p>
    <w:p w:rsidR="00DA4FDB" w:rsidRPr="00E23484" w:rsidRDefault="00DA4F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A4FDB" w:rsidRPr="00E23484" w:rsidRDefault="00DA4FDB" w:rsidP="00DA4FD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Attrition analyses</w:t>
      </w:r>
    </w:p>
    <w:p w:rsidR="00DA4FDB" w:rsidRPr="00E23484" w:rsidRDefault="00DA4FDB" w:rsidP="00DA4FD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Detailed previous analyses have, shown that cooperation in the first interview </w:t>
      </w:r>
      <w:proofErr w:type="gramStart"/>
      <w:r w:rsidRPr="00E23484">
        <w:rPr>
          <w:rFonts w:ascii="Times New Roman" w:hAnsi="Times New Roman" w:cs="Times New Roman"/>
          <w:sz w:val="24"/>
          <w:szCs w:val="24"/>
          <w:lang w:val="en-US"/>
        </w:rPr>
        <w:t>was strongly predicted</w:t>
      </w:r>
      <w:proofErr w:type="gramEnd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by female sex, </w:t>
      </w:r>
      <w:proofErr w:type="spellStart"/>
      <w:r w:rsidRPr="00E23484">
        <w:rPr>
          <w:rFonts w:ascii="Times New Roman" w:hAnsi="Times New Roman" w:cs="Times New Roman"/>
          <w:sz w:val="24"/>
          <w:szCs w:val="24"/>
          <w:lang w:val="en-US"/>
        </w:rPr>
        <w:t>monozygosity</w:t>
      </w:r>
      <w:proofErr w:type="spellEnd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and higher educational status, but not by symptoms of psychiatric disorders or substance abuse </w:t>
      </w:r>
      <w:r w:rsidRPr="00E23484">
        <w:rPr>
          <w:rFonts w:ascii="Times New Roman" w:hAnsi="Times New Roman" w:cs="Times New Roman"/>
          <w:noProof/>
          <w:sz w:val="24"/>
          <w:szCs w:val="24"/>
          <w:lang w:val="en-US"/>
        </w:rPr>
        <w:t>(Tambs</w:t>
      </w:r>
      <w:r w:rsidRPr="00E23484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Pr="00E23484">
        <w:rPr>
          <w:rFonts w:ascii="Times New Roman" w:hAnsi="Times New Roman" w:cs="Times New Roman"/>
          <w:noProof/>
          <w:sz w:val="24"/>
          <w:szCs w:val="24"/>
          <w:lang w:val="en-US"/>
        </w:rPr>
        <w:t>, 2009)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.  Participation in wave 2 was predicted by high education </w:t>
      </w:r>
      <w:r w:rsidRPr="00E23484">
        <w:rPr>
          <w:rFonts w:ascii="Times New Roman" w:hAnsi="Times New Roman" w:cs="Times New Roman"/>
          <w:sz w:val="24"/>
          <w:szCs w:val="24"/>
          <w:lang w:val="en-GB"/>
        </w:rPr>
        <w:t>(p&lt;0.001 adjusted for sex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and age), female sex (p=0.003) and </w:t>
      </w:r>
      <w:proofErr w:type="spellStart"/>
      <w:r w:rsidRPr="00E23484">
        <w:rPr>
          <w:rFonts w:ascii="Times New Roman" w:hAnsi="Times New Roman" w:cs="Times New Roman"/>
          <w:sz w:val="24"/>
          <w:szCs w:val="24"/>
          <w:lang w:val="en-US"/>
        </w:rPr>
        <w:t>monozygosity</w:t>
      </w:r>
      <w:proofErr w:type="spellEnd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(p=0.001). Non-participants in wave 2 had on average 0.82 more sub-threshold PD criteria </w:t>
      </w:r>
      <w:proofErr w:type="gramStart"/>
      <w:r w:rsidRPr="00E23484">
        <w:rPr>
          <w:rFonts w:ascii="Times New Roman" w:hAnsi="Times New Roman" w:cs="Times New Roman"/>
          <w:sz w:val="24"/>
          <w:szCs w:val="24"/>
          <w:lang w:val="en-US"/>
        </w:rPr>
        <w:t>than participants</w:t>
      </w:r>
      <w:proofErr w:type="gramEnd"/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(p&lt;0.001).  Of the 10 PDs assessed at wave 1, criteria were significantly higher in non-participants in wave 2 only for ASPD (0.09 criteria difference, p&lt;0.001) and narcissistic PD (0.09 p=0.002). Neither the total number of axis I disorders nor any specific disorder was significantly higher in the non-participation group</w:t>
      </w:r>
      <w:r w:rsidR="002328C8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328C8" w:rsidRPr="00E23484">
        <w:rPr>
          <w:rFonts w:ascii="Times New Roman" w:hAnsi="Times New Roman" w:cs="Times New Roman"/>
          <w:noProof/>
          <w:sz w:val="24"/>
          <w:szCs w:val="24"/>
          <w:lang w:val="en-US"/>
        </w:rPr>
        <w:t>Reichborn-Kjennerud</w:t>
      </w:r>
      <w:r w:rsidR="002328C8" w:rsidRPr="00E23484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et al.</w:t>
      </w:r>
      <w:r w:rsidR="002328C8" w:rsidRPr="00E23484">
        <w:rPr>
          <w:rFonts w:ascii="Times New Roman" w:hAnsi="Times New Roman" w:cs="Times New Roman"/>
          <w:noProof/>
          <w:sz w:val="24"/>
          <w:szCs w:val="24"/>
          <w:lang w:val="en-US"/>
        </w:rPr>
        <w:t>, 2015)</w:t>
      </w:r>
      <w:r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DA4FDB" w:rsidRPr="00E23484" w:rsidRDefault="00DA4FDB" w:rsidP="009D1A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1A1E" w:rsidRPr="00E23484" w:rsidRDefault="009D1A1E" w:rsidP="009D1A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1A1E" w:rsidRPr="00E23484" w:rsidRDefault="009D1A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D1A1E" w:rsidRPr="00E23484" w:rsidRDefault="009D1A1E" w:rsidP="004E67D8">
      <w:pPr>
        <w:rPr>
          <w:lang w:val="en-US"/>
        </w:rPr>
      </w:pPr>
    </w:p>
    <w:p w:rsidR="004E67D8" w:rsidRPr="00E23484" w:rsidRDefault="004E67D8" w:rsidP="004E67D8">
      <w:pPr>
        <w:spacing w:line="36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b/>
          <w:lang w:val="en-US"/>
        </w:rPr>
        <w:t>Table S1</w:t>
      </w:r>
      <w:r w:rsidRPr="00E23484">
        <w:rPr>
          <w:rFonts w:ascii="Arial" w:hAnsi="Arial" w:cs="Arial"/>
          <w:lang w:val="en-US"/>
        </w:rPr>
        <w:t>. Model fit for the AE model</w:t>
      </w:r>
      <w:r w:rsidR="00C208C9" w:rsidRPr="00E23484">
        <w:rPr>
          <w:rFonts w:ascii="Arial" w:hAnsi="Arial" w:cs="Arial"/>
          <w:lang w:val="en-US"/>
        </w:rPr>
        <w:t>, and the AE model with</w:t>
      </w:r>
      <w:r w:rsidRPr="00E23484">
        <w:rPr>
          <w:rFonts w:ascii="Arial" w:hAnsi="Arial" w:cs="Arial"/>
          <w:lang w:val="en-US"/>
        </w:rPr>
        <w:t xml:space="preserve"> specific ge</w:t>
      </w:r>
      <w:r w:rsidR="00C208C9" w:rsidRPr="00E23484">
        <w:rPr>
          <w:rFonts w:ascii="Arial" w:hAnsi="Arial" w:cs="Arial"/>
          <w:lang w:val="en-US"/>
        </w:rPr>
        <w:t xml:space="preserve">netic effect for a given PD </w:t>
      </w:r>
      <w:proofErr w:type="spellStart"/>
      <w:r w:rsidR="00C208C9" w:rsidRPr="00E23484">
        <w:rPr>
          <w:rFonts w:ascii="Arial" w:hAnsi="Arial" w:cs="Arial"/>
          <w:lang w:val="en-US"/>
        </w:rPr>
        <w:t>criteri</w:t>
      </w:r>
      <w:proofErr w:type="spellEnd"/>
      <w:r w:rsidR="00C208C9" w:rsidRPr="00E23484">
        <w:rPr>
          <w:rFonts w:ascii="Arial" w:hAnsi="Arial" w:cs="Arial"/>
          <w:lang w:val="en-US"/>
        </w:rPr>
        <w:t xml:space="preserve"> counts set to </w:t>
      </w:r>
      <w:proofErr w:type="gramStart"/>
      <w:r w:rsidR="00C208C9" w:rsidRPr="00E23484">
        <w:rPr>
          <w:rFonts w:ascii="Arial" w:hAnsi="Arial" w:cs="Arial"/>
          <w:lang w:val="en-US"/>
        </w:rPr>
        <w:t>0</w:t>
      </w:r>
      <w:proofErr w:type="gramEnd"/>
      <w:r w:rsidRPr="00E23484">
        <w:rPr>
          <w:rFonts w:ascii="Arial" w:hAnsi="Arial" w:cs="Arial"/>
          <w:lang w:val="en-US"/>
        </w:rPr>
        <w:t>.</w:t>
      </w:r>
    </w:p>
    <w:tbl>
      <w:tblPr>
        <w:tblW w:w="6140" w:type="dxa"/>
        <w:tblInd w:w="93" w:type="dxa"/>
        <w:tblLook w:val="04A0" w:firstRow="1" w:lastRow="0" w:firstColumn="1" w:lastColumn="0" w:noHBand="0" w:noVBand="1"/>
      </w:tblPr>
      <w:tblGrid>
        <w:gridCol w:w="1800"/>
        <w:gridCol w:w="1880"/>
        <w:gridCol w:w="2460"/>
      </w:tblGrid>
      <w:tr w:rsidR="00DA4FDB" w:rsidRPr="00F56568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DB" w:rsidRPr="00E23484" w:rsidRDefault="00DA4FDB" w:rsidP="00D2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DB" w:rsidRPr="00E23484" w:rsidRDefault="00DA4FDB" w:rsidP="00D2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FDB" w:rsidRPr="00E23484" w:rsidRDefault="00DA4FDB" w:rsidP="00D2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 </w:t>
            </w:r>
          </w:p>
        </w:tc>
      </w:tr>
      <w:tr w:rsidR="00DA4FDB" w:rsidRPr="00F56568" w:rsidTr="00D20961">
        <w:trPr>
          <w:trHeight w:val="63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DB" w:rsidRPr="00E23484" w:rsidRDefault="00DA4FDB" w:rsidP="00D20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  <w:t>AIC for AE model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  <w:t>AIC for  AE model with no specific A for PD</w:t>
            </w:r>
          </w:p>
        </w:tc>
      </w:tr>
      <w:tr w:rsidR="00DA4FDB" w:rsidRPr="00E23484" w:rsidTr="00D20961">
        <w:trPr>
          <w:trHeight w:val="300"/>
        </w:trPr>
        <w:tc>
          <w:tcPr>
            <w:tcW w:w="6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FDB" w:rsidRPr="00E23484" w:rsidRDefault="00DA4FDB" w:rsidP="00D209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  <w:lang w:val="en-US" w:eastAsia="zh-CN"/>
              </w:rPr>
              <w:t>Wave 1</w:t>
            </w:r>
            <w:r w:rsidR="00F23B4E" w:rsidRPr="00E23484">
              <w:rPr>
                <w:rFonts w:ascii="Arial" w:eastAsia="Times New Roman" w:hAnsi="Arial" w:cs="Arial"/>
                <w:b/>
                <w:color w:val="000000"/>
                <w:lang w:val="en-US" w:eastAsia="zh-CN"/>
              </w:rPr>
              <w:t>*</w:t>
            </w:r>
          </w:p>
        </w:tc>
      </w:tr>
      <w:tr w:rsidR="00DA4FDB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C20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S</w:t>
            </w:r>
            <w:r w:rsidR="00C208C9"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chitzotypal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-2554.885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  <w:t>-2555.339</w:t>
            </w:r>
          </w:p>
        </w:tc>
      </w:tr>
      <w:tr w:rsidR="00DA4FDB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C208C9" w:rsidP="00D2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Schizoid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  <w:t>-2618.04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-2617.458</w:t>
            </w:r>
          </w:p>
        </w:tc>
      </w:tr>
      <w:tr w:rsidR="00DA4FDB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C208C9" w:rsidP="00D2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Paranoid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-891.5554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-891.7443</w:t>
            </w:r>
          </w:p>
        </w:tc>
      </w:tr>
      <w:tr w:rsidR="00DA4FDB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C208C9" w:rsidP="00D2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Histrionic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-263.2433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FDB" w:rsidRPr="00E23484" w:rsidRDefault="00DA4FDB" w:rsidP="00D2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 w:themeColor="text1" w:themeShade="BF"/>
                <w:lang w:eastAsia="zh-CN"/>
              </w:rPr>
              <w:t>-261.0847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Narcissitic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-592.4801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-590.4186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Antisocial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-2715.883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-2715.403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Borderline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-632.7333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-633.2535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Avoidant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-831.3306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-827.9182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 xml:space="preserve">Dependent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-1025.229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-1023.176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Obsessive-Compulsve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485.0138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487.6148</w:t>
            </w:r>
          </w:p>
        </w:tc>
      </w:tr>
      <w:tr w:rsidR="00F81C9F" w:rsidRPr="00E23484" w:rsidTr="00D20961">
        <w:trPr>
          <w:trHeight w:val="300"/>
        </w:trPr>
        <w:tc>
          <w:tcPr>
            <w:tcW w:w="6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  <w:lang w:val="en-US" w:eastAsia="zh-CN"/>
              </w:rPr>
              <w:t>Wave 2</w:t>
            </w:r>
            <w:r w:rsidR="00F23B4E" w:rsidRPr="00E23484">
              <w:rPr>
                <w:rFonts w:ascii="Arial" w:eastAsia="Times New Roman" w:hAnsi="Arial" w:cs="Arial"/>
                <w:b/>
                <w:color w:val="000000"/>
                <w:lang w:val="en-US" w:eastAsia="zh-CN"/>
              </w:rPr>
              <w:t>**</w:t>
            </w:r>
          </w:p>
        </w:tc>
      </w:tr>
      <w:tr w:rsidR="00F81C9F" w:rsidRPr="00E23484" w:rsidTr="00D2096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Schitzotypal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-3187.798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-3189.114</w:t>
            </w:r>
          </w:p>
        </w:tc>
      </w:tr>
      <w:tr w:rsidR="00F81C9F" w:rsidRPr="00E23484" w:rsidTr="00D2096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Paranoid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-2570.762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-2572.724</w:t>
            </w:r>
          </w:p>
        </w:tc>
      </w:tr>
      <w:tr w:rsidR="00F81C9F" w:rsidRPr="00E23484" w:rsidTr="00845C1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Antisocial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-3471.62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-3473.62</w:t>
            </w:r>
          </w:p>
        </w:tc>
      </w:tr>
      <w:tr w:rsidR="00F81C9F" w:rsidRPr="00E23484" w:rsidTr="00845C1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Borderline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-1749.344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-1751.344</w:t>
            </w:r>
          </w:p>
        </w:tc>
      </w:tr>
      <w:tr w:rsidR="00F81C9F" w:rsidRPr="00E23484" w:rsidTr="00845C1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Avoidant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-2163.242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-2164.185</w:t>
            </w:r>
          </w:p>
        </w:tc>
      </w:tr>
      <w:tr w:rsidR="00F81C9F" w:rsidRPr="00E23484" w:rsidTr="00D20961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Obsessive-Compulsve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-67.90163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1C9F" w:rsidRPr="00E23484" w:rsidRDefault="00F81C9F" w:rsidP="00F81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-66.16574</w:t>
            </w:r>
          </w:p>
        </w:tc>
      </w:tr>
    </w:tbl>
    <w:p w:rsidR="00F23B4E" w:rsidRPr="00E23484" w:rsidRDefault="00F23B4E" w:rsidP="00F23B4E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*PID-5-NBF domains measured 10 years after the DSM-IV PD criteria counts</w:t>
      </w:r>
    </w:p>
    <w:p w:rsidR="00F23B4E" w:rsidRPr="00E23484" w:rsidRDefault="00F23B4E" w:rsidP="00F23B4E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** PID-5-NBF domains and DSM-IV PD criteria counts measured concurrently</w:t>
      </w:r>
    </w:p>
    <w:p w:rsidR="00DA4FDB" w:rsidRPr="00E23484" w:rsidRDefault="00DA4FDB" w:rsidP="004E67D8">
      <w:pPr>
        <w:spacing w:line="36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Lowest AIC indicated in bold.</w:t>
      </w:r>
    </w:p>
    <w:p w:rsidR="00DA4FDB" w:rsidRPr="00E23484" w:rsidRDefault="00DA4FDB" w:rsidP="004E67D8">
      <w:pPr>
        <w:spacing w:line="360" w:lineRule="auto"/>
        <w:rPr>
          <w:rFonts w:ascii="Arial" w:hAnsi="Arial" w:cs="Arial"/>
          <w:lang w:val="en-US"/>
        </w:rPr>
      </w:pPr>
    </w:p>
    <w:p w:rsidR="00DA4FDB" w:rsidRPr="00E23484" w:rsidRDefault="00DA4FDB" w:rsidP="004E67D8">
      <w:pPr>
        <w:spacing w:line="360" w:lineRule="auto"/>
        <w:rPr>
          <w:lang w:val="en-US"/>
        </w:rPr>
      </w:pPr>
    </w:p>
    <w:p w:rsidR="00DA4FDB" w:rsidRPr="00E23484" w:rsidRDefault="00DA4FDB" w:rsidP="004E67D8">
      <w:pPr>
        <w:spacing w:line="360" w:lineRule="auto"/>
        <w:rPr>
          <w:lang w:val="en-US"/>
        </w:rPr>
      </w:pPr>
    </w:p>
    <w:p w:rsidR="00DA4FDB" w:rsidRPr="00E23484" w:rsidRDefault="00DA4FDB" w:rsidP="004E67D8">
      <w:pPr>
        <w:spacing w:line="360" w:lineRule="auto"/>
        <w:rPr>
          <w:lang w:val="en-US"/>
        </w:rPr>
      </w:pPr>
    </w:p>
    <w:p w:rsidR="00DA4FDB" w:rsidRPr="00E23484" w:rsidRDefault="00DA4FD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E67D8" w:rsidRPr="00E23484" w:rsidRDefault="004E67D8" w:rsidP="004E67D8">
      <w:pPr>
        <w:spacing w:line="36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b/>
          <w:lang w:val="en-US"/>
        </w:rPr>
        <w:lastRenderedPageBreak/>
        <w:t xml:space="preserve">Table </w:t>
      </w:r>
      <w:r w:rsidR="00DA4FDB" w:rsidRPr="00E23484">
        <w:rPr>
          <w:rFonts w:ascii="Arial" w:hAnsi="Arial" w:cs="Arial"/>
          <w:b/>
          <w:lang w:val="en-US"/>
        </w:rPr>
        <w:t>S2</w:t>
      </w:r>
      <w:r w:rsidRPr="00E23484">
        <w:rPr>
          <w:rFonts w:ascii="Arial" w:hAnsi="Arial" w:cs="Arial"/>
          <w:b/>
          <w:lang w:val="en-US"/>
        </w:rPr>
        <w:t xml:space="preserve">. </w:t>
      </w:r>
      <w:r w:rsidRPr="00E23484">
        <w:rPr>
          <w:rFonts w:ascii="Arial" w:hAnsi="Arial" w:cs="Arial"/>
          <w:lang w:val="en-US"/>
        </w:rPr>
        <w:t>Genetic and environmental variance for DSM-PDs and proportion shared with    PID-5 domains at wave 1 and 2 from the full AE model</w:t>
      </w:r>
    </w:p>
    <w:p w:rsidR="004E67D8" w:rsidRPr="00E23484" w:rsidRDefault="004E67D8" w:rsidP="004E67D8">
      <w:pPr>
        <w:spacing w:line="360" w:lineRule="auto"/>
        <w:rPr>
          <w:rFonts w:ascii="Arial" w:hAnsi="Arial" w:cs="Arial"/>
          <w:lang w:val="en-US"/>
        </w:rPr>
      </w:pPr>
    </w:p>
    <w:tbl>
      <w:tblPr>
        <w:tblpPr w:leftFromText="141" w:rightFromText="141" w:vertAnchor="text" w:horzAnchor="margin" w:tblpXSpec="center" w:tblpY="431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569"/>
        <w:gridCol w:w="1686"/>
        <w:gridCol w:w="1559"/>
        <w:gridCol w:w="917"/>
        <w:gridCol w:w="1634"/>
        <w:gridCol w:w="1427"/>
      </w:tblGrid>
      <w:tr w:rsidR="004E67D8" w:rsidRPr="00E23484" w:rsidTr="00747F24">
        <w:trPr>
          <w:trHeight w:val="263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8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Genetic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Effects</w:t>
            </w:r>
            <w:proofErr w:type="spellEnd"/>
          </w:p>
        </w:tc>
        <w:tc>
          <w:tcPr>
            <w:tcW w:w="3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Individual</w:t>
            </w:r>
            <w:proofErr w:type="spell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Environmental</w:t>
            </w:r>
            <w:proofErr w:type="spell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Effects</w:t>
            </w:r>
            <w:proofErr w:type="spellEnd"/>
          </w:p>
        </w:tc>
      </w:tr>
      <w:tr w:rsidR="004E67D8" w:rsidRPr="00E23484" w:rsidTr="00747F24">
        <w:trPr>
          <w:trHeight w:val="316"/>
        </w:trPr>
        <w:tc>
          <w:tcPr>
            <w:tcW w:w="1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E23484">
              <w:rPr>
                <w:rFonts w:ascii="Arial" w:eastAsia="Times New Roman" w:hAnsi="Arial" w:cs="Arial"/>
                <w:b/>
                <w:color w:val="000000"/>
              </w:rPr>
              <w:t>a</w:t>
            </w:r>
            <w:proofErr w:type="gramEnd"/>
            <w:r w:rsidRPr="00E23484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%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Shared</w:t>
            </w:r>
            <w:proofErr w:type="spell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proofErr w:type="gramStart"/>
            <w:r w:rsidRPr="00E23484">
              <w:rPr>
                <w:rFonts w:ascii="Arial" w:eastAsia="Times New Roman" w:hAnsi="Arial" w:cs="Arial"/>
                <w:b/>
                <w:color w:val="000000"/>
              </w:rPr>
              <w:t>with</w:t>
            </w:r>
            <w:proofErr w:type="spellEnd"/>
            <w:proofErr w:type="gram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PID-5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%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Unique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E23484">
              <w:rPr>
                <w:rFonts w:ascii="Arial" w:eastAsia="Times New Roman" w:hAnsi="Arial" w:cs="Arial"/>
                <w:b/>
                <w:color w:val="000000"/>
              </w:rPr>
              <w:t>e</w:t>
            </w:r>
            <w:proofErr w:type="gramEnd"/>
            <w:r w:rsidRPr="00E23484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%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Shared</w:t>
            </w:r>
            <w:proofErr w:type="spell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proofErr w:type="gramStart"/>
            <w:r w:rsidRPr="00E23484">
              <w:rPr>
                <w:rFonts w:ascii="Arial" w:eastAsia="Times New Roman" w:hAnsi="Arial" w:cs="Arial"/>
                <w:b/>
                <w:color w:val="000000"/>
              </w:rPr>
              <w:t>with</w:t>
            </w:r>
            <w:proofErr w:type="spellEnd"/>
            <w:proofErr w:type="gram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PID-5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% </w:t>
            </w: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Unique</w:t>
            </w:r>
            <w:proofErr w:type="spellEnd"/>
          </w:p>
        </w:tc>
      </w:tr>
      <w:tr w:rsidR="004E67D8" w:rsidRPr="00E23484" w:rsidTr="00747F24">
        <w:trPr>
          <w:trHeight w:val="263"/>
        </w:trPr>
        <w:tc>
          <w:tcPr>
            <w:tcW w:w="956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Wave</w:t>
            </w:r>
            <w:proofErr w:type="spell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1</w:t>
            </w:r>
            <w:r w:rsidR="00F23B4E" w:rsidRPr="00E23484">
              <w:rPr>
                <w:rFonts w:ascii="Arial" w:eastAsia="Times New Roman" w:hAnsi="Arial" w:cs="Arial"/>
                <w:b/>
                <w:color w:val="000000"/>
              </w:rPr>
              <w:t>*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Paranoid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60,85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39,15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97,90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Schizoid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45,26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1,10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98,90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Schitzotypal</w:t>
            </w:r>
            <w:proofErr w:type="spellEnd"/>
            <w:r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E67D8"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41,25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96,10</w:t>
            </w:r>
          </w:p>
        </w:tc>
      </w:tr>
      <w:tr w:rsidR="008E54B2" w:rsidRPr="00E23484" w:rsidTr="00D93C7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B2" w:rsidRPr="00E23484" w:rsidRDefault="008E54B2" w:rsidP="008E5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Antisocial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47,92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95,60</w:t>
            </w:r>
          </w:p>
        </w:tc>
      </w:tr>
      <w:tr w:rsidR="008E54B2" w:rsidRPr="00E23484" w:rsidTr="00D93C7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B2" w:rsidRPr="00E23484" w:rsidRDefault="008E54B2" w:rsidP="008E5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Borderline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67,13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32,87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96,12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Histrionic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57,75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0,67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2,98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97,02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Narcissitic</w:t>
            </w:r>
            <w:proofErr w:type="spellEnd"/>
            <w:r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E67D8"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61,45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1,60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98,40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Avoidant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42,77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7,65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92,35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Dependent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45,36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96,28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Obsessive-Compulsve</w:t>
            </w:r>
            <w:proofErr w:type="spellEnd"/>
            <w:r w:rsidRPr="00E23484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72,28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95,23</w:t>
            </w:r>
          </w:p>
        </w:tc>
      </w:tr>
      <w:tr w:rsidR="004E67D8" w:rsidRPr="00E23484" w:rsidTr="00747F24">
        <w:trPr>
          <w:trHeight w:val="263"/>
        </w:trPr>
        <w:tc>
          <w:tcPr>
            <w:tcW w:w="956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b/>
                <w:color w:val="000000"/>
              </w:rPr>
              <w:t>Wave</w:t>
            </w:r>
            <w:proofErr w:type="spellEnd"/>
            <w:r w:rsidRPr="00E23484">
              <w:rPr>
                <w:rFonts w:ascii="Arial" w:eastAsia="Times New Roman" w:hAnsi="Arial" w:cs="Arial"/>
                <w:b/>
                <w:color w:val="000000"/>
              </w:rPr>
              <w:t xml:space="preserve"> 2</w:t>
            </w:r>
            <w:r w:rsidR="00F23B4E" w:rsidRPr="00E23484">
              <w:rPr>
                <w:rFonts w:ascii="Arial" w:eastAsia="Times New Roman" w:hAnsi="Arial" w:cs="Arial"/>
                <w:b/>
                <w:color w:val="000000"/>
              </w:rPr>
              <w:t>**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Paranoid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8,15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90,31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val="en-US" w:eastAsia="zh-CN"/>
              </w:rPr>
              <w:t>Schitzotypal</w:t>
            </w:r>
            <w:proofErr w:type="spellEnd"/>
            <w:r w:rsidRPr="00E23484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4E67D8"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75,08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24,92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6,34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93,66</w:t>
            </w:r>
          </w:p>
        </w:tc>
      </w:tr>
      <w:tr w:rsidR="008E54B2" w:rsidRPr="00E23484" w:rsidTr="00670152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B2" w:rsidRPr="00E23484" w:rsidRDefault="008E54B2" w:rsidP="008E5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Antisocial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3,25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96,75</w:t>
            </w:r>
          </w:p>
        </w:tc>
      </w:tr>
      <w:tr w:rsidR="008E54B2" w:rsidRPr="00E23484" w:rsidTr="00670152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B2" w:rsidRPr="00E23484" w:rsidRDefault="008E54B2" w:rsidP="008E5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zh-CN"/>
              </w:rPr>
            </w:pPr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Borderline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3484">
              <w:rPr>
                <w:rFonts w:ascii="Arial" w:eastAsia="Times New Roman" w:hAnsi="Arial" w:cs="Arial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B2" w:rsidRPr="00E23484" w:rsidRDefault="008E54B2" w:rsidP="008E54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90,90</w:t>
            </w:r>
          </w:p>
        </w:tc>
      </w:tr>
      <w:tr w:rsidR="004E67D8" w:rsidRPr="00E23484" w:rsidTr="00747F24">
        <w:trPr>
          <w:trHeight w:val="263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Avoidant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76,27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23,73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20,54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79,46</w:t>
            </w:r>
          </w:p>
        </w:tc>
      </w:tr>
      <w:tr w:rsidR="004E67D8" w:rsidRPr="00E23484" w:rsidTr="00747F24">
        <w:trPr>
          <w:trHeight w:val="276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8E54B2" w:rsidP="00747F24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3484">
              <w:rPr>
                <w:rFonts w:ascii="Arial" w:eastAsia="Times New Roman" w:hAnsi="Arial" w:cs="Arial"/>
                <w:color w:val="000000"/>
                <w:lang w:eastAsia="zh-CN"/>
              </w:rPr>
              <w:t>Obsessive-Compulsve</w:t>
            </w:r>
            <w:proofErr w:type="spellEnd"/>
            <w:r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E67D8" w:rsidRPr="00E2348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43,26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56,74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0,79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7,52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7D8" w:rsidRPr="00E23484" w:rsidRDefault="004E67D8" w:rsidP="00747F2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484">
              <w:rPr>
                <w:rFonts w:ascii="Arial" w:eastAsia="Times New Roman" w:hAnsi="Arial" w:cs="Arial"/>
                <w:color w:val="000000"/>
              </w:rPr>
              <w:t>92,48</w:t>
            </w:r>
          </w:p>
        </w:tc>
      </w:tr>
    </w:tbl>
    <w:p w:rsidR="004E67D8" w:rsidRPr="00E23484" w:rsidRDefault="004E67D8" w:rsidP="004E67D8">
      <w:pPr>
        <w:spacing w:line="240" w:lineRule="auto"/>
        <w:rPr>
          <w:rFonts w:ascii="Arial" w:hAnsi="Arial" w:cs="Arial"/>
        </w:rPr>
      </w:pPr>
    </w:p>
    <w:p w:rsidR="004E67D8" w:rsidRPr="00E23484" w:rsidRDefault="004E67D8" w:rsidP="004E67D8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a</w:t>
      </w:r>
      <w:r w:rsidRPr="00E23484">
        <w:rPr>
          <w:rFonts w:ascii="Arial" w:hAnsi="Arial" w:cs="Arial"/>
          <w:vertAlign w:val="superscript"/>
          <w:lang w:val="en-US"/>
        </w:rPr>
        <w:t>2</w:t>
      </w:r>
      <w:r w:rsidRPr="00E23484">
        <w:rPr>
          <w:rFonts w:ascii="Arial" w:hAnsi="Arial" w:cs="Arial"/>
          <w:lang w:val="en-US"/>
        </w:rPr>
        <w:t>, Total genetic variance (heritability) for DSM PDs</w:t>
      </w:r>
    </w:p>
    <w:p w:rsidR="00F23B4E" w:rsidRPr="00E23484" w:rsidRDefault="004E67D8" w:rsidP="004E67D8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e</w:t>
      </w:r>
      <w:r w:rsidRPr="00E23484">
        <w:rPr>
          <w:rFonts w:ascii="Arial" w:hAnsi="Arial" w:cs="Arial"/>
          <w:vertAlign w:val="superscript"/>
          <w:lang w:val="en-US"/>
        </w:rPr>
        <w:t>2</w:t>
      </w:r>
      <w:r w:rsidRPr="00E23484">
        <w:rPr>
          <w:rFonts w:ascii="Arial" w:hAnsi="Arial" w:cs="Arial"/>
          <w:lang w:val="en-US"/>
        </w:rPr>
        <w:t>, Total environmental variance for DSM PDs</w:t>
      </w:r>
    </w:p>
    <w:p w:rsidR="00F23B4E" w:rsidRPr="00E23484" w:rsidRDefault="00F23B4E" w:rsidP="00F23B4E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*PID-5-NBF domains measured 10 years after the DSM-IV PD criteria counts</w:t>
      </w:r>
    </w:p>
    <w:p w:rsidR="00F23B4E" w:rsidRPr="00E23484" w:rsidRDefault="00F23B4E" w:rsidP="00F23B4E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** PID-5-NBF domains and DSM-IV PD criteria counts measured concurrently</w:t>
      </w:r>
    </w:p>
    <w:p w:rsidR="004E67D8" w:rsidRPr="00E23484" w:rsidRDefault="004E67D8" w:rsidP="004E67D8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 xml:space="preserve">  </w:t>
      </w:r>
    </w:p>
    <w:p w:rsidR="004E67D8" w:rsidRPr="00E23484" w:rsidRDefault="004E67D8" w:rsidP="004E67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7D8" w:rsidRPr="00E23484" w:rsidRDefault="004E67D8" w:rsidP="004E6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67D8" w:rsidRPr="00E23484" w:rsidRDefault="004E67D8" w:rsidP="004E67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2F2F" w:rsidRPr="00E23484" w:rsidRDefault="00592F2F" w:rsidP="00592F2F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E23484">
        <w:rPr>
          <w:rFonts w:ascii="Arial" w:hAnsi="Arial" w:cs="Arial"/>
          <w:b/>
          <w:sz w:val="16"/>
          <w:szCs w:val="16"/>
          <w:lang w:val="en-US"/>
        </w:rPr>
        <w:t>Figure S1a</w:t>
      </w:r>
      <w:r w:rsidRPr="00E23484">
        <w:rPr>
          <w:rFonts w:ascii="Arial" w:hAnsi="Arial" w:cs="Arial"/>
          <w:sz w:val="16"/>
          <w:szCs w:val="16"/>
          <w:lang w:val="en-US"/>
        </w:rPr>
        <w:t>. The proportion of genetic and individual specific environmental variance for each DSM-PD that is shared with the PID-5-NBF factors, and unique to each PD at wave 1in the best-fitting models</w:t>
      </w:r>
    </w:p>
    <w:p w:rsidR="00592F2F" w:rsidRPr="00E23484" w:rsidRDefault="00592F2F" w:rsidP="00592F2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7867" w:rsidRPr="00E23484" w:rsidRDefault="00DB78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Arial" w:hAnsi="Arial" w:cs="Arial"/>
          <w:noProof/>
          <w:sz w:val="16"/>
          <w:szCs w:val="16"/>
          <w:lang w:eastAsia="nb-NO"/>
        </w:rPr>
        <w:drawing>
          <wp:inline distT="0" distB="0" distL="0" distR="0" wp14:anchorId="47A44338" wp14:editId="03B38DC5">
            <wp:extent cx="5760720" cy="4320540"/>
            <wp:effectExtent l="0" t="0" r="0" b="3810"/>
            <wp:docPr id="1" name="Picture 1" descr="M:\Forskning\AIAII\BFI_PID_2014\PD_BFI_PID_papers___2016\PID_final_figures\BarChartW1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Forskning\AIAII\BFI_PID_2014\PD_BFI_PID_papers___2016\PID_final_figures\BarChartW1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92F2F" w:rsidRPr="00E23484" w:rsidRDefault="005C5262" w:rsidP="00592F2F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E23484">
        <w:rPr>
          <w:rFonts w:ascii="Arial" w:hAnsi="Arial" w:cs="Arial"/>
          <w:b/>
          <w:sz w:val="16"/>
          <w:szCs w:val="16"/>
          <w:lang w:val="en-US"/>
        </w:rPr>
        <w:lastRenderedPageBreak/>
        <w:t>Figure S1</w:t>
      </w:r>
      <w:r w:rsidR="00592F2F" w:rsidRPr="00E23484">
        <w:rPr>
          <w:rFonts w:ascii="Arial" w:hAnsi="Arial" w:cs="Arial"/>
          <w:b/>
          <w:sz w:val="16"/>
          <w:szCs w:val="16"/>
          <w:lang w:val="en-US"/>
        </w:rPr>
        <w:t>b</w:t>
      </w:r>
      <w:r w:rsidR="00592F2F" w:rsidRPr="00E23484">
        <w:rPr>
          <w:rFonts w:ascii="Arial" w:hAnsi="Arial" w:cs="Arial"/>
          <w:sz w:val="16"/>
          <w:szCs w:val="16"/>
          <w:lang w:val="en-US"/>
        </w:rPr>
        <w:t>. The proportion of genetic and individual specific environmental variance for each DSM-PD that is shared with the PID-5-NBF factors, and unique to each PD at wave 2in the best-fitting model</w:t>
      </w:r>
    </w:p>
    <w:p w:rsidR="00592F2F" w:rsidRPr="00E23484" w:rsidRDefault="00DB7867" w:rsidP="00592F2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484">
        <w:rPr>
          <w:noProof/>
          <w:lang w:eastAsia="nb-NO"/>
        </w:rPr>
        <w:drawing>
          <wp:inline distT="0" distB="0" distL="0" distR="0" wp14:anchorId="1875D972" wp14:editId="7C23B989">
            <wp:extent cx="5760720" cy="4320540"/>
            <wp:effectExtent l="0" t="0" r="0" b="3810"/>
            <wp:docPr id="2" name="Picture 2" descr="M:\Forskning\AIAII\BFI_PID_2014\PD_BFI_PID_papers___2016\PID_final_figures\BarChartW2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orskning\AIAII\BFI_PID_2014\PD_BFI_PID_papers___2016\PID_final_figures\BarChartW2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2F" w:rsidRPr="00E23484" w:rsidRDefault="00592F2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48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DA4FDB" w:rsidRPr="00E23484" w:rsidRDefault="00DA4FDB" w:rsidP="00DA4FDB">
      <w:pPr>
        <w:spacing w:line="36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b/>
          <w:lang w:val="en-US"/>
        </w:rPr>
        <w:lastRenderedPageBreak/>
        <w:t>Table S3</w:t>
      </w:r>
      <w:r w:rsidRPr="00E23484">
        <w:rPr>
          <w:rFonts w:ascii="Arial" w:hAnsi="Arial" w:cs="Arial"/>
          <w:lang w:val="en-US"/>
        </w:rPr>
        <w:t xml:space="preserve">. Environmental correlations between PID-5 and the </w:t>
      </w:r>
      <w:r w:rsidR="00C208C9" w:rsidRPr="00E23484">
        <w:rPr>
          <w:rFonts w:ascii="Arial" w:hAnsi="Arial" w:cs="Arial"/>
          <w:lang w:val="en-US"/>
        </w:rPr>
        <w:t>DSM-IV PD criteria</w:t>
      </w:r>
      <w:r w:rsidRPr="00E23484">
        <w:rPr>
          <w:rFonts w:ascii="Arial" w:hAnsi="Arial" w:cs="Arial"/>
          <w:lang w:val="en-US"/>
        </w:rPr>
        <w:t xml:space="preserve"> counts at wave 1 and wave 2 based on best-fitting model.</w:t>
      </w:r>
    </w:p>
    <w:tbl>
      <w:tblPr>
        <w:tblW w:w="9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058"/>
        <w:gridCol w:w="1325"/>
        <w:gridCol w:w="1325"/>
        <w:gridCol w:w="1363"/>
        <w:gridCol w:w="1412"/>
        <w:gridCol w:w="1449"/>
      </w:tblGrid>
      <w:tr w:rsidR="00DA4FDB" w:rsidRPr="00E23484" w:rsidTr="00F81C9F">
        <w:trPr>
          <w:trHeight w:val="569"/>
        </w:trPr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3484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3484">
              <w:rPr>
                <w:rFonts w:ascii="Arial" w:hAnsi="Arial" w:cs="Arial"/>
                <w:b/>
                <w:color w:val="000000"/>
              </w:rPr>
              <w:t xml:space="preserve">Negative </w:t>
            </w:r>
            <w:r w:rsidRPr="00E23484">
              <w:rPr>
                <w:rFonts w:ascii="Arial" w:hAnsi="Arial" w:cs="Arial"/>
                <w:b/>
                <w:color w:val="000000"/>
              </w:rPr>
              <w:br/>
            </w:r>
            <w:proofErr w:type="spellStart"/>
            <w:r w:rsidRPr="00E23484">
              <w:rPr>
                <w:rFonts w:ascii="Arial" w:hAnsi="Arial" w:cs="Arial"/>
                <w:b/>
                <w:color w:val="000000"/>
              </w:rPr>
              <w:t>affectivity</w:t>
            </w:r>
            <w:proofErr w:type="spellEnd"/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hAnsi="Arial" w:cs="Arial"/>
                <w:b/>
                <w:color w:val="000000"/>
              </w:rPr>
              <w:t>Detachment</w:t>
            </w:r>
            <w:proofErr w:type="spellEnd"/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hAnsi="Arial" w:cs="Arial"/>
                <w:b/>
                <w:color w:val="000000"/>
              </w:rPr>
              <w:t>Antagonism</w:t>
            </w:r>
            <w:proofErr w:type="spellEnd"/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hAnsi="Arial" w:cs="Arial"/>
                <w:b/>
                <w:color w:val="000000"/>
              </w:rPr>
              <w:t>Disinhibition</w:t>
            </w:r>
            <w:proofErr w:type="spellEnd"/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hAnsi="Arial" w:cs="Arial"/>
                <w:b/>
                <w:color w:val="000000"/>
              </w:rPr>
              <w:t>Compulsivity</w:t>
            </w:r>
            <w:proofErr w:type="spellEnd"/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23484">
              <w:rPr>
                <w:rFonts w:ascii="Arial" w:hAnsi="Arial" w:cs="Arial"/>
                <w:b/>
                <w:color w:val="000000"/>
              </w:rPr>
              <w:t>Psychotisism</w:t>
            </w:r>
            <w:proofErr w:type="spellEnd"/>
          </w:p>
        </w:tc>
      </w:tr>
      <w:tr w:rsidR="00DA4FDB" w:rsidRPr="00E23484" w:rsidTr="00F81C9F">
        <w:trPr>
          <w:trHeight w:hRule="exact" w:val="4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rPr>
                <w:rFonts w:ascii="Arial" w:hAnsi="Arial" w:cs="Arial"/>
                <w:b/>
              </w:rPr>
            </w:pPr>
            <w:proofErr w:type="spellStart"/>
            <w:r w:rsidRPr="00E23484">
              <w:rPr>
                <w:rFonts w:ascii="Arial" w:hAnsi="Arial" w:cs="Arial"/>
                <w:b/>
              </w:rPr>
              <w:t>Wave</w:t>
            </w:r>
            <w:proofErr w:type="spellEnd"/>
            <w:r w:rsidRPr="00E23484">
              <w:rPr>
                <w:rFonts w:ascii="Arial" w:hAnsi="Arial" w:cs="Arial"/>
                <w:b/>
              </w:rPr>
              <w:t xml:space="preserve"> 1</w:t>
            </w:r>
            <w:r w:rsidR="00F23B4E" w:rsidRPr="00E2348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</w:p>
        </w:tc>
      </w:tr>
      <w:tr w:rsidR="00DA4FDB" w:rsidRPr="00E23484" w:rsidTr="00F81C9F">
        <w:trPr>
          <w:trHeight w:hRule="exact" w:val="46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Paranoid 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0.09 </w:t>
            </w:r>
            <w:r w:rsidRPr="00E23484">
              <w:rPr>
                <w:rFonts w:ascii="Arial" w:hAnsi="Arial" w:cs="Arial"/>
              </w:rPr>
              <w:br/>
              <w:t>( 0.01 , 0.17 )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( 0.02 , 0.2 )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-0.03 , 0.14 )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0.01 </w:t>
            </w:r>
            <w:r w:rsidRPr="00E23484">
              <w:rPr>
                <w:rFonts w:ascii="Arial" w:hAnsi="Arial" w:cs="Arial"/>
              </w:rPr>
              <w:br/>
              <w:t>( -0.08 , 0.1 )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0.04 </w:t>
            </w:r>
            <w:r w:rsidRPr="00E23484">
              <w:rPr>
                <w:rFonts w:ascii="Arial" w:hAnsi="Arial" w:cs="Arial"/>
              </w:rPr>
              <w:br/>
              <w:t>( -0.06 , 0.12 )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0.07 </w:t>
            </w:r>
            <w:r w:rsidRPr="00E23484">
              <w:rPr>
                <w:rFonts w:ascii="Arial" w:hAnsi="Arial" w:cs="Arial"/>
              </w:rPr>
              <w:br/>
              <w:t>( -0.02 , 0.15 )</w:t>
            </w:r>
          </w:p>
        </w:tc>
      </w:tr>
      <w:tr w:rsidR="00DA4FDB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Schizotypal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0.17 </w:t>
            </w:r>
            <w:r w:rsidRPr="00E23484">
              <w:rPr>
                <w:rFonts w:ascii="Arial" w:hAnsi="Arial" w:cs="Arial"/>
              </w:rPr>
              <w:br/>
              <w:t>( 0.06 , 0.27 )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0.17 </w:t>
            </w:r>
            <w:r w:rsidRPr="00E23484">
              <w:rPr>
                <w:rFonts w:ascii="Arial" w:hAnsi="Arial" w:cs="Arial"/>
              </w:rPr>
              <w:br/>
              <w:t>( 0.06 , 0.27 )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0.07 </w:t>
            </w:r>
            <w:r w:rsidRPr="00E23484">
              <w:rPr>
                <w:rFonts w:ascii="Arial" w:hAnsi="Arial" w:cs="Arial"/>
              </w:rPr>
              <w:br/>
              <w:t>( -0.04 , 0.17 )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0.07 </w:t>
            </w:r>
            <w:r w:rsidRPr="00E23484">
              <w:rPr>
                <w:rFonts w:ascii="Arial" w:hAnsi="Arial" w:cs="Arial"/>
              </w:rPr>
              <w:br/>
              <w:t>( -0.03 , 0.17 )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-0.04 , 0.16 )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0.08 </w:t>
            </w:r>
            <w:r w:rsidRPr="00E23484">
              <w:rPr>
                <w:rFonts w:ascii="Arial" w:hAnsi="Arial" w:cs="Arial"/>
              </w:rPr>
              <w:br/>
              <w:t>( -0.01 , 0.17 )</w:t>
            </w:r>
          </w:p>
        </w:tc>
      </w:tr>
      <w:tr w:rsidR="00DA4FDB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Schizoid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0.03 </w:t>
            </w:r>
            <w:r w:rsidRPr="00E23484">
              <w:rPr>
                <w:rFonts w:ascii="Arial" w:hAnsi="Arial" w:cs="Arial"/>
              </w:rPr>
              <w:br/>
              <w:t>( -0.07 , 0.13 )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-0.04 , 0.16 )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-0.01 </w:t>
            </w:r>
            <w:r w:rsidRPr="00E23484">
              <w:rPr>
                <w:rFonts w:ascii="Arial" w:hAnsi="Arial" w:cs="Arial"/>
              </w:rPr>
              <w:br/>
              <w:t>( -0.11 , 0.09 )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0.04 </w:t>
            </w:r>
            <w:r w:rsidRPr="00E23484">
              <w:rPr>
                <w:rFonts w:ascii="Arial" w:hAnsi="Arial" w:cs="Arial"/>
              </w:rPr>
              <w:br/>
              <w:t>( -0.06 , 0.14 )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0.01 </w:t>
            </w:r>
            <w:r w:rsidRPr="00E23484">
              <w:rPr>
                <w:rFonts w:ascii="Arial" w:hAnsi="Arial" w:cs="Arial"/>
              </w:rPr>
              <w:br/>
              <w:t>( -0.09 , 0.11 )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0.08 </w:t>
            </w:r>
            <w:r w:rsidRPr="00E23484">
              <w:rPr>
                <w:rFonts w:ascii="Arial" w:hAnsi="Arial" w:cs="Arial"/>
              </w:rPr>
              <w:br/>
              <w:t>( -0.01 , 0.18 )</w:t>
            </w:r>
          </w:p>
        </w:tc>
      </w:tr>
      <w:tr w:rsidR="00DA4FDB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Antisocial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-0.01 , 0.21 )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0.08 </w:t>
            </w:r>
            <w:r w:rsidRPr="00E23484">
              <w:rPr>
                <w:rFonts w:ascii="Arial" w:hAnsi="Arial" w:cs="Arial"/>
              </w:rPr>
              <w:br/>
              <w:t>( -0.03 , 0.19 )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 </w:t>
            </w:r>
            <w:r w:rsidRPr="00E23484">
              <w:rPr>
                <w:rFonts w:ascii="Arial" w:hAnsi="Arial" w:cs="Arial"/>
              </w:rPr>
              <w:br/>
              <w:t>( 0.09 , 0.3 )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0.05 </w:t>
            </w:r>
            <w:r w:rsidRPr="00E23484">
              <w:rPr>
                <w:rFonts w:ascii="Arial" w:hAnsi="Arial" w:cs="Arial"/>
              </w:rPr>
              <w:br/>
              <w:t>( -0.06 , 0.15 )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0.09 </w:t>
            </w:r>
            <w:r w:rsidRPr="00E23484">
              <w:rPr>
                <w:rFonts w:ascii="Arial" w:hAnsi="Arial" w:cs="Arial"/>
              </w:rPr>
              <w:br/>
              <w:t>( -0.02 , 0.19 )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( 0.01 , 0.21 )</w:t>
            </w:r>
          </w:p>
        </w:tc>
      </w:tr>
      <w:tr w:rsidR="00DA4FDB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Histrionic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( 0.02 , 0.19 )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0.01 </w:t>
            </w:r>
            <w:r w:rsidRPr="00E23484">
              <w:rPr>
                <w:rFonts w:ascii="Arial" w:hAnsi="Arial" w:cs="Arial"/>
              </w:rPr>
              <w:br/>
              <w:t>( -0.07 , 0.1 )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( 0.02 , 0.19 )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0.09 </w:t>
            </w:r>
            <w:r w:rsidRPr="00E23484">
              <w:rPr>
                <w:rFonts w:ascii="Arial" w:hAnsi="Arial" w:cs="Arial"/>
              </w:rPr>
              <w:br/>
              <w:t>( 0 , 0.17 )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0.02 </w:t>
            </w:r>
            <w:r w:rsidRPr="00E23484">
              <w:rPr>
                <w:rFonts w:ascii="Arial" w:hAnsi="Arial" w:cs="Arial"/>
              </w:rPr>
              <w:br/>
              <w:t>( -0.06 , 0.11 )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4FDB" w:rsidRPr="00E23484" w:rsidRDefault="00DA4FDB" w:rsidP="00D20961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0.13 </w:t>
            </w:r>
            <w:r w:rsidRPr="00E23484">
              <w:rPr>
                <w:rFonts w:ascii="Arial" w:hAnsi="Arial" w:cs="Arial"/>
              </w:rPr>
              <w:br/>
              <w:t>( 0.05 , 0.22 )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Narcissistic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0.03 </w:t>
            </w:r>
            <w:r w:rsidRPr="00E23484">
              <w:rPr>
                <w:rFonts w:ascii="Arial" w:hAnsi="Arial" w:cs="Arial"/>
              </w:rPr>
              <w:br/>
              <w:t>( -0.05 , 0.12 )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0.01 </w:t>
            </w:r>
            <w:r w:rsidRPr="00E23484">
              <w:rPr>
                <w:rFonts w:ascii="Arial" w:hAnsi="Arial" w:cs="Arial"/>
              </w:rPr>
              <w:br/>
              <w:t>( -0.07 , 0.1 )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-0.03 , 0.14 )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0.08 </w:t>
            </w:r>
            <w:r w:rsidRPr="00E23484">
              <w:rPr>
                <w:rFonts w:ascii="Arial" w:hAnsi="Arial" w:cs="Arial"/>
              </w:rPr>
              <w:br/>
              <w:t>( -0.01 , 0.16 )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-0.02 , 0.15 )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( 0.02 , 0.18 )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Borderline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0.14 </w:t>
            </w:r>
            <w:r w:rsidRPr="00E23484">
              <w:rPr>
                <w:rFonts w:ascii="Arial" w:hAnsi="Arial" w:cs="Arial"/>
              </w:rPr>
              <w:br/>
              <w:t>( 0.05 , 0.22 )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( 0.02 , 0.2 )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0.04 </w:t>
            </w:r>
            <w:r w:rsidRPr="00E23484">
              <w:rPr>
                <w:rFonts w:ascii="Arial" w:hAnsi="Arial" w:cs="Arial"/>
              </w:rPr>
              <w:br/>
              <w:t>( -0.05 , 0.13 )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( 0.03 , 0.2 )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0.12 </w:t>
            </w:r>
            <w:r w:rsidRPr="00E23484">
              <w:rPr>
                <w:rFonts w:ascii="Arial" w:hAnsi="Arial" w:cs="Arial"/>
              </w:rPr>
              <w:br/>
              <w:t>( 0.04 , 0.21 )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0.16 </w:t>
            </w:r>
            <w:r w:rsidRPr="00E23484">
              <w:rPr>
                <w:rFonts w:ascii="Arial" w:hAnsi="Arial" w:cs="Arial"/>
              </w:rPr>
              <w:br/>
              <w:t>( 0.07 , 0.24 )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Avoidant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0.22 </w:t>
            </w:r>
            <w:r w:rsidRPr="00E23484">
              <w:rPr>
                <w:rFonts w:ascii="Arial" w:hAnsi="Arial" w:cs="Arial"/>
              </w:rPr>
              <w:br/>
              <w:t>( 0.13 , 0.3 )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0.22 </w:t>
            </w:r>
            <w:r w:rsidRPr="00E23484">
              <w:rPr>
                <w:rFonts w:ascii="Arial" w:hAnsi="Arial" w:cs="Arial"/>
              </w:rPr>
              <w:br/>
              <w:t>( 0.13 , 0.3 )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 </w:t>
            </w:r>
            <w:r w:rsidRPr="00E23484">
              <w:rPr>
                <w:rFonts w:ascii="Arial" w:hAnsi="Arial" w:cs="Arial"/>
              </w:rPr>
              <w:br/>
              <w:t>( -0.09 , 0.09 )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0.03 </w:t>
            </w:r>
            <w:r w:rsidRPr="00E23484">
              <w:rPr>
                <w:rFonts w:ascii="Arial" w:hAnsi="Arial" w:cs="Arial"/>
              </w:rPr>
              <w:br/>
              <w:t>( -0.06 , 0.11 )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0.12 </w:t>
            </w:r>
            <w:r w:rsidRPr="00E23484">
              <w:rPr>
                <w:rFonts w:ascii="Arial" w:hAnsi="Arial" w:cs="Arial"/>
              </w:rPr>
              <w:br/>
              <w:t>( 0.03 , 0.2 )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0.15 </w:t>
            </w:r>
            <w:r w:rsidRPr="00E23484">
              <w:rPr>
                <w:rFonts w:ascii="Arial" w:hAnsi="Arial" w:cs="Arial"/>
              </w:rPr>
              <w:br/>
              <w:t>( 0.07 , 0.23 )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Dependent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0.15 </w:t>
            </w:r>
            <w:r w:rsidRPr="00E23484">
              <w:rPr>
                <w:rFonts w:ascii="Arial" w:hAnsi="Arial" w:cs="Arial"/>
              </w:rPr>
              <w:br/>
              <w:t>( 0.06 , 0.23 )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( 0.02 , 0.2 )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-0.03 , 0.14 )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( 0.02 , 0.19 )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( 0.02 , 0.18 )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0.16 </w:t>
            </w:r>
            <w:r w:rsidRPr="00E23484">
              <w:rPr>
                <w:rFonts w:ascii="Arial" w:hAnsi="Arial" w:cs="Arial"/>
              </w:rPr>
              <w:br/>
              <w:t>( 0.08 , 0.25 )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Obsessive-Compulsive</w:t>
            </w:r>
            <w:proofErr w:type="spellEnd"/>
          </w:p>
          <w:p w:rsidR="00F81C9F" w:rsidRPr="00E23484" w:rsidRDefault="00F81C9F" w:rsidP="00F81C9F">
            <w:pPr>
              <w:rPr>
                <w:rFonts w:ascii="Arial" w:hAnsi="Arial" w:cs="Arial"/>
              </w:rPr>
            </w:pPr>
          </w:p>
          <w:p w:rsidR="00F81C9F" w:rsidRPr="00E23484" w:rsidRDefault="00F81C9F" w:rsidP="00F81C9F">
            <w:pPr>
              <w:rPr>
                <w:rFonts w:ascii="Arial" w:hAnsi="Arial" w:cs="Arial"/>
              </w:rPr>
            </w:pPr>
          </w:p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Compulsive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0.12 </w:t>
            </w:r>
            <w:r w:rsidRPr="00E23484">
              <w:rPr>
                <w:rFonts w:ascii="Arial" w:hAnsi="Arial" w:cs="Arial"/>
              </w:rPr>
              <w:br/>
              <w:t>( 0.04 , 0.19 )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( 0.03 , 0.19 )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0.09 </w:t>
            </w:r>
            <w:r w:rsidRPr="00E23484">
              <w:rPr>
                <w:rFonts w:ascii="Arial" w:hAnsi="Arial" w:cs="Arial"/>
              </w:rPr>
              <w:br/>
              <w:t>( 0.01 , 0.17 )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0.03 </w:t>
            </w:r>
            <w:r w:rsidRPr="00E23484">
              <w:rPr>
                <w:rFonts w:ascii="Arial" w:hAnsi="Arial" w:cs="Arial"/>
              </w:rPr>
              <w:br/>
              <w:t>( -0.05 , 0.11 )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 </w:t>
            </w:r>
            <w:r w:rsidRPr="00E23484">
              <w:rPr>
                <w:rFonts w:ascii="Arial" w:hAnsi="Arial" w:cs="Arial"/>
              </w:rPr>
              <w:br/>
              <w:t>( 0.13 , 0.28 )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0.11 </w:t>
            </w:r>
            <w:r w:rsidRPr="00E23484">
              <w:rPr>
                <w:rFonts w:ascii="Arial" w:hAnsi="Arial" w:cs="Arial"/>
              </w:rPr>
              <w:br/>
              <w:t>( 0.02 , 0.19 )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rPr>
                <w:rFonts w:ascii="Arial" w:hAnsi="Arial" w:cs="Arial"/>
                <w:b/>
              </w:rPr>
            </w:pPr>
            <w:proofErr w:type="spellStart"/>
            <w:r w:rsidRPr="00E23484">
              <w:rPr>
                <w:rFonts w:ascii="Arial" w:hAnsi="Arial" w:cs="Arial"/>
                <w:b/>
              </w:rPr>
              <w:t>Wave</w:t>
            </w:r>
            <w:proofErr w:type="spellEnd"/>
            <w:r w:rsidRPr="00E23484">
              <w:rPr>
                <w:rFonts w:ascii="Arial" w:hAnsi="Arial" w:cs="Arial"/>
                <w:b/>
              </w:rPr>
              <w:t xml:space="preserve"> 2</w:t>
            </w:r>
            <w:r w:rsidR="00F23B4E" w:rsidRPr="00E23484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Paranoid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0.22 </w:t>
            </w:r>
            <w:r w:rsidRPr="00E23484">
              <w:rPr>
                <w:rFonts w:ascii="Arial" w:hAnsi="Arial" w:cs="Arial"/>
              </w:rPr>
              <w:br/>
              <w:t>( 0.13 , 0.31 )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0.23 </w:t>
            </w:r>
            <w:r w:rsidRPr="00E23484">
              <w:rPr>
                <w:rFonts w:ascii="Arial" w:hAnsi="Arial" w:cs="Arial"/>
              </w:rPr>
              <w:br/>
              <w:t>( 0.13 , 0.32 )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0.19 </w:t>
            </w:r>
            <w:r w:rsidRPr="00E23484">
              <w:rPr>
                <w:rFonts w:ascii="Arial" w:hAnsi="Arial" w:cs="Arial"/>
              </w:rPr>
              <w:br/>
              <w:t>( 0.09 , 0.29 )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0.05 </w:t>
            </w:r>
            <w:r w:rsidRPr="00E23484">
              <w:rPr>
                <w:rFonts w:ascii="Arial" w:hAnsi="Arial" w:cs="Arial"/>
              </w:rPr>
              <w:br/>
              <w:t>( -0.05 , 0.15 )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( 0 , 0.2 )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0.18 </w:t>
            </w:r>
            <w:r w:rsidRPr="00E23484">
              <w:rPr>
                <w:rFonts w:ascii="Arial" w:hAnsi="Arial" w:cs="Arial"/>
              </w:rPr>
              <w:br/>
              <w:t>( 0.08 , 0.27 )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Schizotypal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0.12 </w:t>
            </w:r>
            <w:r w:rsidRPr="00E23484">
              <w:rPr>
                <w:rFonts w:ascii="Arial" w:hAnsi="Arial" w:cs="Arial"/>
              </w:rPr>
              <w:br/>
              <w:t>( 0.01 , 0.23 )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0.19 </w:t>
            </w:r>
            <w:r w:rsidRPr="00E23484">
              <w:rPr>
                <w:rFonts w:ascii="Arial" w:hAnsi="Arial" w:cs="Arial"/>
              </w:rPr>
              <w:br/>
              <w:t>( 0.07 , 0.29 )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 </w:t>
            </w:r>
            <w:r w:rsidRPr="00E23484">
              <w:rPr>
                <w:rFonts w:ascii="Arial" w:hAnsi="Arial" w:cs="Arial"/>
              </w:rPr>
              <w:br/>
              <w:t>( 0.09 , 0.31 )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-0.05 , 0.17 )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0.07 </w:t>
            </w:r>
            <w:r w:rsidRPr="00E23484">
              <w:rPr>
                <w:rFonts w:ascii="Arial" w:hAnsi="Arial" w:cs="Arial"/>
              </w:rPr>
              <w:br/>
              <w:t>( -0.04 , 0.18 )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0.09 </w:t>
            </w:r>
            <w:r w:rsidRPr="00E23484">
              <w:rPr>
                <w:rFonts w:ascii="Arial" w:hAnsi="Arial" w:cs="Arial"/>
              </w:rPr>
              <w:br/>
              <w:t>( -0.01 , 0.18 )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Antisocial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-0.01 </w:t>
            </w:r>
            <w:r w:rsidRPr="00E23484">
              <w:rPr>
                <w:rFonts w:ascii="Arial" w:hAnsi="Arial" w:cs="Arial"/>
              </w:rPr>
              <w:br/>
              <w:t>( -0.13 , 0.11 )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0.02 </w:t>
            </w:r>
            <w:r w:rsidRPr="00E23484">
              <w:rPr>
                <w:rFonts w:ascii="Arial" w:hAnsi="Arial" w:cs="Arial"/>
              </w:rPr>
              <w:br/>
              <w:t>( -0.11 , 0.14 )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0.16 </w:t>
            </w:r>
            <w:r w:rsidRPr="00E23484">
              <w:rPr>
                <w:rFonts w:ascii="Arial" w:hAnsi="Arial" w:cs="Arial"/>
              </w:rPr>
              <w:br/>
              <w:t>( 0.04 , 0.28 )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0.06 </w:t>
            </w:r>
            <w:r w:rsidRPr="00E23484">
              <w:rPr>
                <w:rFonts w:ascii="Arial" w:hAnsi="Arial" w:cs="Arial"/>
              </w:rPr>
              <w:br/>
              <w:t>( -0.06 , 0.18 )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 </w:t>
            </w:r>
            <w:r w:rsidRPr="00E23484">
              <w:rPr>
                <w:rFonts w:ascii="Arial" w:hAnsi="Arial" w:cs="Arial"/>
              </w:rPr>
              <w:br/>
              <w:t>( -0.12 , 0.12 )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0.04 </w:t>
            </w:r>
            <w:r w:rsidRPr="00E23484">
              <w:rPr>
                <w:rFonts w:ascii="Arial" w:hAnsi="Arial" w:cs="Arial"/>
              </w:rPr>
              <w:br/>
              <w:t>( -0.08 , 0.15 )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Borderline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0.24 </w:t>
            </w:r>
            <w:r w:rsidRPr="00E23484">
              <w:rPr>
                <w:rFonts w:ascii="Arial" w:hAnsi="Arial" w:cs="Arial"/>
              </w:rPr>
              <w:br/>
              <w:t>( 0.16 , 0.31 )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0.17 </w:t>
            </w:r>
            <w:r w:rsidRPr="00E23484">
              <w:rPr>
                <w:rFonts w:ascii="Arial" w:hAnsi="Arial" w:cs="Arial"/>
              </w:rPr>
              <w:br/>
              <w:t>( 0.08 , 0.26 )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( 0.01 , 0.19 )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0.16 </w:t>
            </w:r>
            <w:r w:rsidRPr="00E23484">
              <w:rPr>
                <w:rFonts w:ascii="Arial" w:hAnsi="Arial" w:cs="Arial"/>
              </w:rPr>
              <w:br/>
              <w:t>( 0.07 , 0.25 )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0.05 </w:t>
            </w:r>
            <w:r w:rsidRPr="00E23484">
              <w:rPr>
                <w:rFonts w:ascii="Arial" w:hAnsi="Arial" w:cs="Arial"/>
              </w:rPr>
              <w:br/>
              <w:t>( -0.04 , 0.14 )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0.24 </w:t>
            </w:r>
            <w:r w:rsidRPr="00E23484">
              <w:rPr>
                <w:rFonts w:ascii="Arial" w:hAnsi="Arial" w:cs="Arial"/>
              </w:rPr>
              <w:br/>
              <w:t>( 0.16 , 0.33 )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Avoidant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0.34 </w:t>
            </w:r>
            <w:r w:rsidRPr="00E23484">
              <w:rPr>
                <w:rFonts w:ascii="Arial" w:hAnsi="Arial" w:cs="Arial"/>
              </w:rPr>
              <w:br/>
              <w:t>( 0.25 , 0.42 )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0.36 </w:t>
            </w:r>
            <w:r w:rsidRPr="00E23484">
              <w:rPr>
                <w:rFonts w:ascii="Arial" w:hAnsi="Arial" w:cs="Arial"/>
              </w:rPr>
              <w:br/>
              <w:t>( 0.27 , 0.45 )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0.04 </w:t>
            </w:r>
            <w:r w:rsidRPr="00E23484">
              <w:rPr>
                <w:rFonts w:ascii="Arial" w:hAnsi="Arial" w:cs="Arial"/>
              </w:rPr>
              <w:br/>
              <w:t>( -0.06 , 0.14 )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0.07 </w:t>
            </w:r>
            <w:r w:rsidRPr="00E23484">
              <w:rPr>
                <w:rFonts w:ascii="Arial" w:hAnsi="Arial" w:cs="Arial"/>
              </w:rPr>
              <w:br/>
              <w:t>( -0.02 , 0.17 )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0.27 </w:t>
            </w:r>
            <w:r w:rsidRPr="00E23484">
              <w:rPr>
                <w:rFonts w:ascii="Arial" w:hAnsi="Arial" w:cs="Arial"/>
              </w:rPr>
              <w:br/>
              <w:t>( 0.19 , 0.36 )</w:t>
            </w:r>
          </w:p>
        </w:tc>
        <w:tc>
          <w:tcPr>
            <w:tcW w:w="13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0.24 </w:t>
            </w:r>
            <w:r w:rsidRPr="00E23484">
              <w:rPr>
                <w:rFonts w:ascii="Arial" w:hAnsi="Arial" w:cs="Arial"/>
              </w:rPr>
              <w:br/>
              <w:t>( 0.15 , 0.33 )</w:t>
            </w:r>
          </w:p>
        </w:tc>
      </w:tr>
      <w:tr w:rsidR="00F81C9F" w:rsidRPr="00E23484" w:rsidTr="00F81C9F">
        <w:trPr>
          <w:trHeight w:hRule="exact" w:val="469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rPr>
                <w:rFonts w:ascii="Arial" w:hAnsi="Arial" w:cs="Arial"/>
              </w:rPr>
            </w:pPr>
            <w:proofErr w:type="spellStart"/>
            <w:r w:rsidRPr="00E23484">
              <w:rPr>
                <w:rFonts w:ascii="Arial" w:hAnsi="Arial" w:cs="Arial"/>
              </w:rPr>
              <w:t>Obsessive-Compulsive</w:t>
            </w:r>
            <w:proofErr w:type="spellEnd"/>
            <w:r w:rsidRPr="00E234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0.17 </w:t>
            </w:r>
            <w:r w:rsidRPr="00E23484">
              <w:rPr>
                <w:rFonts w:ascii="Arial" w:hAnsi="Arial" w:cs="Arial"/>
              </w:rPr>
              <w:br/>
              <w:t>( 0.09 , 0.25 )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 </w:t>
            </w:r>
            <w:r w:rsidRPr="00E23484">
              <w:rPr>
                <w:rFonts w:ascii="Arial" w:hAnsi="Arial" w:cs="Arial"/>
              </w:rPr>
              <w:br/>
              <w:t>( 0.01 , 0.18 )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0.13 </w:t>
            </w:r>
            <w:r w:rsidRPr="00E23484">
              <w:rPr>
                <w:rFonts w:ascii="Arial" w:hAnsi="Arial" w:cs="Arial"/>
              </w:rPr>
              <w:br/>
              <w:t>( 0.05 , 0.22 )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0.04 </w:t>
            </w:r>
            <w:r w:rsidRPr="00E23484">
              <w:rPr>
                <w:rFonts w:ascii="Arial" w:hAnsi="Arial" w:cs="Arial"/>
              </w:rPr>
              <w:br/>
              <w:t>( -0.04 , 0.13 )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0.24 </w:t>
            </w:r>
            <w:r w:rsidRPr="00E23484">
              <w:rPr>
                <w:rFonts w:ascii="Arial" w:hAnsi="Arial" w:cs="Arial"/>
              </w:rPr>
              <w:br/>
              <w:t>( 0.16 , 0.32 )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C9F" w:rsidRPr="00E23484" w:rsidRDefault="00F81C9F" w:rsidP="00F81C9F">
            <w:pPr>
              <w:jc w:val="center"/>
              <w:rPr>
                <w:rFonts w:ascii="Arial" w:hAnsi="Arial" w:cs="Arial"/>
              </w:rPr>
            </w:pPr>
            <w:r w:rsidRPr="00E23484">
              <w:rPr>
                <w:rFonts w:ascii="Arial" w:hAnsi="Arial" w:cs="Arial"/>
              </w:rPr>
              <w:t xml:space="preserve">0.16 </w:t>
            </w:r>
            <w:r w:rsidRPr="00E23484">
              <w:rPr>
                <w:rFonts w:ascii="Arial" w:hAnsi="Arial" w:cs="Arial"/>
              </w:rPr>
              <w:br/>
              <w:t>( 0.08 , 0.25 )</w:t>
            </w:r>
          </w:p>
        </w:tc>
      </w:tr>
    </w:tbl>
    <w:p w:rsidR="00F23B4E" w:rsidRPr="00E23484" w:rsidRDefault="00C208C9" w:rsidP="004E67D8">
      <w:pPr>
        <w:spacing w:line="360" w:lineRule="auto"/>
        <w:rPr>
          <w:rFonts w:ascii="Arial" w:eastAsia="Times New Roman" w:hAnsi="Arial" w:cs="Arial"/>
          <w:color w:val="000000"/>
          <w:lang w:val="en-US"/>
        </w:rPr>
      </w:pPr>
      <w:r w:rsidRPr="00E23484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gramStart"/>
      <w:r w:rsidRPr="00E23484">
        <w:rPr>
          <w:rFonts w:ascii="Arial" w:eastAsia="Times New Roman" w:hAnsi="Arial" w:cs="Arial"/>
          <w:color w:val="000000"/>
          <w:lang w:val="en-US"/>
        </w:rPr>
        <w:t>95%</w:t>
      </w:r>
      <w:proofErr w:type="gramEnd"/>
      <w:r w:rsidRPr="00E23484">
        <w:rPr>
          <w:rFonts w:ascii="Arial" w:eastAsia="Times New Roman" w:hAnsi="Arial" w:cs="Arial"/>
          <w:color w:val="000000"/>
          <w:lang w:val="en-US"/>
        </w:rPr>
        <w:t xml:space="preserve"> confidence intervals </w:t>
      </w:r>
      <w:r w:rsidR="00DA4FDB" w:rsidRPr="00E23484">
        <w:rPr>
          <w:rFonts w:ascii="Arial" w:eastAsia="Times New Roman" w:hAnsi="Arial" w:cs="Arial"/>
          <w:color w:val="000000"/>
          <w:lang w:val="en-US"/>
        </w:rPr>
        <w:t>are given in parentheses</w:t>
      </w:r>
    </w:p>
    <w:p w:rsidR="00F23B4E" w:rsidRPr="00E23484" w:rsidRDefault="00F23B4E" w:rsidP="00F23B4E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*PID-5-NBF domains measured 10 years after the DSM-IV PD criteria counts</w:t>
      </w:r>
    </w:p>
    <w:p w:rsidR="00F23B4E" w:rsidRPr="00E23484" w:rsidRDefault="00F23B4E" w:rsidP="00F23B4E">
      <w:pPr>
        <w:spacing w:line="240" w:lineRule="auto"/>
        <w:rPr>
          <w:rFonts w:ascii="Arial" w:hAnsi="Arial" w:cs="Arial"/>
          <w:lang w:val="en-US"/>
        </w:rPr>
      </w:pPr>
      <w:r w:rsidRPr="00E23484">
        <w:rPr>
          <w:rFonts w:ascii="Arial" w:hAnsi="Arial" w:cs="Arial"/>
          <w:lang w:val="en-US"/>
        </w:rPr>
        <w:t>** PID-5-NBF domains and DSM-IV PD criteria counts measured concurrently</w:t>
      </w:r>
    </w:p>
    <w:p w:rsidR="004E67D8" w:rsidRPr="00E23484" w:rsidRDefault="00DA4FDB" w:rsidP="004E67D8">
      <w:pPr>
        <w:spacing w:line="360" w:lineRule="auto"/>
        <w:rPr>
          <w:rFonts w:ascii="Arial" w:hAnsi="Arial" w:cs="Arial"/>
          <w:lang w:val="en-US"/>
        </w:rPr>
      </w:pPr>
      <w:r w:rsidRPr="00E23484">
        <w:rPr>
          <w:rFonts w:ascii="Arial" w:eastAsia="Times New Roman" w:hAnsi="Arial" w:cs="Arial"/>
          <w:color w:val="000000"/>
          <w:lang w:val="en-US"/>
        </w:rPr>
        <w:t xml:space="preserve">.                                                                                                                               </w:t>
      </w:r>
    </w:p>
    <w:p w:rsidR="001030BB" w:rsidRPr="00E23484" w:rsidRDefault="001030BB">
      <w:pPr>
        <w:rPr>
          <w:rFonts w:ascii="Arial" w:hAnsi="Arial" w:cs="Arial"/>
          <w:noProof/>
          <w:lang w:val="en-US" w:eastAsia="nb-NO"/>
        </w:rPr>
      </w:pPr>
      <w:r w:rsidRPr="00E23484">
        <w:rPr>
          <w:rFonts w:ascii="Arial" w:hAnsi="Arial" w:cs="Arial"/>
          <w:noProof/>
          <w:lang w:val="en-US" w:eastAsia="nb-NO"/>
        </w:rPr>
        <w:br w:type="page"/>
      </w:r>
    </w:p>
    <w:p w:rsidR="001030BB" w:rsidRPr="00E23484" w:rsidRDefault="001030BB" w:rsidP="007D171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30BB" w:rsidRPr="00E23484" w:rsidRDefault="001030BB" w:rsidP="001030B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23484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2328C8" w:rsidRPr="00F56568" w:rsidRDefault="002328C8" w:rsidP="002328C8">
      <w:pPr>
        <w:pStyle w:val="EndNoteBibliograph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484">
        <w:rPr>
          <w:rFonts w:ascii="Times New Roman" w:hAnsi="Times New Roman" w:cs="Times New Roman"/>
          <w:b/>
          <w:sz w:val="24"/>
          <w:szCs w:val="24"/>
        </w:rPr>
        <w:t>Reichborn-Kjen</w:t>
      </w:r>
      <w:r w:rsidR="00F56568">
        <w:rPr>
          <w:rFonts w:ascii="Times New Roman" w:hAnsi="Times New Roman" w:cs="Times New Roman"/>
          <w:b/>
          <w:sz w:val="24"/>
          <w:szCs w:val="24"/>
        </w:rPr>
        <w:t>nerud T, Czajkowski N, Ystrom E, Orstavik R, Aggen SH, Tambs K, Torgersen S, Neale MC, Roysamb E, Krueger RF, Knudsen</w:t>
      </w:r>
      <w:r w:rsidRPr="00E23484">
        <w:rPr>
          <w:rFonts w:ascii="Times New Roman" w:hAnsi="Times New Roman" w:cs="Times New Roman"/>
          <w:b/>
          <w:sz w:val="24"/>
          <w:szCs w:val="24"/>
        </w:rPr>
        <w:t xml:space="preserve"> GP</w:t>
      </w:r>
      <w:r w:rsidR="00F56568">
        <w:rPr>
          <w:rFonts w:ascii="Times New Roman" w:hAnsi="Times New Roman" w:cs="Times New Roman"/>
          <w:b/>
          <w:sz w:val="24"/>
          <w:szCs w:val="24"/>
        </w:rPr>
        <w:t>, Kendler K</w:t>
      </w:r>
      <w:r w:rsidRPr="00E23484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E23484">
        <w:rPr>
          <w:rFonts w:ascii="Times New Roman" w:hAnsi="Times New Roman" w:cs="Times New Roman"/>
          <w:sz w:val="24"/>
          <w:szCs w:val="24"/>
        </w:rPr>
        <w:t xml:space="preserve">(2015). A longitudinal twin study of borderline and antisocial personality disorder traits in early to middle adulthood. </w:t>
      </w:r>
      <w:r w:rsidRPr="00F56568">
        <w:rPr>
          <w:rFonts w:ascii="Times New Roman" w:hAnsi="Times New Roman" w:cs="Times New Roman"/>
          <w:i/>
          <w:sz w:val="24"/>
          <w:szCs w:val="24"/>
        </w:rPr>
        <w:t>Psychol</w:t>
      </w:r>
      <w:r w:rsidR="00F56568" w:rsidRPr="00F56568">
        <w:rPr>
          <w:rFonts w:ascii="Times New Roman" w:hAnsi="Times New Roman" w:cs="Times New Roman"/>
          <w:i/>
          <w:sz w:val="24"/>
          <w:szCs w:val="24"/>
        </w:rPr>
        <w:t>ogical</w:t>
      </w:r>
      <w:r w:rsidRPr="00F56568">
        <w:rPr>
          <w:rFonts w:ascii="Times New Roman" w:hAnsi="Times New Roman" w:cs="Times New Roman"/>
          <w:i/>
          <w:sz w:val="24"/>
          <w:szCs w:val="24"/>
        </w:rPr>
        <w:t xml:space="preserve"> Med</w:t>
      </w:r>
      <w:r w:rsidR="00F56568" w:rsidRPr="00F56568">
        <w:rPr>
          <w:rFonts w:ascii="Times New Roman" w:hAnsi="Times New Roman" w:cs="Times New Roman"/>
          <w:i/>
          <w:sz w:val="24"/>
          <w:szCs w:val="24"/>
        </w:rPr>
        <w:t>icine</w:t>
      </w:r>
      <w:r w:rsidRPr="00F56568">
        <w:rPr>
          <w:rFonts w:ascii="Times New Roman" w:hAnsi="Times New Roman" w:cs="Times New Roman"/>
          <w:sz w:val="24"/>
          <w:szCs w:val="24"/>
        </w:rPr>
        <w:t xml:space="preserve"> </w:t>
      </w:r>
      <w:r w:rsidRPr="00F56568">
        <w:rPr>
          <w:rFonts w:ascii="Times New Roman" w:hAnsi="Times New Roman" w:cs="Times New Roman"/>
          <w:b/>
          <w:sz w:val="24"/>
          <w:szCs w:val="24"/>
        </w:rPr>
        <w:t>45</w:t>
      </w:r>
      <w:r w:rsidRPr="00F56568">
        <w:rPr>
          <w:rFonts w:ascii="Times New Roman" w:hAnsi="Times New Roman" w:cs="Times New Roman"/>
          <w:sz w:val="24"/>
          <w:szCs w:val="24"/>
        </w:rPr>
        <w:t>, 3121-31.</w:t>
      </w:r>
    </w:p>
    <w:p w:rsidR="00E54773" w:rsidRPr="007D171C" w:rsidRDefault="00F56568" w:rsidP="007D171C">
      <w:pPr>
        <w:spacing w:line="360" w:lineRule="auto"/>
        <w:rPr>
          <w:noProof/>
          <w:lang w:val="en-US" w:eastAsia="nb-NO"/>
        </w:rPr>
      </w:pPr>
      <w:r w:rsidRPr="00F56568">
        <w:rPr>
          <w:rFonts w:ascii="Times New Roman" w:hAnsi="Times New Roman" w:cs="Times New Roman"/>
          <w:b/>
          <w:sz w:val="24"/>
          <w:szCs w:val="24"/>
        </w:rPr>
        <w:t>Tambs 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Ronning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Prescott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</w:t>
      </w:r>
      <w:r w:rsidR="001030BB" w:rsidRPr="00F56568">
        <w:rPr>
          <w:rFonts w:ascii="Times New Roman" w:hAnsi="Times New Roman" w:cs="Times New Roman"/>
          <w:b/>
          <w:sz w:val="24"/>
          <w:szCs w:val="24"/>
        </w:rPr>
        <w:t>, Kendler KS, Reichborn-Kjennerud T, Neale MC, Torgersen 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030BB" w:rsidRPr="00F56568">
        <w:rPr>
          <w:rFonts w:ascii="Times New Roman" w:hAnsi="Times New Roman" w:cs="Times New Roman"/>
          <w:b/>
          <w:sz w:val="24"/>
          <w:szCs w:val="24"/>
        </w:rPr>
        <w:t xml:space="preserve"> Harris JR</w:t>
      </w:r>
      <w:bookmarkStart w:id="0" w:name="_GoBack"/>
      <w:bookmarkEnd w:id="0"/>
      <w:r w:rsidR="001030BB" w:rsidRPr="00F5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BB" w:rsidRPr="00F56568">
        <w:rPr>
          <w:rFonts w:ascii="Times New Roman" w:hAnsi="Times New Roman" w:cs="Times New Roman"/>
          <w:sz w:val="24"/>
          <w:szCs w:val="24"/>
        </w:rPr>
        <w:t xml:space="preserve">(2009). </w:t>
      </w:r>
      <w:r w:rsidR="001030BB" w:rsidRPr="00E23484">
        <w:rPr>
          <w:rFonts w:ascii="Times New Roman" w:hAnsi="Times New Roman" w:cs="Times New Roman"/>
          <w:sz w:val="24"/>
          <w:szCs w:val="24"/>
          <w:lang w:val="en-US"/>
        </w:rPr>
        <w:t xml:space="preserve">The Norwegian Institute of Public Health twin study of mental health: examining recruitment and attrition bias. </w:t>
      </w:r>
      <w:proofErr w:type="spellStart"/>
      <w:r w:rsidR="001030BB" w:rsidRPr="00E23484">
        <w:rPr>
          <w:rFonts w:ascii="Times New Roman" w:hAnsi="Times New Roman" w:cs="Times New Roman"/>
          <w:i/>
          <w:sz w:val="24"/>
          <w:szCs w:val="24"/>
        </w:rPr>
        <w:t>Twin</w:t>
      </w:r>
      <w:proofErr w:type="spellEnd"/>
      <w:r w:rsidR="001030BB" w:rsidRPr="00E23484">
        <w:rPr>
          <w:rFonts w:ascii="Times New Roman" w:hAnsi="Times New Roman" w:cs="Times New Roman"/>
          <w:i/>
          <w:sz w:val="24"/>
          <w:szCs w:val="24"/>
        </w:rPr>
        <w:t xml:space="preserve"> Res</w:t>
      </w:r>
      <w:r>
        <w:rPr>
          <w:rFonts w:ascii="Times New Roman" w:hAnsi="Times New Roman" w:cs="Times New Roman"/>
          <w:i/>
          <w:sz w:val="24"/>
          <w:szCs w:val="24"/>
        </w:rPr>
        <w:t>earch and</w:t>
      </w:r>
      <w:r w:rsidR="001030BB" w:rsidRPr="00E23484">
        <w:rPr>
          <w:rFonts w:ascii="Times New Roman" w:hAnsi="Times New Roman" w:cs="Times New Roman"/>
          <w:i/>
          <w:sz w:val="24"/>
          <w:szCs w:val="24"/>
        </w:rPr>
        <w:t xml:space="preserve"> Hum</w:t>
      </w:r>
      <w:r>
        <w:rPr>
          <w:rFonts w:ascii="Times New Roman" w:hAnsi="Times New Roman" w:cs="Times New Roman"/>
          <w:i/>
          <w:sz w:val="24"/>
          <w:szCs w:val="24"/>
        </w:rPr>
        <w:t>an</w:t>
      </w:r>
      <w:r w:rsidR="001030BB" w:rsidRPr="00E23484">
        <w:rPr>
          <w:rFonts w:ascii="Times New Roman" w:hAnsi="Times New Roman" w:cs="Times New Roman"/>
          <w:i/>
          <w:sz w:val="24"/>
          <w:szCs w:val="24"/>
        </w:rPr>
        <w:t xml:space="preserve"> Genet</w:t>
      </w:r>
      <w:r>
        <w:rPr>
          <w:rFonts w:ascii="Times New Roman" w:hAnsi="Times New Roman" w:cs="Times New Roman"/>
          <w:i/>
          <w:sz w:val="24"/>
          <w:szCs w:val="24"/>
        </w:rPr>
        <w:t>ics</w:t>
      </w:r>
      <w:r w:rsidR="001030BB" w:rsidRPr="00E23484">
        <w:rPr>
          <w:rFonts w:ascii="Times New Roman" w:hAnsi="Times New Roman" w:cs="Times New Roman"/>
          <w:sz w:val="24"/>
          <w:szCs w:val="24"/>
        </w:rPr>
        <w:t xml:space="preserve"> </w:t>
      </w:r>
      <w:r w:rsidR="001030BB" w:rsidRPr="00E23484">
        <w:rPr>
          <w:rFonts w:ascii="Times New Roman" w:hAnsi="Times New Roman" w:cs="Times New Roman"/>
          <w:b/>
          <w:sz w:val="24"/>
          <w:szCs w:val="24"/>
        </w:rPr>
        <w:t>12</w:t>
      </w:r>
      <w:r w:rsidR="001030BB" w:rsidRPr="00E23484">
        <w:rPr>
          <w:rFonts w:ascii="Times New Roman" w:hAnsi="Times New Roman" w:cs="Times New Roman"/>
          <w:sz w:val="24"/>
          <w:szCs w:val="24"/>
        </w:rPr>
        <w:t>, 158-68.</w:t>
      </w:r>
    </w:p>
    <w:sectPr w:rsidR="00E54773" w:rsidRPr="007D17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13" w:rsidRDefault="00A36013" w:rsidP="009D1A1E">
      <w:pPr>
        <w:spacing w:after="0" w:line="240" w:lineRule="auto"/>
      </w:pPr>
      <w:r>
        <w:separator/>
      </w:r>
    </w:p>
  </w:endnote>
  <w:endnote w:type="continuationSeparator" w:id="0">
    <w:p w:rsidR="00A36013" w:rsidRDefault="00A36013" w:rsidP="009D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349815"/>
      <w:docPartObj>
        <w:docPartGallery w:val="Page Numbers (Bottom of Page)"/>
        <w:docPartUnique/>
      </w:docPartObj>
    </w:sdtPr>
    <w:sdtEndPr/>
    <w:sdtContent>
      <w:p w:rsidR="009D1A1E" w:rsidRDefault="009D1A1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68">
          <w:rPr>
            <w:noProof/>
          </w:rPr>
          <w:t>6</w:t>
        </w:r>
        <w:r>
          <w:fldChar w:fldCharType="end"/>
        </w:r>
      </w:p>
    </w:sdtContent>
  </w:sdt>
  <w:p w:rsidR="009D1A1E" w:rsidRDefault="009D1A1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13" w:rsidRDefault="00A36013" w:rsidP="009D1A1E">
      <w:pPr>
        <w:spacing w:after="0" w:line="240" w:lineRule="auto"/>
      </w:pPr>
      <w:r>
        <w:separator/>
      </w:r>
    </w:p>
  </w:footnote>
  <w:footnote w:type="continuationSeparator" w:id="0">
    <w:p w:rsidR="00A36013" w:rsidRDefault="00A36013" w:rsidP="009D1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0"/>
    <w:rsid w:val="000157EB"/>
    <w:rsid w:val="00063CEA"/>
    <w:rsid w:val="00076668"/>
    <w:rsid w:val="00100C2C"/>
    <w:rsid w:val="001030BB"/>
    <w:rsid w:val="00171072"/>
    <w:rsid w:val="002328C8"/>
    <w:rsid w:val="003C45DF"/>
    <w:rsid w:val="00470C5B"/>
    <w:rsid w:val="004E67D8"/>
    <w:rsid w:val="00544986"/>
    <w:rsid w:val="00592F2F"/>
    <w:rsid w:val="005C5262"/>
    <w:rsid w:val="0063247F"/>
    <w:rsid w:val="00686FFA"/>
    <w:rsid w:val="006D06F7"/>
    <w:rsid w:val="007919C1"/>
    <w:rsid w:val="007C02F6"/>
    <w:rsid w:val="007D171C"/>
    <w:rsid w:val="007F2671"/>
    <w:rsid w:val="00807F3F"/>
    <w:rsid w:val="008E54B2"/>
    <w:rsid w:val="00905BFD"/>
    <w:rsid w:val="009D1A1E"/>
    <w:rsid w:val="00A36013"/>
    <w:rsid w:val="00AB4AA9"/>
    <w:rsid w:val="00B262D9"/>
    <w:rsid w:val="00BA2F70"/>
    <w:rsid w:val="00BD18E7"/>
    <w:rsid w:val="00BF1E0A"/>
    <w:rsid w:val="00C208C9"/>
    <w:rsid w:val="00C959A9"/>
    <w:rsid w:val="00D42559"/>
    <w:rsid w:val="00DA4FDB"/>
    <w:rsid w:val="00DB7867"/>
    <w:rsid w:val="00E23484"/>
    <w:rsid w:val="00E54773"/>
    <w:rsid w:val="00E934AA"/>
    <w:rsid w:val="00EB05DC"/>
    <w:rsid w:val="00F23B4E"/>
    <w:rsid w:val="00F56568"/>
    <w:rsid w:val="00F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8A19C-02BF-41A2-B864-89A0E6FF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67D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D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1A1E"/>
  </w:style>
  <w:style w:type="paragraph" w:styleId="Bunntekst">
    <w:name w:val="footer"/>
    <w:basedOn w:val="Normal"/>
    <w:link w:val="BunntekstTegn"/>
    <w:uiPriority w:val="99"/>
    <w:unhideWhenUsed/>
    <w:rsid w:val="009D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1A1E"/>
  </w:style>
  <w:style w:type="character" w:styleId="Merknadsreferanse">
    <w:name w:val="annotation reference"/>
    <w:basedOn w:val="Standardskriftforavsnitt"/>
    <w:uiPriority w:val="99"/>
    <w:semiHidden/>
    <w:unhideWhenUsed/>
    <w:rsid w:val="00BF1E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1E0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1E0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1E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F1E0A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Tegn"/>
    <w:rsid w:val="002328C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2328C8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1401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FHI</dc:creator>
  <cp:lastModifiedBy>Reichborn-Kjennerud, Ted</cp:lastModifiedBy>
  <cp:revision>4</cp:revision>
  <cp:lastPrinted>2017-01-05T14:25:00Z</cp:lastPrinted>
  <dcterms:created xsi:type="dcterms:W3CDTF">2017-03-08T10:34:00Z</dcterms:created>
  <dcterms:modified xsi:type="dcterms:W3CDTF">2017-03-10T14:50:00Z</dcterms:modified>
</cp:coreProperties>
</file>