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D4A" w:rsidRPr="00A0556F" w:rsidRDefault="004612C5" w:rsidP="00333D4A">
      <w:pPr>
        <w:spacing w:after="0"/>
        <w:jc w:val="both"/>
        <w:rPr>
          <w:rFonts w:ascii="Times New Roman" w:hAnsi="Times New Roman"/>
          <w:b/>
          <w:sz w:val="24"/>
          <w:szCs w:val="24"/>
        </w:rPr>
      </w:pPr>
      <w:r>
        <w:rPr>
          <w:rFonts w:ascii="Times New Roman" w:hAnsi="Times New Roman"/>
          <w:b/>
          <w:sz w:val="24"/>
          <w:szCs w:val="24"/>
        </w:rPr>
        <w:t xml:space="preserve">Other </w:t>
      </w:r>
      <w:r w:rsidR="00333D4A" w:rsidRPr="00A0556F">
        <w:rPr>
          <w:rFonts w:ascii="Times New Roman" w:hAnsi="Times New Roman"/>
          <w:b/>
          <w:sz w:val="24"/>
          <w:szCs w:val="24"/>
        </w:rPr>
        <w:t>Supplementary Material</w:t>
      </w:r>
    </w:p>
    <w:p w:rsidR="00333D4A" w:rsidRPr="00C62A37" w:rsidRDefault="00333D4A" w:rsidP="00333D4A">
      <w:pPr>
        <w:spacing w:after="0"/>
        <w:jc w:val="both"/>
        <w:rPr>
          <w:rFonts w:ascii="Times New Roman" w:hAnsi="Times New Roman"/>
          <w:sz w:val="24"/>
          <w:szCs w:val="24"/>
        </w:rPr>
      </w:pPr>
      <w:r w:rsidRPr="00C62A37">
        <w:rPr>
          <w:rFonts w:ascii="Times New Roman" w:hAnsi="Times New Roman"/>
          <w:sz w:val="24"/>
          <w:szCs w:val="24"/>
        </w:rPr>
        <w:t xml:space="preserve">In addition to </w:t>
      </w:r>
      <w:proofErr w:type="spellStart"/>
      <w:r w:rsidRPr="00C62A37">
        <w:rPr>
          <w:rFonts w:ascii="Times New Roman" w:hAnsi="Times New Roman"/>
          <w:sz w:val="24"/>
          <w:szCs w:val="24"/>
        </w:rPr>
        <w:t>analysing</w:t>
      </w:r>
      <w:proofErr w:type="spellEnd"/>
      <w:r w:rsidRPr="00C62A37">
        <w:rPr>
          <w:rFonts w:ascii="Times New Roman" w:hAnsi="Times New Roman"/>
          <w:sz w:val="24"/>
          <w:szCs w:val="24"/>
        </w:rPr>
        <w:t xml:space="preserve"> data regarding transition from SIPD to schizophrenia, we also </w:t>
      </w:r>
      <w:proofErr w:type="spellStart"/>
      <w:r w:rsidRPr="00C62A37">
        <w:rPr>
          <w:rFonts w:ascii="Times New Roman" w:hAnsi="Times New Roman"/>
          <w:sz w:val="24"/>
          <w:szCs w:val="24"/>
        </w:rPr>
        <w:t>analysed</w:t>
      </w:r>
      <w:proofErr w:type="spellEnd"/>
      <w:r w:rsidRPr="00C62A37">
        <w:rPr>
          <w:rFonts w:ascii="Times New Roman" w:hAnsi="Times New Roman"/>
          <w:sz w:val="24"/>
          <w:szCs w:val="24"/>
        </w:rPr>
        <w:t xml:space="preserve"> the transition from SIPD to a broader diagnostic category of schizophrenia-spectrum disorders. This allowed comparison to be made with other published studies</w:t>
      </w:r>
      <w:r>
        <w:rPr>
          <w:rFonts w:ascii="Times New Roman" w:hAnsi="Times New Roman"/>
          <w:sz w:val="24"/>
          <w:szCs w:val="24"/>
        </w:rPr>
        <w:t xml:space="preserve"> (Arendt </w:t>
      </w:r>
      <w:r w:rsidRPr="00C62A37">
        <w:rPr>
          <w:rFonts w:ascii="Times New Roman" w:hAnsi="Times New Roman"/>
          <w:i/>
          <w:sz w:val="24"/>
          <w:szCs w:val="24"/>
        </w:rPr>
        <w:t>et al</w:t>
      </w:r>
      <w:r>
        <w:rPr>
          <w:rFonts w:ascii="Times New Roman" w:hAnsi="Times New Roman"/>
          <w:sz w:val="24"/>
          <w:szCs w:val="24"/>
        </w:rPr>
        <w:t xml:space="preserve"> 2005; </w:t>
      </w:r>
      <w:proofErr w:type="spellStart"/>
      <w:r>
        <w:rPr>
          <w:rFonts w:ascii="Times New Roman" w:hAnsi="Times New Roman"/>
          <w:sz w:val="24"/>
          <w:szCs w:val="24"/>
        </w:rPr>
        <w:t>Niemi-Pynttari</w:t>
      </w:r>
      <w:proofErr w:type="spellEnd"/>
      <w:r>
        <w:rPr>
          <w:rFonts w:ascii="Times New Roman" w:hAnsi="Times New Roman"/>
          <w:sz w:val="24"/>
          <w:szCs w:val="24"/>
        </w:rPr>
        <w:t xml:space="preserve"> </w:t>
      </w:r>
      <w:r w:rsidRPr="00C62A37">
        <w:rPr>
          <w:rFonts w:ascii="Times New Roman" w:hAnsi="Times New Roman"/>
          <w:i/>
          <w:sz w:val="24"/>
          <w:szCs w:val="24"/>
        </w:rPr>
        <w:t>et al</w:t>
      </w:r>
      <w:r>
        <w:rPr>
          <w:rFonts w:ascii="Times New Roman" w:hAnsi="Times New Roman"/>
          <w:sz w:val="24"/>
          <w:szCs w:val="24"/>
        </w:rPr>
        <w:t xml:space="preserve"> 2013)</w:t>
      </w:r>
      <w:r w:rsidRPr="00C62A37">
        <w:rPr>
          <w:rFonts w:ascii="Times New Roman" w:hAnsi="Times New Roman"/>
          <w:sz w:val="24"/>
          <w:szCs w:val="24"/>
        </w:rPr>
        <w:t>, which also used this broader definition.</w:t>
      </w:r>
    </w:p>
    <w:p w:rsidR="00333D4A" w:rsidRPr="00A0556F" w:rsidRDefault="00333D4A" w:rsidP="00333D4A">
      <w:pPr>
        <w:spacing w:after="0"/>
        <w:jc w:val="both"/>
        <w:rPr>
          <w:rFonts w:ascii="Times New Roman" w:hAnsi="Times New Roman"/>
          <w:b/>
          <w:sz w:val="24"/>
          <w:szCs w:val="24"/>
        </w:rPr>
      </w:pPr>
    </w:p>
    <w:p w:rsidR="00333D4A" w:rsidRPr="00C62A37" w:rsidRDefault="00333D4A" w:rsidP="00333D4A">
      <w:pPr>
        <w:spacing w:after="0"/>
        <w:jc w:val="both"/>
        <w:rPr>
          <w:rFonts w:ascii="Times New Roman" w:hAnsi="Times New Roman"/>
          <w:b/>
          <w:sz w:val="24"/>
          <w:szCs w:val="24"/>
        </w:rPr>
      </w:pPr>
      <w:r w:rsidRPr="00C62A37">
        <w:rPr>
          <w:rFonts w:ascii="Times New Roman" w:hAnsi="Times New Roman"/>
          <w:b/>
          <w:sz w:val="24"/>
          <w:szCs w:val="24"/>
        </w:rPr>
        <w:t>Methods</w:t>
      </w:r>
    </w:p>
    <w:p w:rsidR="00333D4A" w:rsidRPr="00C62A37" w:rsidRDefault="00333D4A" w:rsidP="00333D4A">
      <w:pPr>
        <w:spacing w:after="0" w:line="240" w:lineRule="auto"/>
        <w:jc w:val="both"/>
        <w:rPr>
          <w:rFonts w:ascii="Times New Roman" w:hAnsi="Times New Roman"/>
          <w:sz w:val="24"/>
          <w:szCs w:val="24"/>
        </w:rPr>
      </w:pPr>
      <w:r w:rsidRPr="00C62A37">
        <w:rPr>
          <w:rFonts w:ascii="Times New Roman" w:hAnsi="Times New Roman"/>
          <w:sz w:val="24"/>
          <w:szCs w:val="24"/>
        </w:rPr>
        <w:t>Schizophrenia spectrum disorders were considered to be diagnoses coded F22 and F23, persistent delusional disorder and acute and transient psychotic disorders, respectively, plus schizophrenia (F20). Methods were otherwise as above.</w:t>
      </w:r>
    </w:p>
    <w:p w:rsidR="00333D4A" w:rsidRPr="00A0556F" w:rsidRDefault="00333D4A" w:rsidP="00333D4A">
      <w:pPr>
        <w:spacing w:after="0" w:line="240" w:lineRule="auto"/>
        <w:jc w:val="both"/>
        <w:rPr>
          <w:rFonts w:ascii="Times New Roman" w:hAnsi="Times New Roman"/>
          <w:b/>
          <w:sz w:val="24"/>
          <w:szCs w:val="24"/>
        </w:rPr>
      </w:pPr>
    </w:p>
    <w:p w:rsidR="00333D4A" w:rsidRPr="00C62A37" w:rsidRDefault="00333D4A" w:rsidP="00333D4A">
      <w:pPr>
        <w:spacing w:after="0" w:line="240" w:lineRule="auto"/>
        <w:jc w:val="both"/>
        <w:rPr>
          <w:rFonts w:ascii="Times New Roman" w:hAnsi="Times New Roman"/>
          <w:b/>
          <w:sz w:val="24"/>
          <w:szCs w:val="24"/>
        </w:rPr>
      </w:pPr>
      <w:r w:rsidRPr="00C62A37">
        <w:rPr>
          <w:rFonts w:ascii="Times New Roman" w:hAnsi="Times New Roman"/>
          <w:b/>
          <w:sz w:val="24"/>
          <w:szCs w:val="24"/>
        </w:rPr>
        <w:t>Results</w:t>
      </w:r>
    </w:p>
    <w:p w:rsidR="00333D4A" w:rsidRPr="00C62A37" w:rsidRDefault="00333D4A" w:rsidP="00333D4A">
      <w:pPr>
        <w:spacing w:after="0"/>
        <w:jc w:val="both"/>
        <w:rPr>
          <w:rFonts w:ascii="Times New Roman" w:hAnsi="Times New Roman"/>
          <w:sz w:val="24"/>
          <w:szCs w:val="24"/>
        </w:rPr>
      </w:pPr>
      <w:r w:rsidRPr="00C62A37">
        <w:rPr>
          <w:rFonts w:ascii="Times New Roman" w:hAnsi="Times New Roman"/>
          <w:b/>
          <w:sz w:val="24"/>
          <w:szCs w:val="24"/>
        </w:rPr>
        <w:t>Whole sample characteristics</w:t>
      </w:r>
    </w:p>
    <w:p w:rsidR="00333D4A" w:rsidRPr="00C62A37" w:rsidRDefault="00333D4A" w:rsidP="00333D4A">
      <w:pPr>
        <w:spacing w:after="0"/>
        <w:jc w:val="both"/>
        <w:rPr>
          <w:rFonts w:ascii="Times New Roman" w:hAnsi="Times New Roman"/>
          <w:sz w:val="24"/>
          <w:szCs w:val="24"/>
        </w:rPr>
      </w:pPr>
      <w:r w:rsidRPr="00C62A37">
        <w:rPr>
          <w:rFonts w:ascii="Times New Roman" w:hAnsi="Times New Roman"/>
          <w:sz w:val="24"/>
          <w:szCs w:val="24"/>
        </w:rPr>
        <w:t xml:space="preserve">Table </w:t>
      </w:r>
      <w:r>
        <w:rPr>
          <w:rFonts w:ascii="Times New Roman" w:hAnsi="Times New Roman"/>
          <w:sz w:val="24"/>
          <w:szCs w:val="24"/>
        </w:rPr>
        <w:t>One</w:t>
      </w:r>
      <w:r w:rsidRPr="00C62A37">
        <w:rPr>
          <w:rFonts w:ascii="Times New Roman" w:hAnsi="Times New Roman"/>
          <w:sz w:val="24"/>
          <w:szCs w:val="24"/>
        </w:rPr>
        <w:t xml:space="preserve"> </w:t>
      </w:r>
      <w:proofErr w:type="spellStart"/>
      <w:r w:rsidRPr="00C62A37">
        <w:rPr>
          <w:rFonts w:ascii="Times New Roman" w:hAnsi="Times New Roman"/>
          <w:sz w:val="24"/>
          <w:szCs w:val="24"/>
        </w:rPr>
        <w:t>summarises</w:t>
      </w:r>
      <w:proofErr w:type="spellEnd"/>
      <w:r w:rsidRPr="00C62A37">
        <w:rPr>
          <w:rFonts w:ascii="Times New Roman" w:hAnsi="Times New Roman"/>
          <w:sz w:val="24"/>
          <w:szCs w:val="24"/>
        </w:rPr>
        <w:t xml:space="preserve"> results for those with the diagnosis of schizophrenia spectrum disorders (F20, F22 and 23), of whom 720 patients were identified (20</w:t>
      </w:r>
      <w:r>
        <w:rPr>
          <w:rFonts w:ascii="Times New Roman" w:hAnsi="Times New Roman"/>
          <w:sz w:val="24"/>
          <w:szCs w:val="24"/>
        </w:rPr>
        <w:t>.</w:t>
      </w:r>
      <w:r w:rsidRPr="00C62A37">
        <w:rPr>
          <w:rFonts w:ascii="Times New Roman" w:hAnsi="Times New Roman"/>
          <w:sz w:val="24"/>
          <w:szCs w:val="24"/>
        </w:rPr>
        <w:t>7%). Compared to those who were not later admitted to hospital with this diagnosis, the male to female ratio of 4</w:t>
      </w:r>
      <w:r>
        <w:rPr>
          <w:rFonts w:ascii="Times New Roman" w:hAnsi="Times New Roman"/>
          <w:sz w:val="24"/>
          <w:szCs w:val="24"/>
        </w:rPr>
        <w:t>.</w:t>
      </w:r>
      <w:r w:rsidRPr="00C62A37">
        <w:rPr>
          <w:rFonts w:ascii="Times New Roman" w:hAnsi="Times New Roman"/>
          <w:sz w:val="24"/>
          <w:szCs w:val="24"/>
        </w:rPr>
        <w:t xml:space="preserve">5:1 remained significantly </w:t>
      </w:r>
      <w:proofErr w:type="gramStart"/>
      <w:r w:rsidRPr="00C62A37">
        <w:rPr>
          <w:rFonts w:ascii="Times New Roman" w:hAnsi="Times New Roman"/>
          <w:sz w:val="24"/>
          <w:szCs w:val="24"/>
        </w:rPr>
        <w:t>higher  (</w:t>
      </w:r>
      <w:proofErr w:type="gramEnd"/>
      <w:r w:rsidRPr="00C62A37">
        <w:rPr>
          <w:rFonts w:ascii="Times New Roman" w:hAnsi="Times New Roman"/>
          <w:sz w:val="24"/>
          <w:szCs w:val="24"/>
        </w:rPr>
        <w:t>χ</w:t>
      </w:r>
      <w:r w:rsidRPr="00C62A37">
        <w:rPr>
          <w:rFonts w:ascii="Times New Roman" w:hAnsi="Times New Roman"/>
          <w:sz w:val="24"/>
          <w:szCs w:val="24"/>
          <w:vertAlign w:val="superscript"/>
        </w:rPr>
        <w:t>2</w:t>
      </w:r>
      <w:r w:rsidRPr="00C62A37">
        <w:rPr>
          <w:rFonts w:ascii="Times New Roman" w:hAnsi="Times New Roman"/>
          <w:sz w:val="24"/>
          <w:szCs w:val="24"/>
        </w:rPr>
        <w:t xml:space="preserve">(1, </w:t>
      </w:r>
      <w:r w:rsidRPr="00C62A37">
        <w:rPr>
          <w:rFonts w:ascii="Times New Roman" w:hAnsi="Times New Roman"/>
          <w:i/>
          <w:iCs/>
          <w:sz w:val="24"/>
          <w:szCs w:val="24"/>
        </w:rPr>
        <w:t>N</w:t>
      </w:r>
      <w:r w:rsidRPr="00C62A37">
        <w:rPr>
          <w:rFonts w:ascii="Times New Roman" w:hAnsi="Times New Roman"/>
          <w:sz w:val="24"/>
          <w:szCs w:val="24"/>
        </w:rPr>
        <w:t xml:space="preserve"> = 3486) =19</w:t>
      </w:r>
      <w:r>
        <w:rPr>
          <w:rFonts w:ascii="Times New Roman" w:hAnsi="Times New Roman"/>
          <w:sz w:val="24"/>
          <w:szCs w:val="24"/>
        </w:rPr>
        <w:t>.</w:t>
      </w:r>
      <w:r w:rsidRPr="00C62A37">
        <w:rPr>
          <w:rFonts w:ascii="Times New Roman" w:hAnsi="Times New Roman"/>
          <w:sz w:val="24"/>
          <w:szCs w:val="24"/>
        </w:rPr>
        <w:t xml:space="preserve">17, </w:t>
      </w:r>
      <w:r w:rsidRPr="00C62A37">
        <w:rPr>
          <w:rFonts w:ascii="Times New Roman" w:hAnsi="Times New Roman"/>
          <w:i/>
          <w:iCs/>
          <w:sz w:val="24"/>
          <w:szCs w:val="24"/>
        </w:rPr>
        <w:t>p</w:t>
      </w:r>
      <w:r w:rsidRPr="00C62A37">
        <w:rPr>
          <w:rFonts w:ascii="Times New Roman" w:hAnsi="Times New Roman"/>
          <w:sz w:val="24"/>
          <w:szCs w:val="24"/>
        </w:rPr>
        <w:t>&lt;0</w:t>
      </w:r>
      <w:r>
        <w:rPr>
          <w:rFonts w:ascii="Times New Roman" w:hAnsi="Times New Roman"/>
          <w:sz w:val="24"/>
          <w:szCs w:val="24"/>
        </w:rPr>
        <w:t>.</w:t>
      </w:r>
      <w:r w:rsidRPr="00C62A37">
        <w:rPr>
          <w:rFonts w:ascii="Times New Roman" w:hAnsi="Times New Roman"/>
          <w:sz w:val="24"/>
          <w:szCs w:val="24"/>
        </w:rPr>
        <w:t>001), there was a statistically significant younger age of first presentation of 29</w:t>
      </w:r>
      <w:r>
        <w:rPr>
          <w:rFonts w:ascii="Times New Roman" w:hAnsi="Times New Roman"/>
          <w:sz w:val="24"/>
          <w:szCs w:val="24"/>
        </w:rPr>
        <w:t>.</w:t>
      </w:r>
      <w:r w:rsidRPr="00C62A37">
        <w:rPr>
          <w:rFonts w:ascii="Times New Roman" w:hAnsi="Times New Roman"/>
          <w:sz w:val="24"/>
          <w:szCs w:val="24"/>
        </w:rPr>
        <w:t>5 years (SD=10</w:t>
      </w:r>
      <w:r>
        <w:rPr>
          <w:rFonts w:ascii="Times New Roman" w:hAnsi="Times New Roman"/>
          <w:sz w:val="24"/>
          <w:szCs w:val="24"/>
        </w:rPr>
        <w:t>.</w:t>
      </w:r>
      <w:r w:rsidRPr="00C62A37">
        <w:rPr>
          <w:rFonts w:ascii="Times New Roman" w:hAnsi="Times New Roman"/>
          <w:sz w:val="24"/>
          <w:szCs w:val="24"/>
        </w:rPr>
        <w:t>7) vs 34</w:t>
      </w:r>
      <w:r>
        <w:rPr>
          <w:rFonts w:ascii="Times New Roman" w:hAnsi="Times New Roman"/>
          <w:sz w:val="24"/>
          <w:szCs w:val="24"/>
        </w:rPr>
        <w:t>.</w:t>
      </w:r>
      <w:r w:rsidRPr="00C62A37">
        <w:rPr>
          <w:rFonts w:ascii="Times New Roman" w:hAnsi="Times New Roman"/>
          <w:sz w:val="24"/>
          <w:szCs w:val="24"/>
        </w:rPr>
        <w:t>8 years (SD=13</w:t>
      </w:r>
      <w:r>
        <w:rPr>
          <w:rFonts w:ascii="Times New Roman" w:hAnsi="Times New Roman"/>
          <w:sz w:val="24"/>
          <w:szCs w:val="24"/>
        </w:rPr>
        <w:t>.</w:t>
      </w:r>
      <w:r w:rsidRPr="00C62A37">
        <w:rPr>
          <w:rFonts w:ascii="Times New Roman" w:hAnsi="Times New Roman"/>
          <w:sz w:val="24"/>
          <w:szCs w:val="24"/>
        </w:rPr>
        <w:t xml:space="preserve">3); </w:t>
      </w:r>
      <w:r w:rsidRPr="00C62A37">
        <w:rPr>
          <w:rFonts w:ascii="Times New Roman" w:hAnsi="Times New Roman"/>
          <w:i/>
          <w:sz w:val="24"/>
          <w:szCs w:val="24"/>
        </w:rPr>
        <w:t>t</w:t>
      </w:r>
      <w:r w:rsidRPr="00C62A37">
        <w:rPr>
          <w:rFonts w:ascii="Times New Roman" w:hAnsi="Times New Roman"/>
          <w:sz w:val="24"/>
          <w:szCs w:val="24"/>
        </w:rPr>
        <w:t>(1357)=11</w:t>
      </w:r>
      <w:r>
        <w:rPr>
          <w:rFonts w:ascii="Times New Roman" w:hAnsi="Times New Roman"/>
          <w:sz w:val="24"/>
          <w:szCs w:val="24"/>
        </w:rPr>
        <w:t>.</w:t>
      </w:r>
      <w:r w:rsidRPr="00C62A37">
        <w:rPr>
          <w:rFonts w:ascii="Times New Roman" w:hAnsi="Times New Roman"/>
          <w:sz w:val="24"/>
          <w:szCs w:val="24"/>
        </w:rPr>
        <w:t xml:space="preserve">37, </w:t>
      </w:r>
      <w:r w:rsidRPr="00C62A37">
        <w:rPr>
          <w:rFonts w:ascii="Times New Roman" w:hAnsi="Times New Roman"/>
          <w:i/>
          <w:sz w:val="24"/>
          <w:szCs w:val="24"/>
        </w:rPr>
        <w:t>p</w:t>
      </w:r>
      <w:r w:rsidRPr="00C62A37">
        <w:rPr>
          <w:rFonts w:ascii="Times New Roman" w:hAnsi="Times New Roman"/>
          <w:sz w:val="24"/>
          <w:szCs w:val="24"/>
        </w:rPr>
        <w:t>&lt;0</w:t>
      </w:r>
      <w:r>
        <w:rPr>
          <w:rFonts w:ascii="Times New Roman" w:hAnsi="Times New Roman"/>
          <w:sz w:val="24"/>
          <w:szCs w:val="24"/>
        </w:rPr>
        <w:t>.</w:t>
      </w:r>
      <w:r w:rsidRPr="00C62A37">
        <w:rPr>
          <w:rFonts w:ascii="Times New Roman" w:hAnsi="Times New Roman"/>
          <w:sz w:val="24"/>
          <w:szCs w:val="24"/>
        </w:rPr>
        <w:t>001 and mean length of stay in hospital was longer but again not statistically significant: 34</w:t>
      </w:r>
      <w:r>
        <w:rPr>
          <w:rFonts w:ascii="Times New Roman" w:hAnsi="Times New Roman"/>
          <w:sz w:val="24"/>
          <w:szCs w:val="24"/>
        </w:rPr>
        <w:t>.</w:t>
      </w:r>
      <w:r w:rsidRPr="00C62A37">
        <w:rPr>
          <w:rFonts w:ascii="Times New Roman" w:hAnsi="Times New Roman"/>
          <w:sz w:val="24"/>
          <w:szCs w:val="24"/>
        </w:rPr>
        <w:t>4 days (SD=160</w:t>
      </w:r>
      <w:r>
        <w:rPr>
          <w:rFonts w:ascii="Times New Roman" w:hAnsi="Times New Roman"/>
          <w:sz w:val="24"/>
          <w:szCs w:val="24"/>
        </w:rPr>
        <w:t>.</w:t>
      </w:r>
      <w:r w:rsidRPr="00C62A37">
        <w:rPr>
          <w:rFonts w:ascii="Times New Roman" w:hAnsi="Times New Roman"/>
          <w:sz w:val="24"/>
          <w:szCs w:val="24"/>
        </w:rPr>
        <w:t>6) vs. 30</w:t>
      </w:r>
      <w:r>
        <w:rPr>
          <w:rFonts w:ascii="Times New Roman" w:hAnsi="Times New Roman"/>
          <w:sz w:val="24"/>
          <w:szCs w:val="24"/>
        </w:rPr>
        <w:t>.</w:t>
      </w:r>
      <w:r w:rsidRPr="00C62A37">
        <w:rPr>
          <w:rFonts w:ascii="Times New Roman" w:hAnsi="Times New Roman"/>
          <w:sz w:val="24"/>
          <w:szCs w:val="24"/>
        </w:rPr>
        <w:t>3 days (SD=491</w:t>
      </w:r>
      <w:r>
        <w:rPr>
          <w:rFonts w:ascii="Times New Roman" w:hAnsi="Times New Roman"/>
          <w:sz w:val="24"/>
          <w:szCs w:val="24"/>
        </w:rPr>
        <w:t>.</w:t>
      </w:r>
      <w:r w:rsidRPr="00C62A37">
        <w:rPr>
          <w:rFonts w:ascii="Times New Roman" w:hAnsi="Times New Roman"/>
          <w:sz w:val="24"/>
          <w:szCs w:val="24"/>
        </w:rPr>
        <w:t>7);</w:t>
      </w:r>
      <w:r w:rsidRPr="00C62A37">
        <w:rPr>
          <w:rFonts w:ascii="Times New Roman" w:hAnsi="Times New Roman"/>
          <w:i/>
          <w:sz w:val="24"/>
          <w:szCs w:val="24"/>
        </w:rPr>
        <w:t xml:space="preserve"> t</w:t>
      </w:r>
      <w:r w:rsidRPr="00C62A37">
        <w:rPr>
          <w:rFonts w:ascii="Times New Roman" w:hAnsi="Times New Roman"/>
          <w:sz w:val="24"/>
          <w:szCs w:val="24"/>
        </w:rPr>
        <w:t>(3339)=-0</w:t>
      </w:r>
      <w:r>
        <w:rPr>
          <w:rFonts w:ascii="Times New Roman" w:hAnsi="Times New Roman"/>
          <w:sz w:val="24"/>
          <w:szCs w:val="24"/>
        </w:rPr>
        <w:t>.</w:t>
      </w:r>
      <w:r w:rsidRPr="00C62A37">
        <w:rPr>
          <w:rFonts w:ascii="Times New Roman" w:hAnsi="Times New Roman"/>
          <w:sz w:val="24"/>
          <w:szCs w:val="24"/>
        </w:rPr>
        <w:t xml:space="preserve">37, </w:t>
      </w:r>
      <w:r w:rsidRPr="00C62A37">
        <w:rPr>
          <w:rFonts w:ascii="Times New Roman" w:hAnsi="Times New Roman"/>
          <w:i/>
          <w:sz w:val="24"/>
          <w:szCs w:val="24"/>
        </w:rPr>
        <w:t>p</w:t>
      </w:r>
      <w:r w:rsidRPr="00C62A37">
        <w:rPr>
          <w:rFonts w:ascii="Times New Roman" w:hAnsi="Times New Roman"/>
          <w:sz w:val="24"/>
          <w:szCs w:val="24"/>
        </w:rPr>
        <w:t>=0</w:t>
      </w:r>
      <w:r>
        <w:rPr>
          <w:rFonts w:ascii="Times New Roman" w:hAnsi="Times New Roman"/>
          <w:sz w:val="24"/>
          <w:szCs w:val="24"/>
        </w:rPr>
        <w:t>.</w:t>
      </w:r>
      <w:r w:rsidRPr="00C62A37">
        <w:rPr>
          <w:rFonts w:ascii="Times New Roman" w:hAnsi="Times New Roman"/>
          <w:sz w:val="24"/>
          <w:szCs w:val="24"/>
        </w:rPr>
        <w:t>715.</w:t>
      </w:r>
    </w:p>
    <w:p w:rsidR="00333D4A" w:rsidRPr="00C62A37" w:rsidRDefault="00333D4A" w:rsidP="00333D4A">
      <w:pPr>
        <w:spacing w:after="0" w:line="240" w:lineRule="auto"/>
        <w:jc w:val="both"/>
        <w:rPr>
          <w:rFonts w:ascii="Times New Roman" w:hAnsi="Times New Roman"/>
          <w:b/>
          <w:sz w:val="24"/>
          <w:szCs w:val="24"/>
        </w:rPr>
      </w:pPr>
    </w:p>
    <w:p w:rsidR="00333D4A" w:rsidRPr="00A0556F" w:rsidRDefault="00333D4A" w:rsidP="00333D4A">
      <w:pPr>
        <w:spacing w:after="0"/>
        <w:jc w:val="both"/>
        <w:rPr>
          <w:rFonts w:ascii="Times New Roman" w:hAnsi="Times New Roman"/>
          <w:b/>
          <w:sz w:val="24"/>
          <w:szCs w:val="24"/>
        </w:rPr>
      </w:pPr>
      <w:r w:rsidRPr="00A0556F">
        <w:rPr>
          <w:rFonts w:ascii="Times New Roman" w:hAnsi="Times New Roman"/>
          <w:b/>
          <w:sz w:val="24"/>
          <w:szCs w:val="24"/>
        </w:rPr>
        <w:t>Whole sample transition rate and mean time to change to schizophrenia spectrum disorders</w:t>
      </w:r>
    </w:p>
    <w:p w:rsidR="00333D4A" w:rsidRPr="00C62A37" w:rsidRDefault="00333D4A" w:rsidP="00333D4A">
      <w:pPr>
        <w:spacing w:after="0"/>
        <w:jc w:val="both"/>
        <w:rPr>
          <w:rFonts w:ascii="Times New Roman" w:hAnsi="Times New Roman"/>
          <w:sz w:val="24"/>
          <w:szCs w:val="24"/>
        </w:rPr>
      </w:pPr>
      <w:r w:rsidRPr="00C62A37">
        <w:rPr>
          <w:rFonts w:ascii="Times New Roman" w:hAnsi="Times New Roman"/>
          <w:sz w:val="24"/>
          <w:szCs w:val="24"/>
        </w:rPr>
        <w:t>Kaplan-Meier survival analysis with censoring over the full 15</w:t>
      </w:r>
      <w:r>
        <w:rPr>
          <w:rFonts w:ascii="Times New Roman" w:hAnsi="Times New Roman"/>
          <w:sz w:val="24"/>
          <w:szCs w:val="24"/>
        </w:rPr>
        <w:t>.</w:t>
      </w:r>
      <w:r w:rsidRPr="00C62A37">
        <w:rPr>
          <w:rFonts w:ascii="Times New Roman" w:hAnsi="Times New Roman"/>
          <w:sz w:val="24"/>
          <w:szCs w:val="24"/>
        </w:rPr>
        <w:t>5-year period revealed the mean survival time of the entire dataset from first recorded diagnosis of SIPD to specific diagnosis of schizophrenia spectrum disorder to be 12</w:t>
      </w:r>
      <w:r>
        <w:rPr>
          <w:rFonts w:ascii="Times New Roman" w:hAnsi="Times New Roman"/>
          <w:sz w:val="24"/>
          <w:szCs w:val="24"/>
        </w:rPr>
        <w:t>.</w:t>
      </w:r>
      <w:r w:rsidRPr="00C62A37">
        <w:rPr>
          <w:rFonts w:ascii="Times New Roman" w:hAnsi="Times New Roman"/>
          <w:sz w:val="24"/>
          <w:szCs w:val="24"/>
        </w:rPr>
        <w:t>5 years (95%CI: 12</w:t>
      </w:r>
      <w:r>
        <w:rPr>
          <w:rFonts w:ascii="Times New Roman" w:hAnsi="Times New Roman"/>
          <w:sz w:val="24"/>
          <w:szCs w:val="24"/>
        </w:rPr>
        <w:t>.</w:t>
      </w:r>
      <w:r w:rsidRPr="00C62A37">
        <w:rPr>
          <w:rFonts w:ascii="Times New Roman" w:hAnsi="Times New Roman"/>
          <w:sz w:val="24"/>
          <w:szCs w:val="24"/>
        </w:rPr>
        <w:t>3-12</w:t>
      </w:r>
      <w:r>
        <w:rPr>
          <w:rFonts w:ascii="Times New Roman" w:hAnsi="Times New Roman"/>
          <w:sz w:val="24"/>
          <w:szCs w:val="24"/>
        </w:rPr>
        <w:t>.</w:t>
      </w:r>
      <w:r w:rsidRPr="00C62A37">
        <w:rPr>
          <w:rFonts w:ascii="Times New Roman" w:hAnsi="Times New Roman"/>
          <w:sz w:val="24"/>
          <w:szCs w:val="24"/>
        </w:rPr>
        <w:t>7). The cumulative hazard rate was 24</w:t>
      </w:r>
      <w:r>
        <w:rPr>
          <w:rFonts w:ascii="Times New Roman" w:hAnsi="Times New Roman"/>
          <w:sz w:val="24"/>
          <w:szCs w:val="24"/>
        </w:rPr>
        <w:t>.</w:t>
      </w:r>
      <w:r w:rsidRPr="00C62A37">
        <w:rPr>
          <w:rFonts w:ascii="Times New Roman" w:hAnsi="Times New Roman"/>
          <w:sz w:val="24"/>
          <w:szCs w:val="24"/>
        </w:rPr>
        <w:t>3% (SE=0</w:t>
      </w:r>
      <w:r>
        <w:rPr>
          <w:rFonts w:ascii="Times New Roman" w:hAnsi="Times New Roman"/>
          <w:sz w:val="24"/>
          <w:szCs w:val="24"/>
        </w:rPr>
        <w:t>.</w:t>
      </w:r>
      <w:r w:rsidRPr="00C62A37">
        <w:rPr>
          <w:rFonts w:ascii="Times New Roman" w:hAnsi="Times New Roman"/>
          <w:sz w:val="24"/>
          <w:szCs w:val="24"/>
        </w:rPr>
        <w:t>008). Examination of covariates found that male gender, length of first admission (more than 14 days) and age at first admission (less than 30 years) were significant risk factors with hazard ratios of 1</w:t>
      </w:r>
      <w:r>
        <w:rPr>
          <w:rFonts w:ascii="Times New Roman" w:hAnsi="Times New Roman"/>
          <w:sz w:val="24"/>
          <w:szCs w:val="24"/>
        </w:rPr>
        <w:t>.</w:t>
      </w:r>
      <w:r w:rsidRPr="00C62A37">
        <w:rPr>
          <w:rFonts w:ascii="Times New Roman" w:hAnsi="Times New Roman"/>
          <w:sz w:val="24"/>
          <w:szCs w:val="24"/>
        </w:rPr>
        <w:t>4 (95%CI: 1</w:t>
      </w:r>
      <w:r>
        <w:rPr>
          <w:rFonts w:ascii="Times New Roman" w:hAnsi="Times New Roman"/>
          <w:sz w:val="24"/>
          <w:szCs w:val="24"/>
        </w:rPr>
        <w:t>.</w:t>
      </w:r>
      <w:r w:rsidRPr="00C62A37">
        <w:rPr>
          <w:rFonts w:ascii="Times New Roman" w:hAnsi="Times New Roman"/>
          <w:sz w:val="24"/>
          <w:szCs w:val="24"/>
        </w:rPr>
        <w:t>2-1</w:t>
      </w:r>
      <w:r>
        <w:rPr>
          <w:rFonts w:ascii="Times New Roman" w:hAnsi="Times New Roman"/>
          <w:sz w:val="24"/>
          <w:szCs w:val="24"/>
        </w:rPr>
        <w:t>.</w:t>
      </w:r>
      <w:r w:rsidRPr="00C62A37">
        <w:rPr>
          <w:rFonts w:ascii="Times New Roman" w:hAnsi="Times New Roman"/>
          <w:sz w:val="24"/>
          <w:szCs w:val="24"/>
        </w:rPr>
        <w:t xml:space="preserve">7), </w:t>
      </w:r>
      <w:r w:rsidRPr="00C62A37">
        <w:rPr>
          <w:rFonts w:ascii="Times New Roman" w:hAnsi="Times New Roman"/>
          <w:i/>
          <w:sz w:val="24"/>
          <w:szCs w:val="24"/>
        </w:rPr>
        <w:t>p</w:t>
      </w:r>
      <w:r w:rsidRPr="00C62A37">
        <w:rPr>
          <w:rFonts w:ascii="Times New Roman" w:hAnsi="Times New Roman"/>
          <w:sz w:val="24"/>
          <w:szCs w:val="24"/>
        </w:rPr>
        <w:t>=0</w:t>
      </w:r>
      <w:r>
        <w:rPr>
          <w:rFonts w:ascii="Times New Roman" w:hAnsi="Times New Roman"/>
          <w:sz w:val="24"/>
          <w:szCs w:val="24"/>
        </w:rPr>
        <w:t>.</w:t>
      </w:r>
      <w:r w:rsidRPr="00C62A37">
        <w:rPr>
          <w:rFonts w:ascii="Times New Roman" w:hAnsi="Times New Roman"/>
          <w:sz w:val="24"/>
          <w:szCs w:val="24"/>
        </w:rPr>
        <w:t>001, for male sex, 1</w:t>
      </w:r>
      <w:r>
        <w:rPr>
          <w:rFonts w:ascii="Times New Roman" w:hAnsi="Times New Roman"/>
          <w:sz w:val="24"/>
          <w:szCs w:val="24"/>
        </w:rPr>
        <w:t>.</w:t>
      </w:r>
      <w:r w:rsidRPr="00C62A37">
        <w:rPr>
          <w:rFonts w:ascii="Times New Roman" w:hAnsi="Times New Roman"/>
          <w:sz w:val="24"/>
          <w:szCs w:val="24"/>
        </w:rPr>
        <w:t>7 (95%CI 1</w:t>
      </w:r>
      <w:r>
        <w:rPr>
          <w:rFonts w:ascii="Times New Roman" w:hAnsi="Times New Roman"/>
          <w:sz w:val="24"/>
          <w:szCs w:val="24"/>
        </w:rPr>
        <w:t>.</w:t>
      </w:r>
      <w:r w:rsidRPr="00C62A37">
        <w:rPr>
          <w:rFonts w:ascii="Times New Roman" w:hAnsi="Times New Roman"/>
          <w:sz w:val="24"/>
          <w:szCs w:val="24"/>
        </w:rPr>
        <w:t>5-2</w:t>
      </w:r>
      <w:r>
        <w:rPr>
          <w:rFonts w:ascii="Times New Roman" w:hAnsi="Times New Roman"/>
          <w:sz w:val="24"/>
          <w:szCs w:val="24"/>
        </w:rPr>
        <w:t>.</w:t>
      </w:r>
      <w:r w:rsidRPr="00C62A37">
        <w:rPr>
          <w:rFonts w:ascii="Times New Roman" w:hAnsi="Times New Roman"/>
          <w:sz w:val="24"/>
          <w:szCs w:val="24"/>
        </w:rPr>
        <w:t xml:space="preserve">0), </w:t>
      </w:r>
      <w:r w:rsidRPr="00C62A37">
        <w:rPr>
          <w:rFonts w:ascii="Times New Roman" w:hAnsi="Times New Roman"/>
          <w:i/>
          <w:sz w:val="24"/>
          <w:szCs w:val="24"/>
        </w:rPr>
        <w:t>p</w:t>
      </w:r>
      <w:r w:rsidRPr="00C62A37">
        <w:rPr>
          <w:rFonts w:ascii="Times New Roman" w:hAnsi="Times New Roman"/>
          <w:sz w:val="24"/>
          <w:szCs w:val="24"/>
        </w:rPr>
        <w:t>&lt;0</w:t>
      </w:r>
      <w:r>
        <w:rPr>
          <w:rFonts w:ascii="Times New Roman" w:hAnsi="Times New Roman"/>
          <w:sz w:val="24"/>
          <w:szCs w:val="24"/>
        </w:rPr>
        <w:t>.</w:t>
      </w:r>
      <w:r w:rsidRPr="00C62A37">
        <w:rPr>
          <w:rFonts w:ascii="Times New Roman" w:hAnsi="Times New Roman"/>
          <w:sz w:val="24"/>
          <w:szCs w:val="24"/>
        </w:rPr>
        <w:t>001, for longer first admission, and 2</w:t>
      </w:r>
      <w:r>
        <w:rPr>
          <w:rFonts w:ascii="Times New Roman" w:hAnsi="Times New Roman"/>
          <w:sz w:val="24"/>
          <w:szCs w:val="24"/>
        </w:rPr>
        <w:t>.</w:t>
      </w:r>
      <w:r w:rsidRPr="00C62A37">
        <w:rPr>
          <w:rFonts w:ascii="Times New Roman" w:hAnsi="Times New Roman"/>
          <w:sz w:val="24"/>
          <w:szCs w:val="24"/>
        </w:rPr>
        <w:t>3 (95%CI: 2</w:t>
      </w:r>
      <w:r>
        <w:rPr>
          <w:rFonts w:ascii="Times New Roman" w:hAnsi="Times New Roman"/>
          <w:sz w:val="24"/>
          <w:szCs w:val="24"/>
        </w:rPr>
        <w:t>.</w:t>
      </w:r>
      <w:r w:rsidRPr="00C62A37">
        <w:rPr>
          <w:rFonts w:ascii="Times New Roman" w:hAnsi="Times New Roman"/>
          <w:sz w:val="24"/>
          <w:szCs w:val="24"/>
        </w:rPr>
        <w:t>0-2</w:t>
      </w:r>
      <w:r>
        <w:rPr>
          <w:rFonts w:ascii="Times New Roman" w:hAnsi="Times New Roman"/>
          <w:sz w:val="24"/>
          <w:szCs w:val="24"/>
        </w:rPr>
        <w:t>.</w:t>
      </w:r>
      <w:r w:rsidRPr="00C62A37">
        <w:rPr>
          <w:rFonts w:ascii="Times New Roman" w:hAnsi="Times New Roman"/>
          <w:sz w:val="24"/>
          <w:szCs w:val="24"/>
        </w:rPr>
        <w:t xml:space="preserve">8), </w:t>
      </w:r>
      <w:r w:rsidRPr="00C62A37">
        <w:rPr>
          <w:rFonts w:ascii="Times New Roman" w:hAnsi="Times New Roman"/>
          <w:i/>
          <w:sz w:val="24"/>
          <w:szCs w:val="24"/>
        </w:rPr>
        <w:t>p</w:t>
      </w:r>
      <w:r w:rsidRPr="00C62A37">
        <w:rPr>
          <w:rFonts w:ascii="Times New Roman" w:hAnsi="Times New Roman"/>
          <w:sz w:val="24"/>
          <w:szCs w:val="24"/>
        </w:rPr>
        <w:t>&lt;0</w:t>
      </w:r>
      <w:r>
        <w:rPr>
          <w:rFonts w:ascii="Times New Roman" w:hAnsi="Times New Roman"/>
          <w:sz w:val="24"/>
          <w:szCs w:val="24"/>
        </w:rPr>
        <w:t>.</w:t>
      </w:r>
      <w:r w:rsidRPr="00C62A37">
        <w:rPr>
          <w:rFonts w:ascii="Times New Roman" w:hAnsi="Times New Roman"/>
          <w:sz w:val="24"/>
          <w:szCs w:val="24"/>
        </w:rPr>
        <w:t>001 for younger age at first admission. Although none of the specific substances were significantly more likely than any other to be associated with the development of a schizophrenia spectrum disorder, alcohol and opiates were significantly less likely to be associated, with hazard ratios of 0</w:t>
      </w:r>
      <w:r>
        <w:rPr>
          <w:rFonts w:ascii="Times New Roman" w:hAnsi="Times New Roman"/>
          <w:sz w:val="24"/>
          <w:szCs w:val="24"/>
        </w:rPr>
        <w:t>.</w:t>
      </w:r>
      <w:r w:rsidRPr="00C62A37">
        <w:rPr>
          <w:rFonts w:ascii="Times New Roman" w:hAnsi="Times New Roman"/>
          <w:sz w:val="24"/>
          <w:szCs w:val="24"/>
        </w:rPr>
        <w:t>69 (95%CI: 0</w:t>
      </w:r>
      <w:r>
        <w:rPr>
          <w:rFonts w:ascii="Times New Roman" w:hAnsi="Times New Roman"/>
          <w:sz w:val="24"/>
          <w:szCs w:val="24"/>
        </w:rPr>
        <w:t>.</w:t>
      </w:r>
      <w:r w:rsidRPr="00C62A37">
        <w:rPr>
          <w:rFonts w:ascii="Times New Roman" w:hAnsi="Times New Roman"/>
          <w:sz w:val="24"/>
          <w:szCs w:val="24"/>
        </w:rPr>
        <w:t>56-0</w:t>
      </w:r>
      <w:r>
        <w:rPr>
          <w:rFonts w:ascii="Times New Roman" w:hAnsi="Times New Roman"/>
          <w:sz w:val="24"/>
          <w:szCs w:val="24"/>
        </w:rPr>
        <w:t>.</w:t>
      </w:r>
      <w:r w:rsidRPr="00C62A37">
        <w:rPr>
          <w:rFonts w:ascii="Times New Roman" w:hAnsi="Times New Roman"/>
          <w:sz w:val="24"/>
          <w:szCs w:val="24"/>
        </w:rPr>
        <w:t xml:space="preserve">85), </w:t>
      </w:r>
      <w:r w:rsidRPr="00C62A37">
        <w:rPr>
          <w:rFonts w:ascii="Times New Roman" w:hAnsi="Times New Roman"/>
          <w:i/>
          <w:sz w:val="24"/>
          <w:szCs w:val="24"/>
        </w:rPr>
        <w:t>p</w:t>
      </w:r>
      <w:r w:rsidRPr="00C62A37">
        <w:rPr>
          <w:rFonts w:ascii="Times New Roman" w:hAnsi="Times New Roman"/>
          <w:sz w:val="24"/>
          <w:szCs w:val="24"/>
        </w:rPr>
        <w:t>&lt;0</w:t>
      </w:r>
      <w:r>
        <w:rPr>
          <w:rFonts w:ascii="Times New Roman" w:hAnsi="Times New Roman"/>
          <w:sz w:val="24"/>
          <w:szCs w:val="24"/>
        </w:rPr>
        <w:t>.</w:t>
      </w:r>
      <w:r w:rsidRPr="00C62A37">
        <w:rPr>
          <w:rFonts w:ascii="Times New Roman" w:hAnsi="Times New Roman"/>
          <w:sz w:val="24"/>
          <w:szCs w:val="24"/>
        </w:rPr>
        <w:t>001, and 0</w:t>
      </w:r>
      <w:r>
        <w:rPr>
          <w:rFonts w:ascii="Times New Roman" w:hAnsi="Times New Roman"/>
          <w:sz w:val="24"/>
          <w:szCs w:val="24"/>
        </w:rPr>
        <w:t>.</w:t>
      </w:r>
      <w:r w:rsidRPr="00C62A37">
        <w:rPr>
          <w:rFonts w:ascii="Times New Roman" w:hAnsi="Times New Roman"/>
          <w:sz w:val="24"/>
          <w:szCs w:val="24"/>
        </w:rPr>
        <w:t>73 (95%CI 0</w:t>
      </w:r>
      <w:r>
        <w:rPr>
          <w:rFonts w:ascii="Times New Roman" w:hAnsi="Times New Roman"/>
          <w:sz w:val="24"/>
          <w:szCs w:val="24"/>
        </w:rPr>
        <w:t>.</w:t>
      </w:r>
      <w:r w:rsidRPr="00C62A37">
        <w:rPr>
          <w:rFonts w:ascii="Times New Roman" w:hAnsi="Times New Roman"/>
          <w:sz w:val="24"/>
          <w:szCs w:val="24"/>
        </w:rPr>
        <w:t>57-0</w:t>
      </w:r>
      <w:r>
        <w:rPr>
          <w:rFonts w:ascii="Times New Roman" w:hAnsi="Times New Roman"/>
          <w:sz w:val="24"/>
          <w:szCs w:val="24"/>
        </w:rPr>
        <w:t>.</w:t>
      </w:r>
      <w:r w:rsidRPr="00C62A37">
        <w:rPr>
          <w:rFonts w:ascii="Times New Roman" w:hAnsi="Times New Roman"/>
          <w:sz w:val="24"/>
          <w:szCs w:val="24"/>
        </w:rPr>
        <w:t xml:space="preserve">94), </w:t>
      </w:r>
      <w:r w:rsidRPr="00C62A37">
        <w:rPr>
          <w:rFonts w:ascii="Times New Roman" w:hAnsi="Times New Roman"/>
          <w:i/>
          <w:sz w:val="24"/>
          <w:szCs w:val="24"/>
        </w:rPr>
        <w:t>p</w:t>
      </w:r>
      <w:r w:rsidRPr="00C62A37">
        <w:rPr>
          <w:rFonts w:ascii="Times New Roman" w:hAnsi="Times New Roman"/>
          <w:sz w:val="24"/>
          <w:szCs w:val="24"/>
        </w:rPr>
        <w:t>=0</w:t>
      </w:r>
      <w:r>
        <w:rPr>
          <w:rFonts w:ascii="Times New Roman" w:hAnsi="Times New Roman"/>
          <w:sz w:val="24"/>
          <w:szCs w:val="24"/>
        </w:rPr>
        <w:t>.</w:t>
      </w:r>
      <w:r w:rsidRPr="00C62A37">
        <w:rPr>
          <w:rFonts w:ascii="Times New Roman" w:hAnsi="Times New Roman"/>
          <w:sz w:val="24"/>
          <w:szCs w:val="24"/>
        </w:rPr>
        <w:t xml:space="preserve">013, respectively. Table </w:t>
      </w:r>
      <w:r>
        <w:rPr>
          <w:rFonts w:ascii="Times New Roman" w:hAnsi="Times New Roman"/>
          <w:sz w:val="24"/>
          <w:szCs w:val="24"/>
        </w:rPr>
        <w:t>Two</w:t>
      </w:r>
      <w:r w:rsidRPr="00C62A37">
        <w:rPr>
          <w:rFonts w:ascii="Times New Roman" w:hAnsi="Times New Roman"/>
          <w:sz w:val="24"/>
          <w:szCs w:val="24"/>
        </w:rPr>
        <w:t xml:space="preserve"> shows hazard ratios for development of schizophrenia spectrum disorders for those with SIPD induced by opioids, cannabis, stimulants and multiple/other drugs, compared with alcohol, the group for which the risk was lowest. The risk of developing a schizophrenia spectrum disorder was significantly greater for all of the other groups when compared to the alcohol-induced psychotic disorder group, where the risk was lowest. Between group comparisons for the risk of opioid, cannabis, stimulant and multiple/other drug-induced episodes of psychosis leading to schizophrenia spectrum disorder showed no significant differences.</w:t>
      </w:r>
    </w:p>
    <w:p w:rsidR="00333D4A" w:rsidRPr="00C62A37" w:rsidRDefault="00333D4A" w:rsidP="00333D4A">
      <w:pPr>
        <w:spacing w:after="0"/>
        <w:jc w:val="both"/>
        <w:rPr>
          <w:rFonts w:ascii="Times New Roman" w:hAnsi="Times New Roman"/>
          <w:sz w:val="24"/>
          <w:szCs w:val="24"/>
        </w:rPr>
      </w:pPr>
    </w:p>
    <w:p w:rsidR="00333D4A" w:rsidRPr="00C62A37" w:rsidRDefault="00333D4A" w:rsidP="00333D4A">
      <w:pPr>
        <w:spacing w:after="0"/>
        <w:jc w:val="both"/>
        <w:rPr>
          <w:rFonts w:ascii="Times New Roman" w:hAnsi="Times New Roman"/>
          <w:sz w:val="24"/>
          <w:szCs w:val="24"/>
        </w:rPr>
      </w:pPr>
      <w:r w:rsidRPr="00C62A37">
        <w:rPr>
          <w:rFonts w:ascii="Times New Roman" w:hAnsi="Times New Roman"/>
          <w:sz w:val="24"/>
          <w:szCs w:val="24"/>
        </w:rPr>
        <w:lastRenderedPageBreak/>
        <w:t>For those later diagnosed with a schizophrenia spectrum disorder, mean time to change in diagnosis was 2</w:t>
      </w:r>
      <w:r>
        <w:rPr>
          <w:rFonts w:ascii="Times New Roman" w:hAnsi="Times New Roman"/>
          <w:sz w:val="24"/>
          <w:szCs w:val="24"/>
        </w:rPr>
        <w:t>.</w:t>
      </w:r>
      <w:r w:rsidRPr="00C62A37">
        <w:rPr>
          <w:rFonts w:ascii="Times New Roman" w:hAnsi="Times New Roman"/>
          <w:sz w:val="24"/>
          <w:szCs w:val="24"/>
        </w:rPr>
        <w:t>3 years (SD 2</w:t>
      </w:r>
      <w:r>
        <w:rPr>
          <w:rFonts w:ascii="Times New Roman" w:hAnsi="Times New Roman"/>
          <w:sz w:val="24"/>
          <w:szCs w:val="24"/>
        </w:rPr>
        <w:t>.</w:t>
      </w:r>
      <w:r w:rsidRPr="00C62A37">
        <w:rPr>
          <w:rFonts w:ascii="Times New Roman" w:hAnsi="Times New Roman"/>
          <w:sz w:val="24"/>
          <w:szCs w:val="24"/>
        </w:rPr>
        <w:t>6) and median time to change in diagnosis was 1</w:t>
      </w:r>
      <w:r>
        <w:rPr>
          <w:rFonts w:ascii="Times New Roman" w:hAnsi="Times New Roman"/>
          <w:sz w:val="24"/>
          <w:szCs w:val="24"/>
        </w:rPr>
        <w:t>.</w:t>
      </w:r>
      <w:r w:rsidRPr="00C62A37">
        <w:rPr>
          <w:rFonts w:ascii="Times New Roman" w:hAnsi="Times New Roman"/>
          <w:sz w:val="24"/>
          <w:szCs w:val="24"/>
        </w:rPr>
        <w:t>4 years (range 0-13</w:t>
      </w:r>
      <w:r>
        <w:rPr>
          <w:rFonts w:ascii="Times New Roman" w:hAnsi="Times New Roman"/>
          <w:sz w:val="24"/>
          <w:szCs w:val="24"/>
        </w:rPr>
        <w:t>.</w:t>
      </w:r>
      <w:r w:rsidRPr="00C62A37">
        <w:rPr>
          <w:rFonts w:ascii="Times New Roman" w:hAnsi="Times New Roman"/>
          <w:sz w:val="24"/>
          <w:szCs w:val="24"/>
        </w:rPr>
        <w:t>5 years). 43</w:t>
      </w:r>
      <w:r>
        <w:rPr>
          <w:rFonts w:ascii="Times New Roman" w:hAnsi="Times New Roman"/>
          <w:sz w:val="24"/>
          <w:szCs w:val="24"/>
        </w:rPr>
        <w:t>.</w:t>
      </w:r>
      <w:r w:rsidRPr="00C62A37">
        <w:rPr>
          <w:rFonts w:ascii="Times New Roman" w:hAnsi="Times New Roman"/>
          <w:sz w:val="24"/>
          <w:szCs w:val="24"/>
        </w:rPr>
        <w:t>9% had converted within one year of first presentation SIP and the conversion rates at two, three, four and five years were 59</w:t>
      </w:r>
      <w:r>
        <w:rPr>
          <w:rFonts w:ascii="Times New Roman" w:hAnsi="Times New Roman"/>
          <w:sz w:val="24"/>
          <w:szCs w:val="24"/>
        </w:rPr>
        <w:t>.</w:t>
      </w:r>
      <w:r w:rsidRPr="00C62A37">
        <w:rPr>
          <w:rFonts w:ascii="Times New Roman" w:hAnsi="Times New Roman"/>
          <w:sz w:val="24"/>
          <w:szCs w:val="24"/>
        </w:rPr>
        <w:t>9%, 71</w:t>
      </w:r>
      <w:r>
        <w:rPr>
          <w:rFonts w:ascii="Times New Roman" w:hAnsi="Times New Roman"/>
          <w:sz w:val="24"/>
          <w:szCs w:val="24"/>
        </w:rPr>
        <w:t>.</w:t>
      </w:r>
      <w:r w:rsidRPr="00C62A37">
        <w:rPr>
          <w:rFonts w:ascii="Times New Roman" w:hAnsi="Times New Roman"/>
          <w:sz w:val="24"/>
          <w:szCs w:val="24"/>
        </w:rPr>
        <w:t>7%, 80%, and 85</w:t>
      </w:r>
      <w:r>
        <w:rPr>
          <w:rFonts w:ascii="Times New Roman" w:hAnsi="Times New Roman"/>
          <w:sz w:val="24"/>
          <w:szCs w:val="24"/>
        </w:rPr>
        <w:t>.</w:t>
      </w:r>
      <w:r w:rsidRPr="00C62A37">
        <w:rPr>
          <w:rFonts w:ascii="Times New Roman" w:hAnsi="Times New Roman"/>
          <w:sz w:val="24"/>
          <w:szCs w:val="24"/>
        </w:rPr>
        <w:t>3% respectively.</w:t>
      </w:r>
    </w:p>
    <w:p w:rsidR="00333D4A" w:rsidRPr="00C62A37" w:rsidRDefault="00333D4A" w:rsidP="00333D4A">
      <w:pPr>
        <w:spacing w:after="0"/>
        <w:jc w:val="both"/>
        <w:rPr>
          <w:rFonts w:ascii="Times New Roman" w:hAnsi="Times New Roman"/>
          <w:sz w:val="24"/>
          <w:szCs w:val="24"/>
        </w:rPr>
      </w:pPr>
      <w:bookmarkStart w:id="0" w:name="_GoBack"/>
      <w:bookmarkEnd w:id="0"/>
    </w:p>
    <w:p w:rsidR="00333D4A" w:rsidRPr="00A0556F" w:rsidRDefault="00333D4A" w:rsidP="004778EA">
      <w:pPr>
        <w:spacing w:after="0"/>
        <w:jc w:val="both"/>
        <w:rPr>
          <w:rFonts w:ascii="Times New Roman" w:hAnsi="Times New Roman"/>
          <w:b/>
          <w:sz w:val="24"/>
          <w:szCs w:val="24"/>
        </w:rPr>
      </w:pPr>
      <w:r w:rsidRPr="00A0556F">
        <w:rPr>
          <w:rFonts w:ascii="Times New Roman" w:hAnsi="Times New Roman"/>
          <w:b/>
          <w:sz w:val="24"/>
          <w:szCs w:val="24"/>
        </w:rPr>
        <w:t>Discussion</w:t>
      </w:r>
    </w:p>
    <w:p w:rsidR="00333D4A" w:rsidRPr="00C62A37" w:rsidRDefault="00333D4A" w:rsidP="004778EA">
      <w:pPr>
        <w:spacing w:after="0"/>
        <w:jc w:val="both"/>
        <w:rPr>
          <w:rFonts w:ascii="Times New Roman" w:hAnsi="Times New Roman"/>
          <w:sz w:val="24"/>
          <w:szCs w:val="24"/>
        </w:rPr>
      </w:pPr>
      <w:r w:rsidRPr="00C62A37">
        <w:rPr>
          <w:rFonts w:ascii="Times New Roman" w:hAnsi="Times New Roman"/>
          <w:sz w:val="24"/>
          <w:szCs w:val="24"/>
        </w:rPr>
        <w:t>The rate of transition to schizophrenia spectrum disorder following an episode of SIPD was estimated at 24.3%, compared with a lower rate of 17.3% for the narrower diagnosis of schizophrenia. This held true for analysis of transition broken down by specific substance, with rates for transition being higher for schizophrenia spectrum disorder than schizophrenia. However, all rates estimated in the present study were lower than those found in other studies</w:t>
      </w:r>
      <w:r>
        <w:rPr>
          <w:rFonts w:ascii="Times New Roman" w:hAnsi="Times New Roman"/>
          <w:sz w:val="24"/>
          <w:szCs w:val="24"/>
        </w:rPr>
        <w:t xml:space="preserve"> (Arendt </w:t>
      </w:r>
      <w:r w:rsidRPr="00C62A37">
        <w:rPr>
          <w:rFonts w:ascii="Times New Roman" w:hAnsi="Times New Roman"/>
          <w:i/>
          <w:sz w:val="24"/>
          <w:szCs w:val="24"/>
        </w:rPr>
        <w:t>et al</w:t>
      </w:r>
      <w:r>
        <w:rPr>
          <w:rFonts w:ascii="Times New Roman" w:hAnsi="Times New Roman"/>
          <w:sz w:val="24"/>
          <w:szCs w:val="24"/>
        </w:rPr>
        <w:t xml:space="preserve"> 2005; </w:t>
      </w:r>
      <w:proofErr w:type="spellStart"/>
      <w:r>
        <w:rPr>
          <w:rFonts w:ascii="Times New Roman" w:hAnsi="Times New Roman"/>
          <w:sz w:val="24"/>
          <w:szCs w:val="24"/>
        </w:rPr>
        <w:t>Niemi-Pynttari</w:t>
      </w:r>
      <w:proofErr w:type="spellEnd"/>
      <w:r>
        <w:rPr>
          <w:rFonts w:ascii="Times New Roman" w:hAnsi="Times New Roman"/>
          <w:sz w:val="24"/>
          <w:szCs w:val="24"/>
        </w:rPr>
        <w:t xml:space="preserve"> </w:t>
      </w:r>
      <w:r w:rsidRPr="00C62A37">
        <w:rPr>
          <w:rFonts w:ascii="Times New Roman" w:hAnsi="Times New Roman"/>
          <w:i/>
          <w:sz w:val="24"/>
          <w:szCs w:val="24"/>
        </w:rPr>
        <w:t>et al</w:t>
      </w:r>
      <w:r>
        <w:rPr>
          <w:rFonts w:ascii="Times New Roman" w:hAnsi="Times New Roman"/>
          <w:sz w:val="24"/>
          <w:szCs w:val="24"/>
        </w:rPr>
        <w:t xml:space="preserve"> 2013)</w:t>
      </w:r>
      <w:r w:rsidRPr="00C62A37">
        <w:rPr>
          <w:rFonts w:ascii="Times New Roman" w:hAnsi="Times New Roman"/>
          <w:sz w:val="24"/>
          <w:szCs w:val="24"/>
        </w:rPr>
        <w:t xml:space="preserve">. </w:t>
      </w:r>
      <w:r>
        <w:rPr>
          <w:rFonts w:ascii="Times New Roman" w:hAnsi="Times New Roman"/>
          <w:sz w:val="24"/>
          <w:szCs w:val="24"/>
        </w:rPr>
        <w:t>T</w:t>
      </w:r>
      <w:r w:rsidRPr="00C62A37">
        <w:rPr>
          <w:rFonts w:ascii="Times New Roman" w:hAnsi="Times New Roman"/>
          <w:sz w:val="24"/>
          <w:szCs w:val="24"/>
        </w:rPr>
        <w:t xml:space="preserve">he reasons for this difference are unclear, but may relate to differences in patterns of substance use, or differences in diagnostic practice. Considering the risk of transition to a more broadly defined schizophrenia spectrum disorder, rather than using the narrower category of schizophrenia, </w:t>
      </w:r>
      <w:proofErr w:type="spellStart"/>
      <w:r w:rsidRPr="00C62A37">
        <w:rPr>
          <w:rFonts w:ascii="Times New Roman" w:hAnsi="Times New Roman"/>
          <w:sz w:val="24"/>
          <w:szCs w:val="24"/>
        </w:rPr>
        <w:t>emphasises</w:t>
      </w:r>
      <w:proofErr w:type="spellEnd"/>
      <w:r w:rsidRPr="00C62A37">
        <w:rPr>
          <w:rFonts w:ascii="Times New Roman" w:hAnsi="Times New Roman"/>
          <w:sz w:val="24"/>
          <w:szCs w:val="24"/>
        </w:rPr>
        <w:t xml:space="preserve"> the importance of long-term follow up for patients diagnosed with an acute SIPD.</w:t>
      </w:r>
    </w:p>
    <w:p w:rsidR="00333D4A" w:rsidRPr="00A0556F" w:rsidRDefault="00333D4A" w:rsidP="00333D4A">
      <w:pPr>
        <w:spacing w:after="0"/>
        <w:rPr>
          <w:rFonts w:ascii="Times New Roman" w:hAnsi="Times New Roman"/>
          <w:b/>
          <w:sz w:val="24"/>
          <w:szCs w:val="24"/>
        </w:rPr>
      </w:pPr>
    </w:p>
    <w:p w:rsidR="00333D4A" w:rsidRPr="009C0700" w:rsidRDefault="00333D4A" w:rsidP="00333D4A">
      <w:pPr>
        <w:rPr>
          <w:rFonts w:ascii="Times New Roman" w:hAnsi="Times New Roman"/>
          <w:b/>
          <w:sz w:val="20"/>
          <w:szCs w:val="20"/>
        </w:rPr>
      </w:pPr>
      <w:r w:rsidRPr="00C62A37">
        <w:rPr>
          <w:rFonts w:ascii="Times New Roman" w:hAnsi="Times New Roman"/>
          <w:b/>
          <w:sz w:val="24"/>
          <w:szCs w:val="24"/>
        </w:rPr>
        <w:br w:type="page"/>
      </w:r>
      <w:r w:rsidRPr="003221F4">
        <w:rPr>
          <w:rFonts w:ascii="Times New Roman" w:hAnsi="Times New Roman"/>
          <w:b/>
          <w:sz w:val="20"/>
          <w:szCs w:val="20"/>
        </w:rPr>
        <w:lastRenderedPageBreak/>
        <w:t xml:space="preserve">Table </w:t>
      </w:r>
      <w:r w:rsidR="004778EA">
        <w:rPr>
          <w:rFonts w:ascii="Times New Roman" w:hAnsi="Times New Roman"/>
          <w:b/>
          <w:sz w:val="20"/>
          <w:szCs w:val="20"/>
        </w:rPr>
        <w:t>1</w:t>
      </w:r>
    </w:p>
    <w:p w:rsidR="00333D4A" w:rsidRPr="009C0700" w:rsidRDefault="00333D4A" w:rsidP="00333D4A">
      <w:pPr>
        <w:rPr>
          <w:rFonts w:ascii="Times New Roman" w:hAnsi="Times New Roman"/>
          <w:b/>
          <w:sz w:val="20"/>
          <w:szCs w:val="20"/>
        </w:rPr>
      </w:pPr>
      <w:r w:rsidRPr="009C0700">
        <w:rPr>
          <w:rFonts w:ascii="Times New Roman" w:hAnsi="Times New Roman"/>
          <w:b/>
          <w:sz w:val="20"/>
          <w:szCs w:val="20"/>
        </w:rPr>
        <w:t xml:space="preserve">Summary of patient demographics and risk to conversion </w:t>
      </w:r>
      <w:r>
        <w:rPr>
          <w:rFonts w:ascii="Times New Roman" w:hAnsi="Times New Roman"/>
          <w:b/>
          <w:sz w:val="20"/>
          <w:szCs w:val="20"/>
        </w:rPr>
        <w:t>to diagnosis of</w:t>
      </w:r>
      <w:r w:rsidRPr="009C0700">
        <w:rPr>
          <w:rFonts w:ascii="Times New Roman" w:hAnsi="Times New Roman"/>
          <w:b/>
          <w:sz w:val="20"/>
          <w:szCs w:val="20"/>
        </w:rPr>
        <w:t xml:space="preserve"> schizophrenia spectrum</w:t>
      </w:r>
      <w:r>
        <w:rPr>
          <w:rFonts w:ascii="Times New Roman" w:hAnsi="Times New Roman"/>
          <w:b/>
          <w:sz w:val="20"/>
          <w:szCs w:val="20"/>
        </w:rPr>
        <w:t xml:space="preserve"> disorder</w:t>
      </w:r>
      <w:r w:rsidRPr="009C0700">
        <w:rPr>
          <w:rFonts w:ascii="Times New Roman" w:hAnsi="Times New Roman"/>
          <w:b/>
          <w:sz w:val="20"/>
          <w:szCs w:val="20"/>
        </w:rPr>
        <w:t xml:space="preserve"> across specific substance </w:t>
      </w:r>
      <w:r>
        <w:rPr>
          <w:rFonts w:ascii="Times New Roman" w:hAnsi="Times New Roman"/>
          <w:b/>
          <w:sz w:val="20"/>
          <w:szCs w:val="20"/>
        </w:rPr>
        <w:t xml:space="preserve">induced psychotic disorder </w:t>
      </w:r>
      <w:r w:rsidRPr="009C0700">
        <w:rPr>
          <w:rFonts w:ascii="Times New Roman" w:hAnsi="Times New Roman"/>
          <w:b/>
          <w:sz w:val="20"/>
          <w:szCs w:val="20"/>
        </w:rPr>
        <w:t xml:space="preserve">sub-groups </w:t>
      </w:r>
    </w:p>
    <w:tbl>
      <w:tblPr>
        <w:tblpPr w:leftFromText="180" w:rightFromText="180" w:vertAnchor="text" w:horzAnchor="margin" w:tblpXSpec="center" w:tblpY="153"/>
        <w:tblW w:w="4081"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740"/>
        <w:gridCol w:w="1542"/>
        <w:gridCol w:w="770"/>
        <w:gridCol w:w="816"/>
        <w:gridCol w:w="1011"/>
        <w:gridCol w:w="816"/>
        <w:gridCol w:w="1641"/>
        <w:gridCol w:w="15"/>
      </w:tblGrid>
      <w:tr w:rsidR="00333D4A" w:rsidRPr="00002F2F" w:rsidTr="00C62A37">
        <w:trPr>
          <w:trHeight w:val="1040"/>
        </w:trPr>
        <w:tc>
          <w:tcPr>
            <w:tcW w:w="503" w:type="pct"/>
            <w:shd w:val="clear" w:color="auto" w:fill="auto"/>
            <w:vAlign w:val="center"/>
            <w:hideMark/>
          </w:tcPr>
          <w:p w:rsidR="00333D4A" w:rsidRPr="009C0700" w:rsidRDefault="00333D4A" w:rsidP="00C62A37">
            <w:pPr>
              <w:spacing w:after="0"/>
              <w:jc w:val="center"/>
              <w:rPr>
                <w:rFonts w:ascii="Times New Roman" w:eastAsia="Times New Roman" w:hAnsi="Times New Roman"/>
                <w:b/>
                <w:color w:val="000000"/>
                <w:sz w:val="16"/>
                <w:szCs w:val="16"/>
              </w:rPr>
            </w:pPr>
            <w:r w:rsidRPr="009C0700">
              <w:rPr>
                <w:rFonts w:ascii="Times New Roman" w:eastAsia="Times New Roman" w:hAnsi="Times New Roman"/>
                <w:b/>
                <w:color w:val="000000"/>
                <w:sz w:val="16"/>
                <w:szCs w:val="16"/>
              </w:rPr>
              <w:t>ICD-10 Code</w:t>
            </w:r>
          </w:p>
        </w:tc>
        <w:tc>
          <w:tcPr>
            <w:tcW w:w="1049" w:type="pct"/>
            <w:shd w:val="clear" w:color="auto" w:fill="auto"/>
            <w:vAlign w:val="center"/>
            <w:hideMark/>
          </w:tcPr>
          <w:p w:rsidR="00333D4A" w:rsidRPr="009C0700" w:rsidRDefault="00333D4A" w:rsidP="00C62A37">
            <w:pPr>
              <w:spacing w:after="0"/>
              <w:jc w:val="center"/>
              <w:rPr>
                <w:rFonts w:ascii="Times New Roman" w:eastAsia="Times New Roman" w:hAnsi="Times New Roman"/>
                <w:b/>
                <w:color w:val="000000"/>
                <w:sz w:val="16"/>
                <w:szCs w:val="16"/>
              </w:rPr>
            </w:pPr>
            <w:r w:rsidRPr="009C0700">
              <w:rPr>
                <w:rFonts w:ascii="Times New Roman" w:eastAsia="Times New Roman" w:hAnsi="Times New Roman"/>
                <w:b/>
                <w:color w:val="000000"/>
                <w:sz w:val="16"/>
                <w:szCs w:val="16"/>
              </w:rPr>
              <w:t>Substance</w:t>
            </w:r>
          </w:p>
        </w:tc>
        <w:tc>
          <w:tcPr>
            <w:tcW w:w="524" w:type="pct"/>
            <w:shd w:val="clear" w:color="auto" w:fill="auto"/>
            <w:vAlign w:val="center"/>
            <w:hideMark/>
          </w:tcPr>
          <w:p w:rsidR="00333D4A" w:rsidRPr="009C0700" w:rsidRDefault="00333D4A" w:rsidP="00C62A37">
            <w:pPr>
              <w:spacing w:after="0"/>
              <w:jc w:val="center"/>
              <w:rPr>
                <w:rFonts w:ascii="Times New Roman" w:eastAsia="Times New Roman" w:hAnsi="Times New Roman"/>
                <w:b/>
                <w:color w:val="000000"/>
                <w:sz w:val="16"/>
                <w:szCs w:val="16"/>
              </w:rPr>
            </w:pPr>
            <w:r w:rsidRPr="009C0700">
              <w:rPr>
                <w:rFonts w:ascii="Times New Roman" w:eastAsia="Times New Roman" w:hAnsi="Times New Roman"/>
                <w:b/>
                <w:color w:val="000000"/>
                <w:sz w:val="16"/>
                <w:szCs w:val="16"/>
              </w:rPr>
              <w:t>Total</w:t>
            </w:r>
          </w:p>
          <w:p w:rsidR="00333D4A" w:rsidRPr="009C0700" w:rsidRDefault="00333D4A" w:rsidP="00C62A37">
            <w:pPr>
              <w:spacing w:after="0"/>
              <w:jc w:val="center"/>
              <w:rPr>
                <w:rFonts w:ascii="Times New Roman" w:eastAsia="Times New Roman" w:hAnsi="Times New Roman"/>
                <w:b/>
                <w:color w:val="000000"/>
                <w:sz w:val="16"/>
                <w:szCs w:val="16"/>
              </w:rPr>
            </w:pPr>
            <w:r w:rsidRPr="009C0700">
              <w:rPr>
                <w:rFonts w:ascii="Times New Roman" w:eastAsia="Times New Roman" w:hAnsi="Times New Roman"/>
                <w:b/>
                <w:color w:val="000000"/>
                <w:sz w:val="16"/>
                <w:szCs w:val="16"/>
              </w:rPr>
              <w:t>n</w:t>
            </w:r>
          </w:p>
        </w:tc>
        <w:tc>
          <w:tcPr>
            <w:tcW w:w="555" w:type="pct"/>
            <w:vAlign w:val="center"/>
          </w:tcPr>
          <w:p w:rsidR="00333D4A" w:rsidRPr="009C0700" w:rsidRDefault="00333D4A" w:rsidP="00C62A37">
            <w:pPr>
              <w:spacing w:after="0"/>
              <w:jc w:val="center"/>
              <w:rPr>
                <w:rFonts w:ascii="Times New Roman" w:eastAsia="Times New Roman" w:hAnsi="Times New Roman"/>
                <w:b/>
                <w:bCs/>
                <w:color w:val="000000"/>
                <w:sz w:val="16"/>
                <w:szCs w:val="16"/>
              </w:rPr>
            </w:pPr>
            <w:r w:rsidRPr="009C0700">
              <w:rPr>
                <w:rFonts w:ascii="Times New Roman" w:eastAsia="Times New Roman" w:hAnsi="Times New Roman"/>
                <w:b/>
                <w:bCs/>
                <w:color w:val="000000"/>
                <w:sz w:val="16"/>
                <w:szCs w:val="16"/>
              </w:rPr>
              <w:t>Men</w:t>
            </w:r>
          </w:p>
          <w:p w:rsidR="00333D4A" w:rsidRPr="009C0700" w:rsidRDefault="00333D4A" w:rsidP="00C62A37">
            <w:pPr>
              <w:spacing w:after="0"/>
              <w:jc w:val="center"/>
              <w:rPr>
                <w:rFonts w:ascii="Times New Roman" w:eastAsia="Times New Roman" w:hAnsi="Times New Roman"/>
                <w:b/>
                <w:color w:val="000000"/>
                <w:sz w:val="16"/>
                <w:szCs w:val="16"/>
              </w:rPr>
            </w:pPr>
            <w:r w:rsidRPr="009C0700">
              <w:rPr>
                <w:rFonts w:ascii="Times New Roman" w:eastAsia="Times New Roman" w:hAnsi="Times New Roman"/>
                <w:b/>
                <w:bCs/>
                <w:color w:val="000000"/>
                <w:sz w:val="16"/>
                <w:szCs w:val="16"/>
              </w:rPr>
              <w:t>n (%)</w:t>
            </w:r>
          </w:p>
        </w:tc>
        <w:tc>
          <w:tcPr>
            <w:tcW w:w="688" w:type="pct"/>
            <w:vAlign w:val="center"/>
          </w:tcPr>
          <w:p w:rsidR="00333D4A" w:rsidRDefault="00333D4A" w:rsidP="00C62A37">
            <w:pPr>
              <w:spacing w:after="0"/>
              <w:jc w:val="center"/>
              <w:rPr>
                <w:rFonts w:ascii="Times New Roman" w:eastAsia="Times New Roman" w:hAnsi="Times New Roman"/>
                <w:b/>
                <w:bCs/>
                <w:color w:val="000000"/>
                <w:sz w:val="16"/>
                <w:szCs w:val="16"/>
              </w:rPr>
            </w:pPr>
            <w:r w:rsidRPr="009C0700">
              <w:rPr>
                <w:rFonts w:ascii="Times New Roman" w:eastAsia="Times New Roman" w:hAnsi="Times New Roman"/>
                <w:b/>
                <w:bCs/>
                <w:color w:val="000000"/>
                <w:sz w:val="16"/>
                <w:szCs w:val="16"/>
              </w:rPr>
              <w:t xml:space="preserve">Women </w:t>
            </w:r>
          </w:p>
          <w:p w:rsidR="00333D4A" w:rsidRPr="009C0700" w:rsidRDefault="00333D4A" w:rsidP="00C62A37">
            <w:pPr>
              <w:spacing w:after="0"/>
              <w:jc w:val="center"/>
              <w:rPr>
                <w:rFonts w:ascii="Times New Roman" w:eastAsia="Times New Roman" w:hAnsi="Times New Roman"/>
                <w:b/>
                <w:color w:val="000000"/>
                <w:sz w:val="16"/>
                <w:szCs w:val="16"/>
              </w:rPr>
            </w:pPr>
            <w:r w:rsidRPr="009C0700">
              <w:rPr>
                <w:rFonts w:ascii="Times New Roman" w:eastAsia="Times New Roman" w:hAnsi="Times New Roman"/>
                <w:b/>
                <w:bCs/>
                <w:color w:val="000000"/>
                <w:sz w:val="16"/>
                <w:szCs w:val="16"/>
              </w:rPr>
              <w:t>n (%)</w:t>
            </w:r>
          </w:p>
        </w:tc>
        <w:tc>
          <w:tcPr>
            <w:tcW w:w="555" w:type="pct"/>
            <w:vAlign w:val="center"/>
          </w:tcPr>
          <w:p w:rsidR="00333D4A" w:rsidRPr="009C0700" w:rsidRDefault="00333D4A" w:rsidP="00C62A37">
            <w:pPr>
              <w:spacing w:after="0"/>
              <w:jc w:val="center"/>
              <w:rPr>
                <w:rFonts w:ascii="Times New Roman" w:eastAsia="Times New Roman" w:hAnsi="Times New Roman"/>
                <w:b/>
                <w:color w:val="000000"/>
                <w:sz w:val="16"/>
                <w:szCs w:val="16"/>
              </w:rPr>
            </w:pPr>
            <w:r w:rsidRPr="009C0700">
              <w:rPr>
                <w:rFonts w:ascii="Times New Roman" w:eastAsia="Times New Roman" w:hAnsi="Times New Roman"/>
                <w:b/>
                <w:color w:val="000000"/>
                <w:sz w:val="16"/>
                <w:szCs w:val="16"/>
              </w:rPr>
              <w:t>Age mean (</w:t>
            </w:r>
            <w:proofErr w:type="spellStart"/>
            <w:r w:rsidRPr="009C0700">
              <w:rPr>
                <w:rFonts w:ascii="Times New Roman" w:eastAsia="Times New Roman" w:hAnsi="Times New Roman"/>
                <w:b/>
                <w:color w:val="000000"/>
                <w:sz w:val="16"/>
                <w:szCs w:val="16"/>
              </w:rPr>
              <w:t>sd</w:t>
            </w:r>
            <w:proofErr w:type="spellEnd"/>
            <w:r w:rsidRPr="009C0700">
              <w:rPr>
                <w:rFonts w:ascii="Times New Roman" w:eastAsia="Times New Roman" w:hAnsi="Times New Roman"/>
                <w:b/>
                <w:color w:val="000000"/>
                <w:sz w:val="16"/>
                <w:szCs w:val="16"/>
              </w:rPr>
              <w:t xml:space="preserve">) </w:t>
            </w:r>
            <w:proofErr w:type="spellStart"/>
            <w:r w:rsidRPr="009C0700">
              <w:rPr>
                <w:rFonts w:ascii="Times New Roman" w:eastAsia="Times New Roman" w:hAnsi="Times New Roman"/>
                <w:b/>
                <w:color w:val="000000"/>
                <w:sz w:val="16"/>
                <w:szCs w:val="16"/>
              </w:rPr>
              <w:t>yrs</w:t>
            </w:r>
            <w:proofErr w:type="spellEnd"/>
          </w:p>
        </w:tc>
        <w:tc>
          <w:tcPr>
            <w:tcW w:w="1126" w:type="pct"/>
            <w:gridSpan w:val="2"/>
          </w:tcPr>
          <w:p w:rsidR="00333D4A" w:rsidRPr="009C0700" w:rsidRDefault="00333D4A" w:rsidP="00C62A37">
            <w:pPr>
              <w:spacing w:after="0"/>
              <w:jc w:val="center"/>
              <w:rPr>
                <w:rFonts w:ascii="Times New Roman" w:eastAsia="Times New Roman" w:hAnsi="Times New Roman"/>
                <w:b/>
                <w:color w:val="000000"/>
                <w:sz w:val="16"/>
                <w:szCs w:val="16"/>
              </w:rPr>
            </w:pPr>
            <w:r w:rsidRPr="009C0700">
              <w:rPr>
                <w:rFonts w:ascii="Times New Roman" w:eastAsia="Times New Roman" w:hAnsi="Times New Roman"/>
                <w:b/>
                <w:color w:val="000000"/>
                <w:sz w:val="16"/>
                <w:szCs w:val="16"/>
              </w:rPr>
              <w:t>Cumulative hazard (with censoring)</w:t>
            </w:r>
          </w:p>
          <w:p w:rsidR="00333D4A" w:rsidRPr="009C0700" w:rsidRDefault="00333D4A" w:rsidP="00C62A37">
            <w:pPr>
              <w:spacing w:after="0"/>
              <w:jc w:val="center"/>
              <w:rPr>
                <w:rFonts w:ascii="Times New Roman" w:eastAsia="Times New Roman" w:hAnsi="Times New Roman"/>
                <w:b/>
                <w:color w:val="000000"/>
                <w:sz w:val="16"/>
                <w:szCs w:val="16"/>
              </w:rPr>
            </w:pPr>
            <w:r w:rsidRPr="009C0700">
              <w:rPr>
                <w:rFonts w:ascii="Times New Roman" w:eastAsia="Times New Roman" w:hAnsi="Times New Roman"/>
                <w:b/>
                <w:color w:val="000000"/>
                <w:sz w:val="16"/>
                <w:szCs w:val="16"/>
              </w:rPr>
              <w:t>Schizophrenia</w:t>
            </w:r>
          </w:p>
          <w:p w:rsidR="00333D4A" w:rsidRPr="009C0700" w:rsidRDefault="00333D4A" w:rsidP="00C62A37">
            <w:pPr>
              <w:spacing w:after="0"/>
              <w:jc w:val="center"/>
              <w:rPr>
                <w:rFonts w:ascii="Times New Roman" w:eastAsia="Times New Roman" w:hAnsi="Times New Roman"/>
                <w:b/>
                <w:color w:val="000000"/>
                <w:sz w:val="16"/>
                <w:szCs w:val="16"/>
              </w:rPr>
            </w:pPr>
            <w:r w:rsidRPr="009C0700">
              <w:rPr>
                <w:rFonts w:ascii="Times New Roman" w:eastAsia="Times New Roman" w:hAnsi="Times New Roman"/>
                <w:b/>
                <w:color w:val="000000"/>
                <w:sz w:val="16"/>
                <w:szCs w:val="16"/>
              </w:rPr>
              <w:t>Spectrum</w:t>
            </w:r>
          </w:p>
          <w:p w:rsidR="00333D4A" w:rsidRPr="009C0700" w:rsidRDefault="00333D4A" w:rsidP="00C62A37">
            <w:pPr>
              <w:spacing w:after="0"/>
              <w:jc w:val="center"/>
              <w:rPr>
                <w:rFonts w:ascii="Times New Roman" w:eastAsia="Times New Roman" w:hAnsi="Times New Roman"/>
                <w:b/>
                <w:color w:val="000000"/>
                <w:sz w:val="16"/>
                <w:szCs w:val="16"/>
              </w:rPr>
            </w:pPr>
            <w:r w:rsidRPr="009C0700">
              <w:rPr>
                <w:rFonts w:ascii="Times New Roman" w:eastAsia="Times New Roman" w:hAnsi="Times New Roman"/>
                <w:b/>
                <w:color w:val="000000"/>
                <w:sz w:val="16"/>
                <w:szCs w:val="16"/>
              </w:rPr>
              <w:t>(F20,22,23)</w:t>
            </w:r>
          </w:p>
          <w:p w:rsidR="00333D4A" w:rsidRPr="009C0700" w:rsidRDefault="00333D4A" w:rsidP="00C62A37">
            <w:pPr>
              <w:spacing w:after="0"/>
              <w:jc w:val="center"/>
              <w:rPr>
                <w:rFonts w:ascii="Times New Roman" w:eastAsia="Times New Roman" w:hAnsi="Times New Roman"/>
                <w:b/>
                <w:color w:val="000000"/>
                <w:sz w:val="16"/>
                <w:szCs w:val="16"/>
              </w:rPr>
            </w:pPr>
            <w:r w:rsidRPr="009C0700">
              <w:rPr>
                <w:rFonts w:ascii="Times New Roman" w:eastAsia="Times New Roman" w:hAnsi="Times New Roman"/>
                <w:b/>
                <w:color w:val="000000"/>
                <w:sz w:val="16"/>
                <w:szCs w:val="16"/>
              </w:rPr>
              <w:t>% (SE)</w:t>
            </w:r>
          </w:p>
        </w:tc>
      </w:tr>
      <w:tr w:rsidR="00333D4A" w:rsidRPr="00002F2F" w:rsidTr="00C62A37">
        <w:trPr>
          <w:gridAfter w:val="1"/>
          <w:wAfter w:w="10" w:type="pct"/>
          <w:trHeight w:val="270"/>
        </w:trPr>
        <w:tc>
          <w:tcPr>
            <w:tcW w:w="503" w:type="pct"/>
            <w:shd w:val="clear" w:color="auto" w:fill="auto"/>
            <w:hideMark/>
          </w:tcPr>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F10.</w:t>
            </w:r>
            <w:r w:rsidR="00333D4A" w:rsidRPr="009C0700">
              <w:rPr>
                <w:rFonts w:ascii="Times New Roman" w:eastAsia="Times New Roman" w:hAnsi="Times New Roman"/>
                <w:color w:val="000000"/>
                <w:sz w:val="16"/>
                <w:szCs w:val="16"/>
              </w:rPr>
              <w:t>5</w:t>
            </w:r>
          </w:p>
        </w:tc>
        <w:tc>
          <w:tcPr>
            <w:tcW w:w="1049" w:type="pct"/>
            <w:shd w:val="clear" w:color="auto" w:fill="auto"/>
            <w:noWrap/>
            <w:hideMark/>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Alcohol</w:t>
            </w:r>
          </w:p>
        </w:tc>
        <w:tc>
          <w:tcPr>
            <w:tcW w:w="524" w:type="pct"/>
            <w:shd w:val="clear" w:color="auto" w:fill="auto"/>
            <w:noWrap/>
            <w:hideMark/>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1038</w:t>
            </w:r>
          </w:p>
        </w:tc>
        <w:tc>
          <w:tcPr>
            <w:tcW w:w="555" w:type="pct"/>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801</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w:t>
            </w:r>
            <w:r w:rsidR="00333D4A" w:rsidRPr="009C0700">
              <w:rPr>
                <w:rFonts w:ascii="Times New Roman" w:eastAsia="Times New Roman" w:hAnsi="Times New Roman"/>
                <w:color w:val="000000"/>
                <w:sz w:val="16"/>
                <w:szCs w:val="16"/>
              </w:rPr>
              <w:t>5)</w:t>
            </w:r>
          </w:p>
        </w:tc>
        <w:tc>
          <w:tcPr>
            <w:tcW w:w="688" w:type="pct"/>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237</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(16.</w:t>
            </w:r>
            <w:r w:rsidR="00333D4A" w:rsidRPr="009C0700">
              <w:rPr>
                <w:rFonts w:ascii="Times New Roman" w:eastAsia="Times New Roman" w:hAnsi="Times New Roman"/>
                <w:color w:val="000000"/>
                <w:sz w:val="16"/>
                <w:szCs w:val="16"/>
              </w:rPr>
              <w:t>5)</w:t>
            </w:r>
          </w:p>
        </w:tc>
        <w:tc>
          <w:tcPr>
            <w:tcW w:w="555" w:type="pct"/>
          </w:tcPr>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44.</w:t>
            </w:r>
            <w:r w:rsidR="00333D4A" w:rsidRPr="009C0700">
              <w:rPr>
                <w:rFonts w:ascii="Times New Roman" w:eastAsia="Times New Roman" w:hAnsi="Times New Roman"/>
                <w:color w:val="000000"/>
                <w:sz w:val="16"/>
                <w:szCs w:val="16"/>
              </w:rPr>
              <w:t>5</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w:t>
            </w:r>
            <w:r w:rsidR="00333D4A" w:rsidRPr="009C0700">
              <w:rPr>
                <w:rFonts w:ascii="Times New Roman" w:eastAsia="Times New Roman" w:hAnsi="Times New Roman"/>
                <w:color w:val="000000"/>
                <w:sz w:val="16"/>
                <w:szCs w:val="16"/>
              </w:rPr>
              <w:t>1)</w:t>
            </w:r>
          </w:p>
        </w:tc>
        <w:tc>
          <w:tcPr>
            <w:tcW w:w="1116" w:type="pct"/>
          </w:tcPr>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w:t>
            </w:r>
            <w:r w:rsidR="00333D4A" w:rsidRPr="009C0700">
              <w:rPr>
                <w:rFonts w:ascii="Times New Roman" w:eastAsia="Times New Roman" w:hAnsi="Times New Roman"/>
                <w:color w:val="000000"/>
                <w:sz w:val="16"/>
                <w:szCs w:val="16"/>
              </w:rPr>
              <w:t xml:space="preserve">7 </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r w:rsidR="00333D4A" w:rsidRPr="009C0700">
              <w:rPr>
                <w:rFonts w:ascii="Times New Roman" w:eastAsia="Times New Roman" w:hAnsi="Times New Roman"/>
                <w:color w:val="000000"/>
                <w:sz w:val="16"/>
                <w:szCs w:val="16"/>
              </w:rPr>
              <w:t>2)</w:t>
            </w:r>
          </w:p>
        </w:tc>
      </w:tr>
      <w:tr w:rsidR="00333D4A" w:rsidRPr="00002F2F" w:rsidTr="00C62A37">
        <w:trPr>
          <w:gridAfter w:val="1"/>
          <w:wAfter w:w="10" w:type="pct"/>
          <w:trHeight w:val="270"/>
        </w:trPr>
        <w:tc>
          <w:tcPr>
            <w:tcW w:w="503" w:type="pct"/>
            <w:shd w:val="clear" w:color="auto" w:fill="auto"/>
            <w:hideMark/>
          </w:tcPr>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F11.</w:t>
            </w:r>
            <w:r w:rsidR="00333D4A" w:rsidRPr="009C0700">
              <w:rPr>
                <w:rFonts w:ascii="Times New Roman" w:eastAsia="Times New Roman" w:hAnsi="Times New Roman"/>
                <w:color w:val="000000"/>
                <w:sz w:val="16"/>
                <w:szCs w:val="16"/>
              </w:rPr>
              <w:t>5</w:t>
            </w:r>
          </w:p>
        </w:tc>
        <w:tc>
          <w:tcPr>
            <w:tcW w:w="1049" w:type="pct"/>
            <w:shd w:val="clear" w:color="auto" w:fill="auto"/>
            <w:noWrap/>
            <w:hideMark/>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Opioids</w:t>
            </w:r>
          </w:p>
        </w:tc>
        <w:tc>
          <w:tcPr>
            <w:tcW w:w="524" w:type="pct"/>
            <w:shd w:val="clear" w:color="auto" w:fill="auto"/>
            <w:noWrap/>
            <w:hideMark/>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419</w:t>
            </w:r>
          </w:p>
        </w:tc>
        <w:tc>
          <w:tcPr>
            <w:tcW w:w="555" w:type="pct"/>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309</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(73.</w:t>
            </w:r>
            <w:r w:rsidR="00333D4A" w:rsidRPr="009C0700">
              <w:rPr>
                <w:rFonts w:ascii="Times New Roman" w:eastAsia="Times New Roman" w:hAnsi="Times New Roman"/>
                <w:color w:val="000000"/>
                <w:sz w:val="16"/>
                <w:szCs w:val="16"/>
              </w:rPr>
              <w:t>7)</w:t>
            </w:r>
          </w:p>
        </w:tc>
        <w:tc>
          <w:tcPr>
            <w:tcW w:w="688" w:type="pct"/>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110</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(26.</w:t>
            </w:r>
            <w:r w:rsidR="00333D4A" w:rsidRPr="009C0700">
              <w:rPr>
                <w:rFonts w:ascii="Times New Roman" w:eastAsia="Times New Roman" w:hAnsi="Times New Roman"/>
                <w:color w:val="000000"/>
                <w:sz w:val="16"/>
                <w:szCs w:val="16"/>
              </w:rPr>
              <w:t>3)</w:t>
            </w:r>
          </w:p>
        </w:tc>
        <w:tc>
          <w:tcPr>
            <w:tcW w:w="555" w:type="pct"/>
          </w:tcPr>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30.</w:t>
            </w:r>
            <w:r w:rsidR="00333D4A" w:rsidRPr="009C0700">
              <w:rPr>
                <w:rFonts w:ascii="Times New Roman" w:eastAsia="Times New Roman" w:hAnsi="Times New Roman"/>
                <w:color w:val="000000"/>
                <w:sz w:val="16"/>
                <w:szCs w:val="16"/>
              </w:rPr>
              <w:t>1</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r w:rsidR="00333D4A" w:rsidRPr="009C0700">
              <w:rPr>
                <w:rFonts w:ascii="Times New Roman" w:eastAsia="Times New Roman" w:hAnsi="Times New Roman"/>
                <w:color w:val="000000"/>
                <w:sz w:val="16"/>
                <w:szCs w:val="16"/>
              </w:rPr>
              <w:t>1)</w:t>
            </w:r>
          </w:p>
        </w:tc>
        <w:tc>
          <w:tcPr>
            <w:tcW w:w="1116" w:type="pct"/>
          </w:tcPr>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23.</w:t>
            </w:r>
            <w:r w:rsidR="00333D4A" w:rsidRPr="009C0700">
              <w:rPr>
                <w:rFonts w:ascii="Times New Roman" w:eastAsia="Times New Roman" w:hAnsi="Times New Roman"/>
                <w:color w:val="000000"/>
                <w:sz w:val="16"/>
                <w:szCs w:val="16"/>
              </w:rPr>
              <w:t xml:space="preserve">4 </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333D4A" w:rsidRPr="009C0700">
              <w:rPr>
                <w:rFonts w:ascii="Times New Roman" w:eastAsia="Times New Roman" w:hAnsi="Times New Roman"/>
                <w:color w:val="000000"/>
                <w:sz w:val="16"/>
                <w:szCs w:val="16"/>
              </w:rPr>
              <w:t>6)</w:t>
            </w:r>
          </w:p>
        </w:tc>
      </w:tr>
      <w:tr w:rsidR="00333D4A" w:rsidRPr="00002F2F" w:rsidTr="00C62A37">
        <w:trPr>
          <w:gridAfter w:val="1"/>
          <w:wAfter w:w="10" w:type="pct"/>
          <w:trHeight w:val="270"/>
        </w:trPr>
        <w:tc>
          <w:tcPr>
            <w:tcW w:w="503" w:type="pct"/>
            <w:shd w:val="clear" w:color="auto" w:fill="auto"/>
            <w:hideMark/>
          </w:tcPr>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F12.</w:t>
            </w:r>
            <w:r w:rsidR="00333D4A" w:rsidRPr="009C0700">
              <w:rPr>
                <w:rFonts w:ascii="Times New Roman" w:eastAsia="Times New Roman" w:hAnsi="Times New Roman"/>
                <w:color w:val="000000"/>
                <w:sz w:val="16"/>
                <w:szCs w:val="16"/>
              </w:rPr>
              <w:t>5</w:t>
            </w:r>
          </w:p>
        </w:tc>
        <w:tc>
          <w:tcPr>
            <w:tcW w:w="1049" w:type="pct"/>
            <w:shd w:val="clear" w:color="auto" w:fill="auto"/>
            <w:noWrap/>
            <w:hideMark/>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Cannabis</w:t>
            </w:r>
          </w:p>
        </w:tc>
        <w:tc>
          <w:tcPr>
            <w:tcW w:w="524" w:type="pct"/>
            <w:shd w:val="clear" w:color="auto" w:fill="auto"/>
            <w:noWrap/>
            <w:hideMark/>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276</w:t>
            </w:r>
          </w:p>
        </w:tc>
        <w:tc>
          <w:tcPr>
            <w:tcW w:w="555" w:type="pct"/>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214</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w:t>
            </w:r>
            <w:r w:rsidR="00333D4A" w:rsidRPr="009C0700">
              <w:rPr>
                <w:rFonts w:ascii="Times New Roman" w:eastAsia="Times New Roman" w:hAnsi="Times New Roman"/>
                <w:color w:val="000000"/>
                <w:sz w:val="16"/>
                <w:szCs w:val="16"/>
              </w:rPr>
              <w:t>5)</w:t>
            </w:r>
          </w:p>
        </w:tc>
        <w:tc>
          <w:tcPr>
            <w:tcW w:w="688" w:type="pct"/>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62</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(22.</w:t>
            </w:r>
            <w:r w:rsidR="00333D4A" w:rsidRPr="009C0700">
              <w:rPr>
                <w:rFonts w:ascii="Times New Roman" w:eastAsia="Times New Roman" w:hAnsi="Times New Roman"/>
                <w:color w:val="000000"/>
                <w:sz w:val="16"/>
                <w:szCs w:val="16"/>
              </w:rPr>
              <w:t>5)</w:t>
            </w:r>
          </w:p>
        </w:tc>
        <w:tc>
          <w:tcPr>
            <w:tcW w:w="555" w:type="pct"/>
          </w:tcPr>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28.</w:t>
            </w:r>
            <w:r w:rsidR="00333D4A" w:rsidRPr="009C0700">
              <w:rPr>
                <w:rFonts w:ascii="Times New Roman" w:eastAsia="Times New Roman" w:hAnsi="Times New Roman"/>
                <w:color w:val="000000"/>
                <w:sz w:val="16"/>
                <w:szCs w:val="16"/>
              </w:rPr>
              <w:t>2</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00333D4A" w:rsidRPr="009C0700">
              <w:rPr>
                <w:rFonts w:ascii="Times New Roman" w:eastAsia="Times New Roman" w:hAnsi="Times New Roman"/>
                <w:color w:val="000000"/>
                <w:sz w:val="16"/>
                <w:szCs w:val="16"/>
              </w:rPr>
              <w:t>1)</w:t>
            </w:r>
          </w:p>
        </w:tc>
        <w:tc>
          <w:tcPr>
            <w:tcW w:w="1116" w:type="pct"/>
          </w:tcPr>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30.</w:t>
            </w:r>
            <w:r w:rsidR="00333D4A" w:rsidRPr="009C0700">
              <w:rPr>
                <w:rFonts w:ascii="Times New Roman" w:eastAsia="Times New Roman" w:hAnsi="Times New Roman"/>
                <w:color w:val="000000"/>
                <w:sz w:val="16"/>
                <w:szCs w:val="16"/>
              </w:rPr>
              <w:t xml:space="preserve">4 </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333D4A" w:rsidRPr="009C0700">
              <w:rPr>
                <w:rFonts w:ascii="Times New Roman" w:eastAsia="Times New Roman" w:hAnsi="Times New Roman"/>
                <w:color w:val="000000"/>
                <w:sz w:val="16"/>
                <w:szCs w:val="16"/>
              </w:rPr>
              <w:t>2)</w:t>
            </w:r>
          </w:p>
        </w:tc>
      </w:tr>
      <w:tr w:rsidR="00333D4A" w:rsidRPr="00002F2F" w:rsidTr="00C62A37">
        <w:trPr>
          <w:gridAfter w:val="1"/>
          <w:wAfter w:w="10" w:type="pct"/>
          <w:trHeight w:val="270"/>
        </w:trPr>
        <w:tc>
          <w:tcPr>
            <w:tcW w:w="503" w:type="pct"/>
            <w:shd w:val="clear" w:color="auto" w:fill="auto"/>
            <w:hideMark/>
          </w:tcPr>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F13.</w:t>
            </w:r>
            <w:r w:rsidR="00333D4A" w:rsidRPr="009C0700">
              <w:rPr>
                <w:rFonts w:ascii="Times New Roman" w:eastAsia="Times New Roman" w:hAnsi="Times New Roman"/>
                <w:color w:val="000000"/>
                <w:sz w:val="16"/>
                <w:szCs w:val="16"/>
              </w:rPr>
              <w:t>5</w:t>
            </w:r>
          </w:p>
        </w:tc>
        <w:tc>
          <w:tcPr>
            <w:tcW w:w="1049" w:type="pct"/>
            <w:shd w:val="clear" w:color="auto" w:fill="auto"/>
            <w:noWrap/>
            <w:hideMark/>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Sedatives</w:t>
            </w:r>
          </w:p>
        </w:tc>
        <w:tc>
          <w:tcPr>
            <w:tcW w:w="524" w:type="pct"/>
            <w:shd w:val="clear" w:color="auto" w:fill="auto"/>
            <w:noWrap/>
            <w:hideMark/>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35</w:t>
            </w:r>
          </w:p>
        </w:tc>
        <w:tc>
          <w:tcPr>
            <w:tcW w:w="555" w:type="pct"/>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 xml:space="preserve">20 </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(57.</w:t>
            </w:r>
            <w:r w:rsidR="00333D4A" w:rsidRPr="009C0700">
              <w:rPr>
                <w:rFonts w:ascii="Times New Roman" w:eastAsia="Times New Roman" w:hAnsi="Times New Roman"/>
                <w:color w:val="000000"/>
                <w:sz w:val="16"/>
                <w:szCs w:val="16"/>
              </w:rPr>
              <w:t>1)</w:t>
            </w:r>
          </w:p>
        </w:tc>
        <w:tc>
          <w:tcPr>
            <w:tcW w:w="688" w:type="pct"/>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15</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(42.</w:t>
            </w:r>
            <w:r w:rsidR="00333D4A" w:rsidRPr="009C0700">
              <w:rPr>
                <w:rFonts w:ascii="Times New Roman" w:eastAsia="Times New Roman" w:hAnsi="Times New Roman"/>
                <w:color w:val="000000"/>
                <w:sz w:val="16"/>
                <w:szCs w:val="16"/>
              </w:rPr>
              <w:t>9)</w:t>
            </w:r>
          </w:p>
        </w:tc>
        <w:tc>
          <w:tcPr>
            <w:tcW w:w="555" w:type="pct"/>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33</w:t>
            </w:r>
            <w:r w:rsidR="004778EA">
              <w:rPr>
                <w:rFonts w:ascii="Times New Roman" w:eastAsia="Times New Roman" w:hAnsi="Times New Roman"/>
                <w:color w:val="000000"/>
                <w:sz w:val="16"/>
                <w:szCs w:val="16"/>
              </w:rPr>
              <w:t>.</w:t>
            </w:r>
            <w:r w:rsidRPr="009C0700">
              <w:rPr>
                <w:rFonts w:ascii="Times New Roman" w:eastAsia="Times New Roman" w:hAnsi="Times New Roman"/>
                <w:color w:val="000000"/>
                <w:sz w:val="16"/>
                <w:szCs w:val="16"/>
              </w:rPr>
              <w:t>8</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w:t>
            </w:r>
            <w:r w:rsidR="00333D4A" w:rsidRPr="009C0700">
              <w:rPr>
                <w:rFonts w:ascii="Times New Roman" w:eastAsia="Times New Roman" w:hAnsi="Times New Roman"/>
                <w:color w:val="000000"/>
                <w:sz w:val="16"/>
                <w:szCs w:val="16"/>
              </w:rPr>
              <w:t>3)</w:t>
            </w:r>
          </w:p>
        </w:tc>
        <w:tc>
          <w:tcPr>
            <w:tcW w:w="1116" w:type="pct"/>
          </w:tcPr>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333D4A" w:rsidRPr="009C0700">
              <w:rPr>
                <w:rFonts w:ascii="Times New Roman" w:eastAsia="Times New Roman" w:hAnsi="Times New Roman"/>
                <w:color w:val="000000"/>
                <w:sz w:val="16"/>
                <w:szCs w:val="16"/>
              </w:rPr>
              <w:t xml:space="preserve">6 </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w:t>
            </w:r>
            <w:r w:rsidR="00333D4A" w:rsidRPr="009C0700">
              <w:rPr>
                <w:rFonts w:ascii="Times New Roman" w:eastAsia="Times New Roman" w:hAnsi="Times New Roman"/>
                <w:color w:val="000000"/>
                <w:sz w:val="16"/>
                <w:szCs w:val="16"/>
              </w:rPr>
              <w:t>8)</w:t>
            </w:r>
          </w:p>
        </w:tc>
      </w:tr>
      <w:tr w:rsidR="00333D4A" w:rsidRPr="00002F2F" w:rsidTr="00C62A37">
        <w:trPr>
          <w:gridAfter w:val="1"/>
          <w:wAfter w:w="10" w:type="pct"/>
          <w:trHeight w:val="270"/>
        </w:trPr>
        <w:tc>
          <w:tcPr>
            <w:tcW w:w="503" w:type="pct"/>
            <w:shd w:val="clear" w:color="auto" w:fill="auto"/>
            <w:hideMark/>
          </w:tcPr>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F14.</w:t>
            </w:r>
            <w:r w:rsidR="00333D4A" w:rsidRPr="009C0700">
              <w:rPr>
                <w:rFonts w:ascii="Times New Roman" w:eastAsia="Times New Roman" w:hAnsi="Times New Roman"/>
                <w:color w:val="000000"/>
                <w:sz w:val="16"/>
                <w:szCs w:val="16"/>
              </w:rPr>
              <w:t>5</w:t>
            </w:r>
          </w:p>
        </w:tc>
        <w:tc>
          <w:tcPr>
            <w:tcW w:w="1049" w:type="pct"/>
            <w:shd w:val="clear" w:color="auto" w:fill="auto"/>
            <w:noWrap/>
            <w:hideMark/>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Cocaine</w:t>
            </w:r>
          </w:p>
        </w:tc>
        <w:tc>
          <w:tcPr>
            <w:tcW w:w="524" w:type="pct"/>
            <w:shd w:val="clear" w:color="auto" w:fill="auto"/>
            <w:noWrap/>
            <w:hideMark/>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24</w:t>
            </w:r>
          </w:p>
        </w:tc>
        <w:tc>
          <w:tcPr>
            <w:tcW w:w="555" w:type="pct"/>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20</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w:t>
            </w:r>
            <w:r w:rsidR="00333D4A" w:rsidRPr="009C0700">
              <w:rPr>
                <w:rFonts w:ascii="Times New Roman" w:eastAsia="Times New Roman" w:hAnsi="Times New Roman"/>
                <w:color w:val="000000"/>
                <w:sz w:val="16"/>
                <w:szCs w:val="16"/>
              </w:rPr>
              <w:t>3)</w:t>
            </w:r>
          </w:p>
        </w:tc>
        <w:tc>
          <w:tcPr>
            <w:tcW w:w="688" w:type="pct"/>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4</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(16.</w:t>
            </w:r>
            <w:r w:rsidR="00333D4A" w:rsidRPr="009C0700">
              <w:rPr>
                <w:rFonts w:ascii="Times New Roman" w:eastAsia="Times New Roman" w:hAnsi="Times New Roman"/>
                <w:color w:val="000000"/>
                <w:sz w:val="16"/>
                <w:szCs w:val="16"/>
              </w:rPr>
              <w:t>7)</w:t>
            </w:r>
          </w:p>
        </w:tc>
        <w:tc>
          <w:tcPr>
            <w:tcW w:w="555" w:type="pct"/>
          </w:tcPr>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28.</w:t>
            </w:r>
            <w:r w:rsidR="00333D4A" w:rsidRPr="009C0700">
              <w:rPr>
                <w:rFonts w:ascii="Times New Roman" w:eastAsia="Times New Roman" w:hAnsi="Times New Roman"/>
                <w:color w:val="000000"/>
                <w:sz w:val="16"/>
                <w:szCs w:val="16"/>
              </w:rPr>
              <w:t>9</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w:t>
            </w:r>
            <w:r w:rsidR="00333D4A" w:rsidRPr="009C0700">
              <w:rPr>
                <w:rFonts w:ascii="Times New Roman" w:eastAsia="Times New Roman" w:hAnsi="Times New Roman"/>
                <w:color w:val="000000"/>
                <w:sz w:val="16"/>
                <w:szCs w:val="16"/>
              </w:rPr>
              <w:t>4)</w:t>
            </w:r>
          </w:p>
        </w:tc>
        <w:tc>
          <w:tcPr>
            <w:tcW w:w="1116" w:type="pct"/>
          </w:tcPr>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27.</w:t>
            </w:r>
            <w:r w:rsidR="00333D4A" w:rsidRPr="009C0700">
              <w:rPr>
                <w:rFonts w:ascii="Times New Roman" w:eastAsia="Times New Roman" w:hAnsi="Times New Roman"/>
                <w:color w:val="000000"/>
                <w:sz w:val="16"/>
                <w:szCs w:val="16"/>
              </w:rPr>
              <w:t xml:space="preserve">8 </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00333D4A" w:rsidRPr="009C0700">
              <w:rPr>
                <w:rFonts w:ascii="Times New Roman" w:eastAsia="Times New Roman" w:hAnsi="Times New Roman"/>
                <w:color w:val="000000"/>
                <w:sz w:val="16"/>
                <w:szCs w:val="16"/>
              </w:rPr>
              <w:t>9)</w:t>
            </w:r>
          </w:p>
        </w:tc>
      </w:tr>
      <w:tr w:rsidR="00333D4A" w:rsidRPr="00002F2F" w:rsidTr="00C62A37">
        <w:trPr>
          <w:gridAfter w:val="1"/>
          <w:wAfter w:w="10" w:type="pct"/>
          <w:trHeight w:val="270"/>
        </w:trPr>
        <w:tc>
          <w:tcPr>
            <w:tcW w:w="503" w:type="pct"/>
            <w:shd w:val="clear" w:color="auto" w:fill="auto"/>
            <w:hideMark/>
          </w:tcPr>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F15.</w:t>
            </w:r>
            <w:r w:rsidR="00333D4A" w:rsidRPr="009C0700">
              <w:rPr>
                <w:rFonts w:ascii="Times New Roman" w:eastAsia="Times New Roman" w:hAnsi="Times New Roman"/>
                <w:color w:val="000000"/>
                <w:sz w:val="16"/>
                <w:szCs w:val="16"/>
              </w:rPr>
              <w:t>5</w:t>
            </w:r>
          </w:p>
        </w:tc>
        <w:tc>
          <w:tcPr>
            <w:tcW w:w="1049" w:type="pct"/>
            <w:shd w:val="clear" w:color="auto" w:fill="auto"/>
            <w:noWrap/>
            <w:hideMark/>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Stimulants</w:t>
            </w:r>
          </w:p>
        </w:tc>
        <w:tc>
          <w:tcPr>
            <w:tcW w:w="524" w:type="pct"/>
            <w:shd w:val="clear" w:color="auto" w:fill="auto"/>
            <w:noWrap/>
            <w:hideMark/>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273</w:t>
            </w:r>
          </w:p>
        </w:tc>
        <w:tc>
          <w:tcPr>
            <w:tcW w:w="555" w:type="pct"/>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183</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(67.</w:t>
            </w:r>
            <w:r w:rsidR="00333D4A" w:rsidRPr="009C0700">
              <w:rPr>
                <w:rFonts w:ascii="Times New Roman" w:eastAsia="Times New Roman" w:hAnsi="Times New Roman"/>
                <w:color w:val="000000"/>
                <w:sz w:val="16"/>
                <w:szCs w:val="16"/>
              </w:rPr>
              <w:t>0)</w:t>
            </w:r>
          </w:p>
        </w:tc>
        <w:tc>
          <w:tcPr>
            <w:tcW w:w="688" w:type="pct"/>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90</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(33.</w:t>
            </w:r>
            <w:r w:rsidR="00333D4A" w:rsidRPr="009C0700">
              <w:rPr>
                <w:rFonts w:ascii="Times New Roman" w:eastAsia="Times New Roman" w:hAnsi="Times New Roman"/>
                <w:color w:val="000000"/>
                <w:sz w:val="16"/>
                <w:szCs w:val="16"/>
              </w:rPr>
              <w:t>0)</w:t>
            </w:r>
          </w:p>
        </w:tc>
        <w:tc>
          <w:tcPr>
            <w:tcW w:w="555" w:type="pct"/>
          </w:tcPr>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30.</w:t>
            </w:r>
            <w:r w:rsidR="00333D4A" w:rsidRPr="009C0700">
              <w:rPr>
                <w:rFonts w:ascii="Times New Roman" w:eastAsia="Times New Roman" w:hAnsi="Times New Roman"/>
                <w:color w:val="000000"/>
                <w:sz w:val="16"/>
                <w:szCs w:val="16"/>
              </w:rPr>
              <w:t>4</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r w:rsidR="00333D4A" w:rsidRPr="009C0700">
              <w:rPr>
                <w:rFonts w:ascii="Times New Roman" w:eastAsia="Times New Roman" w:hAnsi="Times New Roman"/>
                <w:color w:val="000000"/>
                <w:sz w:val="16"/>
                <w:szCs w:val="16"/>
              </w:rPr>
              <w:t>6)</w:t>
            </w:r>
          </w:p>
        </w:tc>
        <w:tc>
          <w:tcPr>
            <w:tcW w:w="1116" w:type="pct"/>
          </w:tcPr>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27.</w:t>
            </w:r>
            <w:r w:rsidR="00333D4A" w:rsidRPr="009C0700">
              <w:rPr>
                <w:rFonts w:ascii="Times New Roman" w:eastAsia="Times New Roman" w:hAnsi="Times New Roman"/>
                <w:color w:val="000000"/>
                <w:sz w:val="16"/>
                <w:szCs w:val="16"/>
              </w:rPr>
              <w:t xml:space="preserve">2 </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333D4A" w:rsidRPr="009C0700">
              <w:rPr>
                <w:rFonts w:ascii="Times New Roman" w:eastAsia="Times New Roman" w:hAnsi="Times New Roman"/>
                <w:color w:val="000000"/>
                <w:sz w:val="16"/>
                <w:szCs w:val="16"/>
              </w:rPr>
              <w:t>1)</w:t>
            </w:r>
          </w:p>
        </w:tc>
      </w:tr>
      <w:tr w:rsidR="00333D4A" w:rsidRPr="00002F2F" w:rsidTr="00C62A37">
        <w:trPr>
          <w:gridAfter w:val="1"/>
          <w:wAfter w:w="10" w:type="pct"/>
          <w:trHeight w:val="270"/>
        </w:trPr>
        <w:tc>
          <w:tcPr>
            <w:tcW w:w="503" w:type="pct"/>
            <w:shd w:val="clear" w:color="auto" w:fill="auto"/>
            <w:hideMark/>
          </w:tcPr>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F16.</w:t>
            </w:r>
            <w:r w:rsidR="00333D4A" w:rsidRPr="009C0700">
              <w:rPr>
                <w:rFonts w:ascii="Times New Roman" w:eastAsia="Times New Roman" w:hAnsi="Times New Roman"/>
                <w:color w:val="000000"/>
                <w:sz w:val="16"/>
                <w:szCs w:val="16"/>
              </w:rPr>
              <w:t>5</w:t>
            </w:r>
          </w:p>
        </w:tc>
        <w:tc>
          <w:tcPr>
            <w:tcW w:w="1049" w:type="pct"/>
            <w:shd w:val="clear" w:color="auto" w:fill="auto"/>
            <w:noWrap/>
            <w:hideMark/>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Hallucinogens</w:t>
            </w:r>
          </w:p>
        </w:tc>
        <w:tc>
          <w:tcPr>
            <w:tcW w:w="524" w:type="pct"/>
            <w:shd w:val="clear" w:color="auto" w:fill="auto"/>
            <w:noWrap/>
            <w:hideMark/>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36</w:t>
            </w:r>
          </w:p>
        </w:tc>
        <w:tc>
          <w:tcPr>
            <w:tcW w:w="555" w:type="pct"/>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26</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(72.</w:t>
            </w:r>
            <w:r w:rsidR="00333D4A" w:rsidRPr="009C0700">
              <w:rPr>
                <w:rFonts w:ascii="Times New Roman" w:eastAsia="Times New Roman" w:hAnsi="Times New Roman"/>
                <w:color w:val="000000"/>
                <w:sz w:val="16"/>
                <w:szCs w:val="16"/>
              </w:rPr>
              <w:t>2)</w:t>
            </w:r>
          </w:p>
        </w:tc>
        <w:tc>
          <w:tcPr>
            <w:tcW w:w="688" w:type="pct"/>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10</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(27.</w:t>
            </w:r>
            <w:r w:rsidR="00333D4A" w:rsidRPr="009C0700">
              <w:rPr>
                <w:rFonts w:ascii="Times New Roman" w:eastAsia="Times New Roman" w:hAnsi="Times New Roman"/>
                <w:color w:val="000000"/>
                <w:sz w:val="16"/>
                <w:szCs w:val="16"/>
              </w:rPr>
              <w:t>8)</w:t>
            </w:r>
          </w:p>
        </w:tc>
        <w:tc>
          <w:tcPr>
            <w:tcW w:w="555" w:type="pct"/>
          </w:tcPr>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23.</w:t>
            </w:r>
            <w:r w:rsidR="00333D4A" w:rsidRPr="009C0700">
              <w:rPr>
                <w:rFonts w:ascii="Times New Roman" w:eastAsia="Times New Roman" w:hAnsi="Times New Roman"/>
                <w:color w:val="000000"/>
                <w:sz w:val="16"/>
                <w:szCs w:val="16"/>
              </w:rPr>
              <w:t>2</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w:t>
            </w:r>
            <w:r w:rsidR="00333D4A" w:rsidRPr="009C0700">
              <w:rPr>
                <w:rFonts w:ascii="Times New Roman" w:eastAsia="Times New Roman" w:hAnsi="Times New Roman"/>
                <w:color w:val="000000"/>
                <w:sz w:val="16"/>
                <w:szCs w:val="16"/>
              </w:rPr>
              <w:t>5)</w:t>
            </w:r>
          </w:p>
        </w:tc>
        <w:tc>
          <w:tcPr>
            <w:tcW w:w="1116" w:type="pct"/>
          </w:tcPr>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w:t>
            </w:r>
            <w:r w:rsidR="00333D4A" w:rsidRPr="009C0700">
              <w:rPr>
                <w:rFonts w:ascii="Times New Roman" w:eastAsia="Times New Roman" w:hAnsi="Times New Roman"/>
                <w:color w:val="000000"/>
                <w:sz w:val="16"/>
                <w:szCs w:val="16"/>
              </w:rPr>
              <w:t xml:space="preserve">2 </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w:t>
            </w:r>
            <w:r w:rsidR="00333D4A" w:rsidRPr="009C0700">
              <w:rPr>
                <w:rFonts w:ascii="Times New Roman" w:eastAsia="Times New Roman" w:hAnsi="Times New Roman"/>
                <w:color w:val="000000"/>
                <w:sz w:val="16"/>
                <w:szCs w:val="16"/>
              </w:rPr>
              <w:t>8)</w:t>
            </w:r>
          </w:p>
        </w:tc>
      </w:tr>
      <w:tr w:rsidR="00333D4A" w:rsidRPr="00002F2F" w:rsidTr="00C62A37">
        <w:trPr>
          <w:gridAfter w:val="1"/>
          <w:wAfter w:w="10" w:type="pct"/>
          <w:trHeight w:val="270"/>
        </w:trPr>
        <w:tc>
          <w:tcPr>
            <w:tcW w:w="503" w:type="pct"/>
            <w:shd w:val="clear" w:color="auto" w:fill="auto"/>
            <w:hideMark/>
          </w:tcPr>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F17.</w:t>
            </w:r>
            <w:r w:rsidR="00333D4A" w:rsidRPr="009C0700">
              <w:rPr>
                <w:rFonts w:ascii="Times New Roman" w:eastAsia="Times New Roman" w:hAnsi="Times New Roman"/>
                <w:color w:val="000000"/>
                <w:sz w:val="16"/>
                <w:szCs w:val="16"/>
              </w:rPr>
              <w:t>5</w:t>
            </w:r>
          </w:p>
        </w:tc>
        <w:tc>
          <w:tcPr>
            <w:tcW w:w="1049" w:type="pct"/>
            <w:shd w:val="clear" w:color="auto" w:fill="auto"/>
            <w:noWrap/>
            <w:hideMark/>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Tobacco</w:t>
            </w:r>
          </w:p>
        </w:tc>
        <w:tc>
          <w:tcPr>
            <w:tcW w:w="524" w:type="pct"/>
            <w:shd w:val="clear" w:color="auto" w:fill="auto"/>
            <w:noWrap/>
            <w:hideMark/>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2</w:t>
            </w:r>
          </w:p>
        </w:tc>
        <w:tc>
          <w:tcPr>
            <w:tcW w:w="555" w:type="pct"/>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1</w:t>
            </w:r>
          </w:p>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(50)</w:t>
            </w:r>
          </w:p>
        </w:tc>
        <w:tc>
          <w:tcPr>
            <w:tcW w:w="688" w:type="pct"/>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1</w:t>
            </w:r>
          </w:p>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(50)</w:t>
            </w:r>
          </w:p>
        </w:tc>
        <w:tc>
          <w:tcPr>
            <w:tcW w:w="555" w:type="pct"/>
          </w:tcPr>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46.</w:t>
            </w:r>
            <w:r w:rsidR="00333D4A" w:rsidRPr="009C0700">
              <w:rPr>
                <w:rFonts w:ascii="Times New Roman" w:eastAsia="Times New Roman" w:hAnsi="Times New Roman"/>
                <w:color w:val="000000"/>
                <w:sz w:val="16"/>
                <w:szCs w:val="16"/>
              </w:rPr>
              <w:t>5</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333D4A" w:rsidRPr="009C0700">
              <w:rPr>
                <w:rFonts w:ascii="Times New Roman" w:eastAsia="Times New Roman" w:hAnsi="Times New Roman"/>
                <w:color w:val="000000"/>
                <w:sz w:val="16"/>
                <w:szCs w:val="16"/>
              </w:rPr>
              <w:t>5)</w:t>
            </w:r>
          </w:p>
        </w:tc>
        <w:tc>
          <w:tcPr>
            <w:tcW w:w="1116" w:type="pct"/>
          </w:tcPr>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r w:rsidR="00333D4A" w:rsidRPr="009C0700">
              <w:rPr>
                <w:rFonts w:ascii="Times New Roman" w:eastAsia="Times New Roman" w:hAnsi="Times New Roman"/>
                <w:color w:val="000000"/>
                <w:sz w:val="16"/>
                <w:szCs w:val="16"/>
              </w:rPr>
              <w:t xml:space="preserve">0 </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w:t>
            </w:r>
            <w:r w:rsidR="00333D4A" w:rsidRPr="009C0700">
              <w:rPr>
                <w:rFonts w:ascii="Times New Roman" w:eastAsia="Times New Roman" w:hAnsi="Times New Roman"/>
                <w:color w:val="000000"/>
                <w:sz w:val="16"/>
                <w:szCs w:val="16"/>
              </w:rPr>
              <w:t>4)</w:t>
            </w:r>
          </w:p>
        </w:tc>
      </w:tr>
      <w:tr w:rsidR="00333D4A" w:rsidRPr="00002F2F" w:rsidTr="00C62A37">
        <w:trPr>
          <w:gridAfter w:val="1"/>
          <w:wAfter w:w="10" w:type="pct"/>
          <w:trHeight w:val="270"/>
        </w:trPr>
        <w:tc>
          <w:tcPr>
            <w:tcW w:w="503" w:type="pct"/>
            <w:shd w:val="clear" w:color="auto" w:fill="auto"/>
            <w:hideMark/>
          </w:tcPr>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F18.</w:t>
            </w:r>
            <w:r w:rsidR="00333D4A" w:rsidRPr="009C0700">
              <w:rPr>
                <w:rFonts w:ascii="Times New Roman" w:eastAsia="Times New Roman" w:hAnsi="Times New Roman"/>
                <w:color w:val="000000"/>
                <w:sz w:val="16"/>
                <w:szCs w:val="16"/>
              </w:rPr>
              <w:t>5</w:t>
            </w:r>
          </w:p>
        </w:tc>
        <w:tc>
          <w:tcPr>
            <w:tcW w:w="1049" w:type="pct"/>
            <w:shd w:val="clear" w:color="auto" w:fill="auto"/>
            <w:noWrap/>
            <w:hideMark/>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Solvents</w:t>
            </w:r>
          </w:p>
        </w:tc>
        <w:tc>
          <w:tcPr>
            <w:tcW w:w="524" w:type="pct"/>
            <w:shd w:val="clear" w:color="auto" w:fill="auto"/>
            <w:noWrap/>
            <w:hideMark/>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14</w:t>
            </w:r>
          </w:p>
        </w:tc>
        <w:tc>
          <w:tcPr>
            <w:tcW w:w="555" w:type="pct"/>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12</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(85.</w:t>
            </w:r>
            <w:r w:rsidR="00333D4A" w:rsidRPr="009C0700">
              <w:rPr>
                <w:rFonts w:ascii="Times New Roman" w:eastAsia="Times New Roman" w:hAnsi="Times New Roman"/>
                <w:color w:val="000000"/>
                <w:sz w:val="16"/>
                <w:szCs w:val="16"/>
              </w:rPr>
              <w:t>7)</w:t>
            </w:r>
          </w:p>
        </w:tc>
        <w:tc>
          <w:tcPr>
            <w:tcW w:w="688" w:type="pct"/>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2</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w:t>
            </w:r>
            <w:r w:rsidR="00333D4A" w:rsidRPr="009C0700">
              <w:rPr>
                <w:rFonts w:ascii="Times New Roman" w:eastAsia="Times New Roman" w:hAnsi="Times New Roman"/>
                <w:color w:val="000000"/>
                <w:sz w:val="16"/>
                <w:szCs w:val="16"/>
              </w:rPr>
              <w:t>3)</w:t>
            </w:r>
          </w:p>
        </w:tc>
        <w:tc>
          <w:tcPr>
            <w:tcW w:w="555" w:type="pct"/>
          </w:tcPr>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27.</w:t>
            </w:r>
            <w:r w:rsidR="00333D4A" w:rsidRPr="009C0700">
              <w:rPr>
                <w:rFonts w:ascii="Times New Roman" w:eastAsia="Times New Roman" w:hAnsi="Times New Roman"/>
                <w:color w:val="000000"/>
                <w:sz w:val="16"/>
                <w:szCs w:val="16"/>
              </w:rPr>
              <w:t>1</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00333D4A" w:rsidRPr="009C0700">
              <w:rPr>
                <w:rFonts w:ascii="Times New Roman" w:eastAsia="Times New Roman" w:hAnsi="Times New Roman"/>
                <w:color w:val="000000"/>
                <w:sz w:val="16"/>
                <w:szCs w:val="16"/>
              </w:rPr>
              <w:t>5)</w:t>
            </w:r>
          </w:p>
        </w:tc>
        <w:tc>
          <w:tcPr>
            <w:tcW w:w="1116" w:type="pct"/>
          </w:tcPr>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22.</w:t>
            </w:r>
            <w:r w:rsidR="00333D4A" w:rsidRPr="009C0700">
              <w:rPr>
                <w:rFonts w:ascii="Times New Roman" w:eastAsia="Times New Roman" w:hAnsi="Times New Roman"/>
                <w:color w:val="000000"/>
                <w:sz w:val="16"/>
                <w:szCs w:val="16"/>
              </w:rPr>
              <w:t xml:space="preserve">1 </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w:t>
            </w:r>
            <w:r w:rsidR="00333D4A" w:rsidRPr="009C0700">
              <w:rPr>
                <w:rFonts w:ascii="Times New Roman" w:eastAsia="Times New Roman" w:hAnsi="Times New Roman"/>
                <w:color w:val="000000"/>
                <w:sz w:val="16"/>
                <w:szCs w:val="16"/>
              </w:rPr>
              <w:t>1)</w:t>
            </w:r>
          </w:p>
        </w:tc>
      </w:tr>
      <w:tr w:rsidR="00333D4A" w:rsidRPr="00002F2F" w:rsidTr="00C62A37">
        <w:trPr>
          <w:gridAfter w:val="1"/>
          <w:wAfter w:w="10" w:type="pct"/>
          <w:trHeight w:val="270"/>
        </w:trPr>
        <w:tc>
          <w:tcPr>
            <w:tcW w:w="503" w:type="pct"/>
            <w:shd w:val="clear" w:color="auto" w:fill="auto"/>
            <w:hideMark/>
          </w:tcPr>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F19.</w:t>
            </w:r>
            <w:r w:rsidR="00333D4A" w:rsidRPr="009C0700">
              <w:rPr>
                <w:rFonts w:ascii="Times New Roman" w:eastAsia="Times New Roman" w:hAnsi="Times New Roman"/>
                <w:color w:val="000000"/>
                <w:sz w:val="16"/>
                <w:szCs w:val="16"/>
              </w:rPr>
              <w:t>5</w:t>
            </w:r>
          </w:p>
        </w:tc>
        <w:tc>
          <w:tcPr>
            <w:tcW w:w="1049" w:type="pct"/>
            <w:shd w:val="clear" w:color="auto" w:fill="auto"/>
            <w:noWrap/>
            <w:hideMark/>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Multiple / Other</w:t>
            </w:r>
          </w:p>
        </w:tc>
        <w:tc>
          <w:tcPr>
            <w:tcW w:w="524" w:type="pct"/>
            <w:shd w:val="clear" w:color="auto" w:fill="auto"/>
            <w:noWrap/>
            <w:hideMark/>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1369</w:t>
            </w:r>
          </w:p>
        </w:tc>
        <w:tc>
          <w:tcPr>
            <w:tcW w:w="555" w:type="pct"/>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1048</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(76.</w:t>
            </w:r>
            <w:r w:rsidR="00333D4A" w:rsidRPr="009C0700">
              <w:rPr>
                <w:rFonts w:ascii="Times New Roman" w:eastAsia="Times New Roman" w:hAnsi="Times New Roman"/>
                <w:color w:val="000000"/>
                <w:sz w:val="16"/>
                <w:szCs w:val="16"/>
              </w:rPr>
              <w:t>6)</w:t>
            </w:r>
          </w:p>
        </w:tc>
        <w:tc>
          <w:tcPr>
            <w:tcW w:w="688" w:type="pct"/>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321</w:t>
            </w:r>
          </w:p>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(23</w:t>
            </w:r>
            <w:r w:rsidR="004778EA">
              <w:rPr>
                <w:rFonts w:ascii="Times New Roman" w:eastAsia="Times New Roman" w:hAnsi="Times New Roman"/>
                <w:color w:val="000000"/>
                <w:sz w:val="16"/>
                <w:szCs w:val="16"/>
              </w:rPr>
              <w:t>.</w:t>
            </w:r>
            <w:r w:rsidRPr="009C0700">
              <w:rPr>
                <w:rFonts w:ascii="Times New Roman" w:eastAsia="Times New Roman" w:hAnsi="Times New Roman"/>
                <w:color w:val="000000"/>
                <w:sz w:val="16"/>
                <w:szCs w:val="16"/>
              </w:rPr>
              <w:t>4)</w:t>
            </w:r>
          </w:p>
        </w:tc>
        <w:tc>
          <w:tcPr>
            <w:tcW w:w="555" w:type="pct"/>
          </w:tcPr>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28.</w:t>
            </w:r>
            <w:r w:rsidR="00333D4A" w:rsidRPr="009C0700">
              <w:rPr>
                <w:rFonts w:ascii="Times New Roman" w:eastAsia="Times New Roman" w:hAnsi="Times New Roman"/>
                <w:color w:val="000000"/>
                <w:sz w:val="16"/>
                <w:szCs w:val="16"/>
              </w:rPr>
              <w:t>8</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00333D4A" w:rsidRPr="009C0700">
              <w:rPr>
                <w:rFonts w:ascii="Times New Roman" w:eastAsia="Times New Roman" w:hAnsi="Times New Roman"/>
                <w:color w:val="000000"/>
                <w:sz w:val="16"/>
                <w:szCs w:val="16"/>
              </w:rPr>
              <w:t>4)</w:t>
            </w:r>
          </w:p>
        </w:tc>
        <w:tc>
          <w:tcPr>
            <w:tcW w:w="1116" w:type="pct"/>
          </w:tcPr>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30.</w:t>
            </w:r>
            <w:r w:rsidR="00333D4A" w:rsidRPr="009C0700">
              <w:rPr>
                <w:rFonts w:ascii="Times New Roman" w:eastAsia="Times New Roman" w:hAnsi="Times New Roman"/>
                <w:color w:val="000000"/>
                <w:sz w:val="16"/>
                <w:szCs w:val="16"/>
              </w:rPr>
              <w:t xml:space="preserve">0 </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r w:rsidR="00333D4A" w:rsidRPr="009C0700">
              <w:rPr>
                <w:rFonts w:ascii="Times New Roman" w:eastAsia="Times New Roman" w:hAnsi="Times New Roman"/>
                <w:color w:val="000000"/>
                <w:sz w:val="16"/>
                <w:szCs w:val="16"/>
              </w:rPr>
              <w:t>5)</w:t>
            </w:r>
          </w:p>
        </w:tc>
      </w:tr>
      <w:tr w:rsidR="00333D4A" w:rsidRPr="00002F2F" w:rsidTr="00C62A37">
        <w:trPr>
          <w:gridAfter w:val="1"/>
          <w:wAfter w:w="10" w:type="pct"/>
          <w:trHeight w:val="270"/>
        </w:trPr>
        <w:tc>
          <w:tcPr>
            <w:tcW w:w="503" w:type="pct"/>
            <w:shd w:val="clear" w:color="auto" w:fill="auto"/>
            <w:hideMark/>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All</w:t>
            </w:r>
          </w:p>
        </w:tc>
        <w:tc>
          <w:tcPr>
            <w:tcW w:w="1049" w:type="pct"/>
            <w:shd w:val="clear" w:color="auto" w:fill="auto"/>
            <w:noWrap/>
            <w:hideMark/>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Any</w:t>
            </w:r>
          </w:p>
        </w:tc>
        <w:tc>
          <w:tcPr>
            <w:tcW w:w="524" w:type="pct"/>
            <w:shd w:val="clear" w:color="auto" w:fill="auto"/>
            <w:noWrap/>
            <w:hideMark/>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3486</w:t>
            </w:r>
          </w:p>
        </w:tc>
        <w:tc>
          <w:tcPr>
            <w:tcW w:w="555" w:type="pct"/>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2634</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(75.</w:t>
            </w:r>
            <w:r w:rsidR="00333D4A" w:rsidRPr="009C0700">
              <w:rPr>
                <w:rFonts w:ascii="Times New Roman" w:eastAsia="Times New Roman" w:hAnsi="Times New Roman"/>
                <w:color w:val="000000"/>
                <w:sz w:val="16"/>
                <w:szCs w:val="16"/>
              </w:rPr>
              <w:t>6)</w:t>
            </w:r>
          </w:p>
        </w:tc>
        <w:tc>
          <w:tcPr>
            <w:tcW w:w="688" w:type="pct"/>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852</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w:t>
            </w:r>
            <w:r w:rsidR="00333D4A" w:rsidRPr="009C0700">
              <w:rPr>
                <w:rFonts w:ascii="Times New Roman" w:eastAsia="Times New Roman" w:hAnsi="Times New Roman"/>
                <w:color w:val="000000"/>
                <w:sz w:val="16"/>
                <w:szCs w:val="16"/>
              </w:rPr>
              <w:t>4)</w:t>
            </w:r>
          </w:p>
        </w:tc>
        <w:tc>
          <w:tcPr>
            <w:tcW w:w="555" w:type="pct"/>
          </w:tcPr>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33.</w:t>
            </w:r>
            <w:r w:rsidR="00333D4A" w:rsidRPr="009C0700">
              <w:rPr>
                <w:rFonts w:ascii="Times New Roman" w:eastAsia="Times New Roman" w:hAnsi="Times New Roman"/>
                <w:color w:val="000000"/>
                <w:sz w:val="16"/>
                <w:szCs w:val="16"/>
              </w:rPr>
              <w:t>9</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w:t>
            </w:r>
            <w:r w:rsidR="00333D4A" w:rsidRPr="009C0700">
              <w:rPr>
                <w:rFonts w:ascii="Times New Roman" w:eastAsia="Times New Roman" w:hAnsi="Times New Roman"/>
                <w:color w:val="000000"/>
                <w:sz w:val="16"/>
                <w:szCs w:val="16"/>
              </w:rPr>
              <w:t>9)</w:t>
            </w:r>
          </w:p>
        </w:tc>
        <w:tc>
          <w:tcPr>
            <w:tcW w:w="1116" w:type="pct"/>
          </w:tcPr>
          <w:p w:rsidR="00333D4A" w:rsidRPr="009C0700" w:rsidRDefault="00333D4A" w:rsidP="00C62A37">
            <w:pPr>
              <w:spacing w:after="0"/>
              <w:jc w:val="center"/>
              <w:rPr>
                <w:rFonts w:ascii="Times New Roman" w:eastAsia="Times New Roman" w:hAnsi="Times New Roman"/>
                <w:color w:val="000000"/>
                <w:sz w:val="16"/>
                <w:szCs w:val="16"/>
              </w:rPr>
            </w:pPr>
            <w:r w:rsidRPr="009C0700">
              <w:rPr>
                <w:rFonts w:ascii="Times New Roman" w:eastAsia="Times New Roman" w:hAnsi="Times New Roman"/>
                <w:color w:val="000000"/>
                <w:sz w:val="16"/>
                <w:szCs w:val="16"/>
              </w:rPr>
              <w:t>24·3</w:t>
            </w:r>
          </w:p>
          <w:p w:rsidR="00333D4A" w:rsidRPr="009C0700" w:rsidRDefault="004778EA" w:rsidP="00C62A37">
            <w:pPr>
              <w:spacing w:after="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r w:rsidR="00333D4A" w:rsidRPr="009C0700">
              <w:rPr>
                <w:rFonts w:ascii="Times New Roman" w:eastAsia="Times New Roman" w:hAnsi="Times New Roman"/>
                <w:color w:val="000000"/>
                <w:sz w:val="16"/>
                <w:szCs w:val="16"/>
              </w:rPr>
              <w:t>008)</w:t>
            </w:r>
          </w:p>
        </w:tc>
      </w:tr>
    </w:tbl>
    <w:p w:rsidR="00333D4A" w:rsidRDefault="00333D4A" w:rsidP="00333D4A">
      <w:pPr>
        <w:spacing w:line="240" w:lineRule="auto"/>
        <w:jc w:val="both"/>
        <w:rPr>
          <w:rFonts w:ascii="Times New Roman" w:hAnsi="Times New Roman"/>
          <w:sz w:val="20"/>
          <w:szCs w:val="20"/>
        </w:rPr>
      </w:pPr>
    </w:p>
    <w:p w:rsidR="00333D4A" w:rsidRDefault="00333D4A" w:rsidP="00333D4A">
      <w:pPr>
        <w:spacing w:line="240" w:lineRule="auto"/>
        <w:jc w:val="both"/>
        <w:rPr>
          <w:rFonts w:ascii="Times New Roman" w:hAnsi="Times New Roman"/>
          <w:sz w:val="20"/>
          <w:szCs w:val="20"/>
        </w:rPr>
      </w:pPr>
    </w:p>
    <w:p w:rsidR="00333D4A" w:rsidRDefault="00333D4A" w:rsidP="00333D4A">
      <w:pPr>
        <w:spacing w:line="240" w:lineRule="auto"/>
        <w:jc w:val="both"/>
        <w:rPr>
          <w:rFonts w:ascii="Times New Roman" w:hAnsi="Times New Roman"/>
          <w:sz w:val="20"/>
          <w:szCs w:val="20"/>
        </w:rPr>
      </w:pPr>
    </w:p>
    <w:p w:rsidR="00333D4A" w:rsidRDefault="00333D4A" w:rsidP="00333D4A">
      <w:pPr>
        <w:spacing w:line="240" w:lineRule="auto"/>
        <w:jc w:val="both"/>
        <w:rPr>
          <w:rFonts w:ascii="Times New Roman" w:hAnsi="Times New Roman"/>
          <w:sz w:val="20"/>
          <w:szCs w:val="20"/>
        </w:rPr>
      </w:pPr>
    </w:p>
    <w:p w:rsidR="00333D4A" w:rsidRDefault="00333D4A" w:rsidP="00333D4A">
      <w:pPr>
        <w:spacing w:line="240" w:lineRule="auto"/>
        <w:jc w:val="both"/>
        <w:rPr>
          <w:rFonts w:ascii="Times New Roman" w:hAnsi="Times New Roman"/>
          <w:sz w:val="20"/>
          <w:szCs w:val="20"/>
        </w:rPr>
      </w:pPr>
    </w:p>
    <w:p w:rsidR="00333D4A" w:rsidRDefault="00333D4A" w:rsidP="00333D4A">
      <w:pPr>
        <w:spacing w:line="240" w:lineRule="auto"/>
        <w:jc w:val="both"/>
        <w:rPr>
          <w:rFonts w:ascii="Times New Roman" w:hAnsi="Times New Roman"/>
          <w:sz w:val="20"/>
          <w:szCs w:val="20"/>
        </w:rPr>
      </w:pPr>
    </w:p>
    <w:p w:rsidR="00333D4A" w:rsidRDefault="00333D4A" w:rsidP="00333D4A">
      <w:pPr>
        <w:spacing w:line="240" w:lineRule="auto"/>
        <w:jc w:val="both"/>
        <w:rPr>
          <w:rFonts w:ascii="Times New Roman" w:hAnsi="Times New Roman"/>
          <w:sz w:val="20"/>
          <w:szCs w:val="20"/>
        </w:rPr>
      </w:pPr>
    </w:p>
    <w:p w:rsidR="00333D4A" w:rsidRDefault="00333D4A" w:rsidP="00333D4A">
      <w:pPr>
        <w:spacing w:line="240" w:lineRule="auto"/>
        <w:jc w:val="both"/>
        <w:rPr>
          <w:rFonts w:ascii="Times New Roman" w:hAnsi="Times New Roman"/>
          <w:sz w:val="20"/>
          <w:szCs w:val="20"/>
        </w:rPr>
      </w:pPr>
    </w:p>
    <w:p w:rsidR="00333D4A" w:rsidRDefault="00333D4A" w:rsidP="00333D4A">
      <w:pPr>
        <w:spacing w:line="240" w:lineRule="auto"/>
        <w:jc w:val="both"/>
        <w:rPr>
          <w:rFonts w:ascii="Times New Roman" w:hAnsi="Times New Roman"/>
          <w:sz w:val="20"/>
          <w:szCs w:val="20"/>
        </w:rPr>
      </w:pPr>
    </w:p>
    <w:p w:rsidR="00333D4A" w:rsidRDefault="00333D4A" w:rsidP="00333D4A">
      <w:pPr>
        <w:spacing w:line="240" w:lineRule="auto"/>
        <w:jc w:val="both"/>
        <w:rPr>
          <w:rFonts w:ascii="Times New Roman" w:hAnsi="Times New Roman"/>
          <w:sz w:val="20"/>
          <w:szCs w:val="20"/>
        </w:rPr>
      </w:pPr>
    </w:p>
    <w:p w:rsidR="00333D4A" w:rsidRDefault="00333D4A" w:rsidP="00333D4A">
      <w:pPr>
        <w:spacing w:line="240" w:lineRule="auto"/>
        <w:jc w:val="both"/>
        <w:rPr>
          <w:rFonts w:ascii="Times New Roman" w:hAnsi="Times New Roman"/>
          <w:sz w:val="20"/>
          <w:szCs w:val="20"/>
        </w:rPr>
      </w:pPr>
    </w:p>
    <w:p w:rsidR="00333D4A" w:rsidRDefault="00333D4A" w:rsidP="00333D4A">
      <w:pPr>
        <w:spacing w:line="240" w:lineRule="auto"/>
        <w:jc w:val="both"/>
        <w:rPr>
          <w:rFonts w:ascii="Times New Roman" w:hAnsi="Times New Roman"/>
          <w:sz w:val="20"/>
          <w:szCs w:val="20"/>
        </w:rPr>
      </w:pPr>
    </w:p>
    <w:p w:rsidR="00333D4A" w:rsidRDefault="00333D4A" w:rsidP="00333D4A">
      <w:pPr>
        <w:spacing w:line="240" w:lineRule="auto"/>
        <w:jc w:val="both"/>
        <w:rPr>
          <w:rFonts w:ascii="Times New Roman" w:hAnsi="Times New Roman"/>
          <w:sz w:val="20"/>
          <w:szCs w:val="20"/>
        </w:rPr>
      </w:pPr>
    </w:p>
    <w:p w:rsidR="00333D4A" w:rsidRDefault="00333D4A" w:rsidP="00333D4A">
      <w:pPr>
        <w:spacing w:line="240" w:lineRule="auto"/>
        <w:jc w:val="both"/>
        <w:rPr>
          <w:rFonts w:ascii="Times New Roman" w:hAnsi="Times New Roman"/>
          <w:sz w:val="20"/>
          <w:szCs w:val="20"/>
        </w:rPr>
      </w:pPr>
    </w:p>
    <w:p w:rsidR="00333D4A" w:rsidRDefault="00333D4A" w:rsidP="00333D4A">
      <w:pPr>
        <w:spacing w:line="240" w:lineRule="auto"/>
        <w:jc w:val="both"/>
        <w:rPr>
          <w:rFonts w:ascii="Times New Roman" w:hAnsi="Times New Roman"/>
          <w:sz w:val="20"/>
          <w:szCs w:val="20"/>
        </w:rPr>
      </w:pPr>
    </w:p>
    <w:p w:rsidR="00333D4A" w:rsidRDefault="00333D4A" w:rsidP="00333D4A">
      <w:pPr>
        <w:spacing w:line="240" w:lineRule="auto"/>
        <w:jc w:val="both"/>
        <w:rPr>
          <w:rFonts w:ascii="Times New Roman" w:hAnsi="Times New Roman"/>
          <w:sz w:val="20"/>
          <w:szCs w:val="20"/>
        </w:rPr>
      </w:pPr>
    </w:p>
    <w:p w:rsidR="00333D4A" w:rsidRPr="003221F4" w:rsidRDefault="00333D4A" w:rsidP="00333D4A">
      <w:pPr>
        <w:spacing w:after="0"/>
        <w:jc w:val="both"/>
        <w:rPr>
          <w:rFonts w:ascii="Times New Roman" w:hAnsi="Times New Roman"/>
          <w:b/>
          <w:sz w:val="20"/>
          <w:szCs w:val="20"/>
        </w:rPr>
      </w:pPr>
      <w:r>
        <w:rPr>
          <w:rFonts w:ascii="Times New Roman" w:hAnsi="Times New Roman"/>
          <w:b/>
          <w:sz w:val="20"/>
          <w:szCs w:val="20"/>
        </w:rPr>
        <w:br w:type="page"/>
      </w:r>
      <w:r w:rsidRPr="003221F4">
        <w:rPr>
          <w:rFonts w:ascii="Times New Roman" w:hAnsi="Times New Roman"/>
          <w:b/>
          <w:sz w:val="20"/>
          <w:szCs w:val="20"/>
        </w:rPr>
        <w:lastRenderedPageBreak/>
        <w:t xml:space="preserve">Table </w:t>
      </w:r>
      <w:r w:rsidR="004778EA">
        <w:rPr>
          <w:rFonts w:ascii="Times New Roman" w:hAnsi="Times New Roman"/>
          <w:b/>
          <w:sz w:val="20"/>
          <w:szCs w:val="20"/>
        </w:rPr>
        <w:t>2</w:t>
      </w:r>
    </w:p>
    <w:p w:rsidR="00333D4A" w:rsidRPr="003221F4" w:rsidRDefault="00333D4A" w:rsidP="00333D4A">
      <w:pPr>
        <w:jc w:val="both"/>
        <w:rPr>
          <w:rFonts w:ascii="Times New Roman" w:hAnsi="Times New Roman"/>
          <w:b/>
          <w:sz w:val="20"/>
          <w:szCs w:val="20"/>
        </w:rPr>
      </w:pPr>
      <w:r w:rsidRPr="003221F4">
        <w:rPr>
          <w:rFonts w:ascii="Times New Roman" w:hAnsi="Times New Roman"/>
          <w:b/>
          <w:sz w:val="20"/>
          <w:szCs w:val="20"/>
        </w:rPr>
        <w:t>Risk for Conversion of Substance-Induced Psycho</w:t>
      </w:r>
      <w:r>
        <w:rPr>
          <w:rFonts w:ascii="Times New Roman" w:hAnsi="Times New Roman"/>
          <w:b/>
          <w:sz w:val="20"/>
          <w:szCs w:val="20"/>
        </w:rPr>
        <w:t>tic Disorder</w:t>
      </w:r>
      <w:r w:rsidRPr="003221F4">
        <w:rPr>
          <w:rFonts w:ascii="Times New Roman" w:hAnsi="Times New Roman"/>
          <w:b/>
          <w:sz w:val="20"/>
          <w:szCs w:val="20"/>
        </w:rPr>
        <w:t xml:space="preserve"> </w:t>
      </w:r>
      <w:proofErr w:type="gramStart"/>
      <w:r w:rsidRPr="003221F4">
        <w:rPr>
          <w:rFonts w:ascii="Times New Roman" w:hAnsi="Times New Roman"/>
          <w:b/>
          <w:sz w:val="20"/>
          <w:szCs w:val="20"/>
        </w:rPr>
        <w:t>to  Schizophrenia</w:t>
      </w:r>
      <w:proofErr w:type="gramEnd"/>
      <w:r w:rsidRPr="003221F4">
        <w:rPr>
          <w:rFonts w:ascii="Times New Roman" w:hAnsi="Times New Roman"/>
          <w:b/>
          <w:sz w:val="20"/>
          <w:szCs w:val="20"/>
        </w:rPr>
        <w:t xml:space="preserve"> Spectrum Disorder</w:t>
      </w:r>
    </w:p>
    <w:tbl>
      <w:tblPr>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3248"/>
      </w:tblGrid>
      <w:tr w:rsidR="00333D4A" w:rsidRPr="004D14AB" w:rsidTr="00C62A37">
        <w:tc>
          <w:tcPr>
            <w:tcW w:w="2984" w:type="dxa"/>
            <w:shd w:val="clear" w:color="auto" w:fill="auto"/>
          </w:tcPr>
          <w:p w:rsidR="00333D4A" w:rsidRPr="004D14AB" w:rsidRDefault="00333D4A" w:rsidP="00C62A37">
            <w:pPr>
              <w:jc w:val="both"/>
              <w:rPr>
                <w:rFonts w:ascii="Times New Roman" w:hAnsi="Times New Roman"/>
                <w:b/>
                <w:sz w:val="16"/>
                <w:szCs w:val="16"/>
              </w:rPr>
            </w:pPr>
            <w:r w:rsidRPr="004D14AB">
              <w:rPr>
                <w:rFonts w:ascii="Times New Roman" w:hAnsi="Times New Roman"/>
                <w:b/>
                <w:sz w:val="16"/>
                <w:szCs w:val="16"/>
              </w:rPr>
              <w:t>Substance Inducing Psychosis</w:t>
            </w:r>
          </w:p>
        </w:tc>
        <w:tc>
          <w:tcPr>
            <w:tcW w:w="3248" w:type="dxa"/>
            <w:shd w:val="clear" w:color="auto" w:fill="auto"/>
          </w:tcPr>
          <w:p w:rsidR="00333D4A" w:rsidRPr="004D14AB" w:rsidRDefault="00333D4A" w:rsidP="00C62A37">
            <w:pPr>
              <w:jc w:val="both"/>
              <w:rPr>
                <w:rFonts w:ascii="Times New Roman" w:hAnsi="Times New Roman"/>
                <w:b/>
                <w:sz w:val="16"/>
                <w:szCs w:val="16"/>
              </w:rPr>
            </w:pPr>
            <w:r w:rsidRPr="004D14AB">
              <w:rPr>
                <w:rFonts w:ascii="Times New Roman" w:hAnsi="Times New Roman"/>
                <w:b/>
                <w:sz w:val="16"/>
                <w:szCs w:val="16"/>
              </w:rPr>
              <w:t xml:space="preserve">Hazard </w:t>
            </w:r>
            <w:proofErr w:type="gramStart"/>
            <w:r w:rsidRPr="004D14AB">
              <w:rPr>
                <w:rFonts w:ascii="Times New Roman" w:hAnsi="Times New Roman"/>
                <w:b/>
                <w:sz w:val="16"/>
                <w:szCs w:val="16"/>
              </w:rPr>
              <w:t>ratio  for</w:t>
            </w:r>
            <w:proofErr w:type="gramEnd"/>
            <w:r w:rsidRPr="004D14AB">
              <w:rPr>
                <w:rFonts w:ascii="Times New Roman" w:hAnsi="Times New Roman"/>
                <w:b/>
                <w:sz w:val="16"/>
                <w:szCs w:val="16"/>
              </w:rPr>
              <w:t xml:space="preserve"> conversion to schizophrenia spectrum disorder</w:t>
            </w:r>
          </w:p>
          <w:p w:rsidR="00333D4A" w:rsidRPr="004D14AB" w:rsidRDefault="00333D4A" w:rsidP="00C62A37">
            <w:pPr>
              <w:jc w:val="both"/>
              <w:rPr>
                <w:rFonts w:ascii="Times New Roman" w:hAnsi="Times New Roman"/>
                <w:b/>
                <w:sz w:val="16"/>
                <w:szCs w:val="16"/>
              </w:rPr>
            </w:pPr>
            <w:r w:rsidRPr="004D14AB">
              <w:rPr>
                <w:rFonts w:ascii="Times New Roman" w:hAnsi="Times New Roman"/>
                <w:b/>
                <w:sz w:val="16"/>
                <w:szCs w:val="16"/>
              </w:rPr>
              <w:t>*(95% CI); P value</w:t>
            </w:r>
          </w:p>
        </w:tc>
      </w:tr>
      <w:tr w:rsidR="00333D4A" w:rsidRPr="004D14AB" w:rsidTr="00C62A37">
        <w:tc>
          <w:tcPr>
            <w:tcW w:w="2984" w:type="dxa"/>
            <w:shd w:val="clear" w:color="auto" w:fill="auto"/>
          </w:tcPr>
          <w:p w:rsidR="00333D4A" w:rsidRPr="004D14AB" w:rsidRDefault="00333D4A" w:rsidP="00C62A37">
            <w:pPr>
              <w:jc w:val="both"/>
              <w:rPr>
                <w:rFonts w:ascii="Times New Roman" w:hAnsi="Times New Roman"/>
                <w:sz w:val="16"/>
                <w:szCs w:val="16"/>
              </w:rPr>
            </w:pPr>
            <w:r w:rsidRPr="004D14AB">
              <w:rPr>
                <w:rFonts w:ascii="Times New Roman" w:hAnsi="Times New Roman"/>
                <w:sz w:val="16"/>
                <w:szCs w:val="16"/>
              </w:rPr>
              <w:t>F10.5 Alcohol</w:t>
            </w:r>
          </w:p>
        </w:tc>
        <w:tc>
          <w:tcPr>
            <w:tcW w:w="3248" w:type="dxa"/>
            <w:shd w:val="clear" w:color="auto" w:fill="auto"/>
          </w:tcPr>
          <w:p w:rsidR="00333D4A" w:rsidRPr="004D14AB" w:rsidRDefault="00333D4A" w:rsidP="00C62A37">
            <w:pPr>
              <w:jc w:val="both"/>
              <w:rPr>
                <w:rFonts w:ascii="Times New Roman" w:hAnsi="Times New Roman"/>
                <w:sz w:val="16"/>
                <w:szCs w:val="16"/>
              </w:rPr>
            </w:pPr>
            <w:r w:rsidRPr="004D14AB">
              <w:rPr>
                <w:rFonts w:ascii="Times New Roman" w:hAnsi="Times New Roman"/>
                <w:sz w:val="16"/>
                <w:szCs w:val="16"/>
              </w:rPr>
              <w:t>1</w:t>
            </w:r>
          </w:p>
        </w:tc>
      </w:tr>
      <w:tr w:rsidR="00333D4A" w:rsidRPr="004D14AB" w:rsidTr="00C62A37">
        <w:tc>
          <w:tcPr>
            <w:tcW w:w="2984" w:type="dxa"/>
            <w:shd w:val="clear" w:color="auto" w:fill="auto"/>
          </w:tcPr>
          <w:p w:rsidR="00333D4A" w:rsidRPr="004D14AB" w:rsidRDefault="00333D4A" w:rsidP="00C62A37">
            <w:pPr>
              <w:jc w:val="both"/>
              <w:rPr>
                <w:rFonts w:ascii="Times New Roman" w:hAnsi="Times New Roman"/>
                <w:sz w:val="16"/>
                <w:szCs w:val="16"/>
              </w:rPr>
            </w:pPr>
            <w:r w:rsidRPr="004D14AB">
              <w:rPr>
                <w:rFonts w:ascii="Times New Roman" w:hAnsi="Times New Roman"/>
                <w:sz w:val="16"/>
                <w:szCs w:val="16"/>
              </w:rPr>
              <w:t>F11.5 Opioids</w:t>
            </w:r>
          </w:p>
        </w:tc>
        <w:tc>
          <w:tcPr>
            <w:tcW w:w="3248" w:type="dxa"/>
            <w:shd w:val="clear" w:color="auto" w:fill="auto"/>
          </w:tcPr>
          <w:p w:rsidR="00333D4A" w:rsidRPr="004D14AB" w:rsidRDefault="00333D4A" w:rsidP="00C62A37">
            <w:pPr>
              <w:rPr>
                <w:rFonts w:ascii="Times New Roman" w:hAnsi="Times New Roman"/>
                <w:sz w:val="16"/>
                <w:szCs w:val="16"/>
              </w:rPr>
            </w:pPr>
            <w:r w:rsidRPr="004D14AB">
              <w:rPr>
                <w:rFonts w:ascii="Times New Roman" w:hAnsi="Times New Roman"/>
                <w:sz w:val="16"/>
                <w:szCs w:val="16"/>
              </w:rPr>
              <w:t>1.439 (1.094 – 1.894); p=0.00933</w:t>
            </w:r>
          </w:p>
        </w:tc>
      </w:tr>
      <w:tr w:rsidR="00333D4A" w:rsidRPr="004D14AB" w:rsidTr="00C62A37">
        <w:tc>
          <w:tcPr>
            <w:tcW w:w="2984" w:type="dxa"/>
            <w:shd w:val="clear" w:color="auto" w:fill="auto"/>
          </w:tcPr>
          <w:p w:rsidR="00333D4A" w:rsidRPr="004D14AB" w:rsidRDefault="00333D4A" w:rsidP="00C62A37">
            <w:pPr>
              <w:jc w:val="both"/>
              <w:rPr>
                <w:rFonts w:ascii="Times New Roman" w:hAnsi="Times New Roman"/>
                <w:sz w:val="16"/>
                <w:szCs w:val="16"/>
              </w:rPr>
            </w:pPr>
            <w:r w:rsidRPr="004D14AB">
              <w:rPr>
                <w:rFonts w:ascii="Times New Roman" w:hAnsi="Times New Roman"/>
                <w:sz w:val="16"/>
                <w:szCs w:val="16"/>
              </w:rPr>
              <w:t>F12.5 Cannabis</w:t>
            </w:r>
          </w:p>
        </w:tc>
        <w:tc>
          <w:tcPr>
            <w:tcW w:w="3248" w:type="dxa"/>
            <w:shd w:val="clear" w:color="auto" w:fill="auto"/>
          </w:tcPr>
          <w:p w:rsidR="00333D4A" w:rsidRPr="004D14AB" w:rsidRDefault="00333D4A" w:rsidP="00C62A37">
            <w:pPr>
              <w:jc w:val="both"/>
              <w:rPr>
                <w:rFonts w:ascii="Times New Roman" w:hAnsi="Times New Roman"/>
                <w:sz w:val="16"/>
                <w:szCs w:val="16"/>
              </w:rPr>
            </w:pPr>
            <w:r w:rsidRPr="004D14AB">
              <w:rPr>
                <w:rFonts w:ascii="Times New Roman" w:hAnsi="Times New Roman"/>
                <w:sz w:val="16"/>
                <w:szCs w:val="16"/>
              </w:rPr>
              <w:t>2.215 (1.669 – 2.940); p&lt;0.0001</w:t>
            </w:r>
          </w:p>
        </w:tc>
      </w:tr>
      <w:tr w:rsidR="00333D4A" w:rsidRPr="004D14AB" w:rsidTr="00C62A37">
        <w:tc>
          <w:tcPr>
            <w:tcW w:w="2984" w:type="dxa"/>
            <w:shd w:val="clear" w:color="auto" w:fill="auto"/>
          </w:tcPr>
          <w:p w:rsidR="00333D4A" w:rsidRPr="004D14AB" w:rsidRDefault="00333D4A" w:rsidP="00C62A37">
            <w:pPr>
              <w:jc w:val="both"/>
              <w:rPr>
                <w:rFonts w:ascii="Times New Roman" w:hAnsi="Times New Roman"/>
                <w:sz w:val="16"/>
                <w:szCs w:val="16"/>
              </w:rPr>
            </w:pPr>
            <w:r w:rsidRPr="004D14AB">
              <w:rPr>
                <w:rFonts w:ascii="Times New Roman" w:hAnsi="Times New Roman"/>
                <w:sz w:val="16"/>
                <w:szCs w:val="16"/>
              </w:rPr>
              <w:t>F15.5 Stimulants</w:t>
            </w:r>
          </w:p>
        </w:tc>
        <w:tc>
          <w:tcPr>
            <w:tcW w:w="3248" w:type="dxa"/>
            <w:shd w:val="clear" w:color="auto" w:fill="auto"/>
          </w:tcPr>
          <w:p w:rsidR="00333D4A" w:rsidRPr="004D14AB" w:rsidRDefault="00333D4A" w:rsidP="00C62A37">
            <w:pPr>
              <w:jc w:val="both"/>
              <w:rPr>
                <w:rFonts w:ascii="Times New Roman" w:hAnsi="Times New Roman"/>
                <w:sz w:val="16"/>
                <w:szCs w:val="16"/>
              </w:rPr>
            </w:pPr>
            <w:r w:rsidRPr="004D14AB">
              <w:rPr>
                <w:rFonts w:ascii="Times New Roman" w:hAnsi="Times New Roman"/>
                <w:sz w:val="16"/>
                <w:szCs w:val="16"/>
              </w:rPr>
              <w:t>1.884 (1.406 – 2.525); p&lt;0.0001</w:t>
            </w:r>
          </w:p>
        </w:tc>
      </w:tr>
      <w:tr w:rsidR="00333D4A" w:rsidRPr="004D14AB" w:rsidTr="00C62A37">
        <w:tc>
          <w:tcPr>
            <w:tcW w:w="2984" w:type="dxa"/>
            <w:shd w:val="clear" w:color="auto" w:fill="auto"/>
          </w:tcPr>
          <w:p w:rsidR="00333D4A" w:rsidRPr="004D14AB" w:rsidRDefault="00333D4A" w:rsidP="00C62A37">
            <w:pPr>
              <w:jc w:val="both"/>
              <w:rPr>
                <w:rFonts w:ascii="Times New Roman" w:hAnsi="Times New Roman"/>
                <w:sz w:val="16"/>
                <w:szCs w:val="16"/>
              </w:rPr>
            </w:pPr>
            <w:r w:rsidRPr="004D14AB">
              <w:rPr>
                <w:rFonts w:ascii="Times New Roman" w:hAnsi="Times New Roman"/>
                <w:sz w:val="16"/>
                <w:szCs w:val="16"/>
              </w:rPr>
              <w:t>F19.5 Multiple / Other</w:t>
            </w:r>
          </w:p>
        </w:tc>
        <w:tc>
          <w:tcPr>
            <w:tcW w:w="3248" w:type="dxa"/>
            <w:shd w:val="clear" w:color="auto" w:fill="auto"/>
          </w:tcPr>
          <w:p w:rsidR="00333D4A" w:rsidRPr="004D14AB" w:rsidRDefault="00333D4A" w:rsidP="00C62A37">
            <w:pPr>
              <w:jc w:val="both"/>
              <w:rPr>
                <w:rFonts w:ascii="Times New Roman" w:hAnsi="Times New Roman"/>
                <w:sz w:val="16"/>
                <w:szCs w:val="16"/>
              </w:rPr>
            </w:pPr>
            <w:r w:rsidRPr="004D14AB">
              <w:rPr>
                <w:rFonts w:ascii="Times New Roman" w:hAnsi="Times New Roman"/>
                <w:sz w:val="16"/>
                <w:szCs w:val="16"/>
              </w:rPr>
              <w:t>2.055 (1.691 – 2.498); p&lt;0.0001</w:t>
            </w:r>
          </w:p>
        </w:tc>
      </w:tr>
    </w:tbl>
    <w:p w:rsidR="00333D4A" w:rsidRDefault="00333D4A" w:rsidP="00333D4A">
      <w:pPr>
        <w:jc w:val="both"/>
        <w:rPr>
          <w:rFonts w:ascii="Times New Roman" w:hAnsi="Times New Roman"/>
          <w:b/>
        </w:rPr>
      </w:pPr>
    </w:p>
    <w:p w:rsidR="00333D4A" w:rsidRPr="003221F4" w:rsidRDefault="00333D4A" w:rsidP="00333D4A">
      <w:pPr>
        <w:jc w:val="both"/>
        <w:rPr>
          <w:rFonts w:ascii="Times New Roman" w:hAnsi="Times New Roman"/>
          <w:sz w:val="20"/>
          <w:szCs w:val="20"/>
        </w:rPr>
      </w:pPr>
      <w:r w:rsidRPr="003221F4">
        <w:rPr>
          <w:rFonts w:ascii="Times New Roman" w:hAnsi="Times New Roman"/>
          <w:b/>
          <w:sz w:val="20"/>
          <w:szCs w:val="20"/>
        </w:rPr>
        <w:t>*</w:t>
      </w:r>
      <w:r w:rsidRPr="003221F4">
        <w:rPr>
          <w:rFonts w:ascii="Times New Roman" w:hAnsi="Times New Roman"/>
          <w:sz w:val="20"/>
          <w:szCs w:val="20"/>
        </w:rPr>
        <w:t xml:space="preserve"> Hazard ratio of 1 indicates the comparator group</w:t>
      </w:r>
    </w:p>
    <w:p w:rsidR="00333D4A" w:rsidRPr="00A0556F" w:rsidRDefault="00333D4A" w:rsidP="00333D4A">
      <w:pPr>
        <w:rPr>
          <w:rFonts w:ascii="Times New Roman" w:hAnsi="Times New Roman"/>
          <w:b/>
          <w:sz w:val="24"/>
          <w:szCs w:val="24"/>
        </w:rPr>
      </w:pPr>
      <w:r>
        <w:rPr>
          <w:rFonts w:ascii="Times New Roman" w:hAnsi="Times New Roman"/>
          <w:sz w:val="20"/>
          <w:szCs w:val="20"/>
        </w:rPr>
        <w:br w:type="page"/>
      </w:r>
      <w:r w:rsidRPr="00A0556F">
        <w:rPr>
          <w:rFonts w:ascii="Times New Roman" w:hAnsi="Times New Roman"/>
          <w:b/>
          <w:sz w:val="24"/>
          <w:szCs w:val="24"/>
        </w:rPr>
        <w:lastRenderedPageBreak/>
        <w:t>References</w:t>
      </w:r>
    </w:p>
    <w:p w:rsidR="00333D4A" w:rsidRPr="00EC5203" w:rsidRDefault="00333D4A" w:rsidP="00333D4A">
      <w:pPr>
        <w:rPr>
          <w:rFonts w:ascii="Times New Roman" w:hAnsi="Times New Roman"/>
          <w:sz w:val="24"/>
          <w:szCs w:val="24"/>
        </w:rPr>
      </w:pPr>
      <w:r w:rsidRPr="00DF7745">
        <w:rPr>
          <w:rFonts w:ascii="Times New Roman" w:hAnsi="Times New Roman"/>
          <w:b/>
          <w:sz w:val="24"/>
          <w:szCs w:val="24"/>
        </w:rPr>
        <w:t>Arendt M</w:t>
      </w:r>
      <w:r w:rsidRPr="00EC5203">
        <w:rPr>
          <w:rFonts w:ascii="Times New Roman" w:hAnsi="Times New Roman"/>
          <w:sz w:val="24"/>
          <w:szCs w:val="24"/>
        </w:rPr>
        <w:t xml:space="preserve">, Rosenberg R, </w:t>
      </w:r>
      <w:proofErr w:type="spellStart"/>
      <w:r w:rsidRPr="00EC5203">
        <w:rPr>
          <w:rFonts w:ascii="Times New Roman" w:hAnsi="Times New Roman"/>
          <w:sz w:val="24"/>
          <w:szCs w:val="24"/>
        </w:rPr>
        <w:t>Foldager</w:t>
      </w:r>
      <w:proofErr w:type="spellEnd"/>
      <w:r w:rsidRPr="00EC5203">
        <w:rPr>
          <w:rFonts w:ascii="Times New Roman" w:hAnsi="Times New Roman"/>
          <w:sz w:val="24"/>
          <w:szCs w:val="24"/>
        </w:rPr>
        <w:t xml:space="preserve"> L, </w:t>
      </w:r>
      <w:proofErr w:type="spellStart"/>
      <w:r w:rsidRPr="00EC5203">
        <w:rPr>
          <w:rFonts w:ascii="Times New Roman" w:hAnsi="Times New Roman"/>
          <w:sz w:val="24"/>
          <w:szCs w:val="24"/>
        </w:rPr>
        <w:t>Perto</w:t>
      </w:r>
      <w:proofErr w:type="spellEnd"/>
      <w:r w:rsidRPr="00EC5203">
        <w:rPr>
          <w:rFonts w:ascii="Times New Roman" w:hAnsi="Times New Roman"/>
          <w:sz w:val="24"/>
          <w:szCs w:val="24"/>
        </w:rPr>
        <w:t xml:space="preserve"> G, </w:t>
      </w:r>
      <w:proofErr w:type="spellStart"/>
      <w:r w:rsidRPr="00EC5203">
        <w:rPr>
          <w:rFonts w:ascii="Times New Roman" w:hAnsi="Times New Roman"/>
          <w:sz w:val="24"/>
          <w:szCs w:val="24"/>
        </w:rPr>
        <w:t>Munk</w:t>
      </w:r>
      <w:proofErr w:type="spellEnd"/>
      <w:r w:rsidRPr="00EC5203">
        <w:rPr>
          <w:rFonts w:ascii="Times New Roman" w:hAnsi="Times New Roman"/>
          <w:sz w:val="24"/>
          <w:szCs w:val="24"/>
        </w:rPr>
        <w:t xml:space="preserve">-Jorgensen P </w:t>
      </w:r>
      <w:r>
        <w:rPr>
          <w:rFonts w:ascii="Times New Roman" w:hAnsi="Times New Roman"/>
          <w:sz w:val="24"/>
          <w:szCs w:val="24"/>
        </w:rPr>
        <w:t>(</w:t>
      </w:r>
      <w:r w:rsidRPr="00EC5203">
        <w:rPr>
          <w:rFonts w:ascii="Times New Roman" w:hAnsi="Times New Roman"/>
          <w:sz w:val="24"/>
          <w:szCs w:val="24"/>
        </w:rPr>
        <w:t>2005</w:t>
      </w:r>
      <w:r>
        <w:rPr>
          <w:rFonts w:ascii="Times New Roman" w:hAnsi="Times New Roman"/>
          <w:sz w:val="24"/>
          <w:szCs w:val="24"/>
        </w:rPr>
        <w:t>)</w:t>
      </w:r>
      <w:r w:rsidRPr="00EC5203">
        <w:rPr>
          <w:rFonts w:ascii="Times New Roman" w:hAnsi="Times New Roman"/>
          <w:sz w:val="24"/>
          <w:szCs w:val="24"/>
        </w:rPr>
        <w:t>. Cannabis-induced psychosis and subsequent schizophrenia-spectrum disorders: Follow-up study of 535 incident cases.</w:t>
      </w:r>
      <w:r>
        <w:rPr>
          <w:rFonts w:ascii="Times New Roman" w:hAnsi="Times New Roman"/>
          <w:sz w:val="24"/>
          <w:szCs w:val="24"/>
        </w:rPr>
        <w:t xml:space="preserve"> </w:t>
      </w:r>
      <w:r w:rsidRPr="00DF7745">
        <w:rPr>
          <w:rFonts w:ascii="Times New Roman" w:hAnsi="Times New Roman"/>
          <w:i/>
          <w:sz w:val="24"/>
          <w:szCs w:val="24"/>
        </w:rPr>
        <w:t>The British Journal of Psychiatry</w:t>
      </w:r>
      <w:r w:rsidRPr="00EC5203">
        <w:rPr>
          <w:rFonts w:ascii="Times New Roman" w:hAnsi="Times New Roman"/>
          <w:sz w:val="24"/>
          <w:szCs w:val="24"/>
        </w:rPr>
        <w:t xml:space="preserve"> </w:t>
      </w:r>
      <w:r w:rsidRPr="00DF7745">
        <w:rPr>
          <w:rFonts w:ascii="Times New Roman" w:hAnsi="Times New Roman"/>
          <w:b/>
          <w:sz w:val="24"/>
          <w:szCs w:val="24"/>
        </w:rPr>
        <w:t>187</w:t>
      </w:r>
      <w:r w:rsidRPr="00EC5203">
        <w:rPr>
          <w:rFonts w:ascii="Times New Roman" w:hAnsi="Times New Roman"/>
          <w:sz w:val="24"/>
          <w:szCs w:val="24"/>
        </w:rPr>
        <w:t>, 510–515.</w:t>
      </w:r>
    </w:p>
    <w:p w:rsidR="00333D4A" w:rsidRPr="00DF7745" w:rsidRDefault="00333D4A" w:rsidP="00333D4A">
      <w:pPr>
        <w:rPr>
          <w:rFonts w:ascii="Times New Roman" w:hAnsi="Times New Roman"/>
          <w:sz w:val="24"/>
          <w:szCs w:val="24"/>
        </w:rPr>
      </w:pPr>
      <w:proofErr w:type="spellStart"/>
      <w:r w:rsidRPr="00DF7745">
        <w:rPr>
          <w:rFonts w:ascii="Times New Roman" w:hAnsi="Times New Roman"/>
          <w:b/>
          <w:sz w:val="24"/>
          <w:szCs w:val="24"/>
        </w:rPr>
        <w:t>Niemi-Pynttari</w:t>
      </w:r>
      <w:proofErr w:type="spellEnd"/>
      <w:r w:rsidRPr="00DF7745">
        <w:rPr>
          <w:rFonts w:ascii="Times New Roman" w:hAnsi="Times New Roman"/>
          <w:b/>
          <w:sz w:val="24"/>
          <w:szCs w:val="24"/>
        </w:rPr>
        <w:t xml:space="preserve"> JA</w:t>
      </w:r>
      <w:r w:rsidRPr="00DF7745">
        <w:rPr>
          <w:rFonts w:ascii="Times New Roman" w:hAnsi="Times New Roman"/>
          <w:sz w:val="24"/>
          <w:szCs w:val="24"/>
        </w:rPr>
        <w:t xml:space="preserve">, </w:t>
      </w:r>
      <w:proofErr w:type="spellStart"/>
      <w:r w:rsidRPr="00DF7745">
        <w:rPr>
          <w:rFonts w:ascii="Times New Roman" w:hAnsi="Times New Roman"/>
          <w:sz w:val="24"/>
          <w:szCs w:val="24"/>
        </w:rPr>
        <w:t>Sund</w:t>
      </w:r>
      <w:proofErr w:type="spellEnd"/>
      <w:r w:rsidRPr="00DF7745">
        <w:rPr>
          <w:rFonts w:ascii="Times New Roman" w:hAnsi="Times New Roman"/>
          <w:sz w:val="24"/>
          <w:szCs w:val="24"/>
        </w:rPr>
        <w:t xml:space="preserve"> R, </w:t>
      </w:r>
      <w:proofErr w:type="spellStart"/>
      <w:r w:rsidRPr="00DF7745">
        <w:rPr>
          <w:rFonts w:ascii="Times New Roman" w:hAnsi="Times New Roman"/>
          <w:sz w:val="24"/>
          <w:szCs w:val="24"/>
        </w:rPr>
        <w:t>Putkonen</w:t>
      </w:r>
      <w:proofErr w:type="spellEnd"/>
      <w:r w:rsidRPr="00DF7745">
        <w:rPr>
          <w:rFonts w:ascii="Times New Roman" w:hAnsi="Times New Roman"/>
          <w:sz w:val="24"/>
          <w:szCs w:val="24"/>
        </w:rPr>
        <w:t xml:space="preserve"> H, </w:t>
      </w:r>
      <w:proofErr w:type="spellStart"/>
      <w:r w:rsidRPr="00DF7745">
        <w:rPr>
          <w:rFonts w:ascii="Times New Roman" w:hAnsi="Times New Roman"/>
          <w:sz w:val="24"/>
          <w:szCs w:val="24"/>
        </w:rPr>
        <w:t>Vorma</w:t>
      </w:r>
      <w:proofErr w:type="spellEnd"/>
      <w:r w:rsidRPr="00DF7745">
        <w:rPr>
          <w:rFonts w:ascii="Times New Roman" w:hAnsi="Times New Roman"/>
          <w:sz w:val="24"/>
          <w:szCs w:val="24"/>
        </w:rPr>
        <w:t xml:space="preserve"> H, </w:t>
      </w:r>
      <w:proofErr w:type="spellStart"/>
      <w:r w:rsidRPr="00DF7745">
        <w:rPr>
          <w:rFonts w:ascii="Times New Roman" w:hAnsi="Times New Roman"/>
          <w:sz w:val="24"/>
          <w:szCs w:val="24"/>
        </w:rPr>
        <w:t>Wahlbeck</w:t>
      </w:r>
      <w:proofErr w:type="spellEnd"/>
      <w:r w:rsidRPr="00DF7745">
        <w:rPr>
          <w:rFonts w:ascii="Times New Roman" w:hAnsi="Times New Roman"/>
          <w:sz w:val="24"/>
          <w:szCs w:val="24"/>
        </w:rPr>
        <w:t xml:space="preserve"> K, </w:t>
      </w:r>
      <w:proofErr w:type="spellStart"/>
      <w:r w:rsidRPr="00DF7745">
        <w:rPr>
          <w:rFonts w:ascii="Times New Roman" w:hAnsi="Times New Roman"/>
          <w:sz w:val="24"/>
          <w:szCs w:val="24"/>
        </w:rPr>
        <w:t>Pirkola</w:t>
      </w:r>
      <w:proofErr w:type="spellEnd"/>
      <w:r w:rsidRPr="00DF7745">
        <w:rPr>
          <w:rFonts w:ascii="Times New Roman" w:hAnsi="Times New Roman"/>
          <w:sz w:val="24"/>
          <w:szCs w:val="24"/>
        </w:rPr>
        <w:t xml:space="preserve"> SP </w:t>
      </w:r>
      <w:r>
        <w:rPr>
          <w:rFonts w:ascii="Times New Roman" w:hAnsi="Times New Roman"/>
          <w:sz w:val="24"/>
          <w:szCs w:val="24"/>
        </w:rPr>
        <w:t>(</w:t>
      </w:r>
      <w:r w:rsidRPr="00DF7745">
        <w:rPr>
          <w:rFonts w:ascii="Times New Roman" w:hAnsi="Times New Roman"/>
          <w:sz w:val="24"/>
          <w:szCs w:val="24"/>
        </w:rPr>
        <w:t>2013</w:t>
      </w:r>
      <w:r>
        <w:rPr>
          <w:rFonts w:ascii="Times New Roman" w:hAnsi="Times New Roman"/>
          <w:sz w:val="24"/>
          <w:szCs w:val="24"/>
        </w:rPr>
        <w:t>)</w:t>
      </w:r>
      <w:r w:rsidRPr="00DF7745">
        <w:rPr>
          <w:rFonts w:ascii="Times New Roman" w:hAnsi="Times New Roman"/>
          <w:sz w:val="24"/>
          <w:szCs w:val="24"/>
        </w:rPr>
        <w:t xml:space="preserve">. Substance-induced psychoses converting into schizophrenia: A register-based study of 18,478 </w:t>
      </w:r>
      <w:proofErr w:type="spellStart"/>
      <w:r w:rsidRPr="00DF7745">
        <w:rPr>
          <w:rFonts w:ascii="Times New Roman" w:hAnsi="Times New Roman"/>
          <w:sz w:val="24"/>
          <w:szCs w:val="24"/>
        </w:rPr>
        <w:t>finnish</w:t>
      </w:r>
      <w:proofErr w:type="spellEnd"/>
      <w:r w:rsidRPr="00DF7745">
        <w:rPr>
          <w:rFonts w:ascii="Times New Roman" w:hAnsi="Times New Roman"/>
          <w:sz w:val="24"/>
          <w:szCs w:val="24"/>
        </w:rPr>
        <w:t xml:space="preserve"> inpatient cases. </w:t>
      </w:r>
      <w:r w:rsidRPr="00DF7745">
        <w:rPr>
          <w:rFonts w:ascii="Times New Roman" w:hAnsi="Times New Roman"/>
          <w:i/>
          <w:sz w:val="24"/>
          <w:szCs w:val="24"/>
        </w:rPr>
        <w:t>The Journal of Clinical Psychiatry</w:t>
      </w:r>
      <w:r w:rsidRPr="00DF7745">
        <w:rPr>
          <w:rFonts w:ascii="Times New Roman" w:hAnsi="Times New Roman"/>
          <w:sz w:val="24"/>
          <w:szCs w:val="24"/>
        </w:rPr>
        <w:t xml:space="preserve"> </w:t>
      </w:r>
      <w:r w:rsidRPr="00DF7745">
        <w:rPr>
          <w:rFonts w:ascii="Times New Roman" w:hAnsi="Times New Roman"/>
          <w:b/>
          <w:sz w:val="24"/>
          <w:szCs w:val="24"/>
        </w:rPr>
        <w:t>74,</w:t>
      </w:r>
      <w:r w:rsidRPr="00DF7745">
        <w:rPr>
          <w:rFonts w:ascii="Times New Roman" w:hAnsi="Times New Roman"/>
          <w:sz w:val="24"/>
          <w:szCs w:val="24"/>
        </w:rPr>
        <w:t xml:space="preserve"> e94–e99.</w:t>
      </w:r>
    </w:p>
    <w:p w:rsidR="00091937" w:rsidRDefault="00091937"/>
    <w:sectPr w:rsidR="000919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D4A"/>
    <w:rsid w:val="00091937"/>
    <w:rsid w:val="00333D4A"/>
    <w:rsid w:val="004612C5"/>
    <w:rsid w:val="00477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B8F02"/>
  <w15:chartTrackingRefBased/>
  <w15:docId w15:val="{53E50FE3-D52C-4BC3-821B-1B57F4E8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3D4A"/>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3</cp:revision>
  <dcterms:created xsi:type="dcterms:W3CDTF">2016-09-22T14:46:00Z</dcterms:created>
  <dcterms:modified xsi:type="dcterms:W3CDTF">2016-10-15T14:32:00Z</dcterms:modified>
</cp:coreProperties>
</file>