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44E" w:rsidRDefault="00E4644E">
      <w:r>
        <w:t>Online Supplementary File</w:t>
      </w:r>
    </w:p>
    <w:p w:rsidR="00E4644E" w:rsidRDefault="00E4644E">
      <w:r>
        <w:t>Chamberlain et al.</w:t>
      </w:r>
    </w:p>
    <w:p w:rsidR="00E4644E" w:rsidRDefault="00E4644E">
      <w:pPr>
        <w:rPr>
          <w:b/>
        </w:rPr>
      </w:pPr>
    </w:p>
    <w:p w:rsidR="00E4644E" w:rsidRPr="00247CB4" w:rsidRDefault="00E4644E">
      <w:pPr>
        <w:rPr>
          <w:b/>
        </w:rPr>
      </w:pPr>
      <w:r w:rsidRPr="00247CB4">
        <w:rPr>
          <w:b/>
        </w:rPr>
        <w:t>Comparison of key sample features to normative data reported previously</w:t>
      </w:r>
    </w:p>
    <w:p w:rsidR="00E4644E" w:rsidRDefault="00E4644E" w:rsidP="00471344">
      <w:pPr>
        <w:spacing w:line="480" w:lineRule="auto"/>
      </w:pPr>
    </w:p>
    <w:p w:rsidR="00E4644E" w:rsidRDefault="00E4644E" w:rsidP="00471344">
      <w:pPr>
        <w:spacing w:line="480" w:lineRule="auto"/>
      </w:pPr>
      <w:r>
        <w:t>The mean quality of life t-score was 45.9 (12.1), which is in the normal range for adults (cut-off for low quality of life is ~37 or below) {Frisch, 2005 #4799</w:t>
      </w:r>
      <w:proofErr w:type="gramStart"/>
      <w:r>
        <w:t>;Frisch</w:t>
      </w:r>
      <w:proofErr w:type="gramEnd"/>
      <w:r>
        <w:t xml:space="preserve">, 1998 #4804}. Mean Stop-Signal, set-shifting, and decision-making performances were similar to normative data reported in previous studies using healthy controls free from mental disorders e.g. {Chamberlain, 2007 #4460}. Mean Barratt Impulsiveness scores very alike normative data reported </w:t>
      </w:r>
      <w:proofErr w:type="gramStart"/>
      <w:r>
        <w:t>elsewhere:</w:t>
      </w:r>
      <w:proofErr w:type="gramEnd"/>
      <w:r>
        <w:t xml:space="preserve"> attention mean 16.9 [4.1] versus 17.2 [3.9] in {</w:t>
      </w:r>
      <w:proofErr w:type="spellStart"/>
      <w:r>
        <w:t>Spinella</w:t>
      </w:r>
      <w:proofErr w:type="spellEnd"/>
      <w:r>
        <w:t xml:space="preserve">, 2007 #7736}; motor 23.8 (4.7) versus 22.1 [4.4]; non-planning 24.2 [5.3] versus 24.9 [5.1]. Mean Padua scores were also comparable to previously reported normative data: contamination/washing score mean 6.2 [7.0] versus 6.5 [5.5] in {Burns, 1996 #2254}; dressing/grooming score 1.4 [2.4] versus 2.0 [2.5]; checking 6.7 [6.5] versus 7.5 [6.4]; thoughts about harm to self/others 2.2 [3.3] versus 2.9 [3.5]; impulses to harm self/others 1.7 [3.4] versus 2.8 [4.1]. </w:t>
      </w:r>
    </w:p>
    <w:p w:rsidR="00E4644E" w:rsidRDefault="00E4644E" w:rsidP="00247CB4">
      <w:pPr>
        <w:rPr>
          <w:b/>
        </w:rPr>
      </w:pPr>
    </w:p>
    <w:p w:rsidR="00E4644E" w:rsidRPr="0079025B" w:rsidRDefault="00E4644E" w:rsidP="00247CB4">
      <w:pPr>
        <w:rPr>
          <w:b/>
        </w:rPr>
      </w:pPr>
      <w:r w:rsidRPr="0079025B">
        <w:rPr>
          <w:b/>
        </w:rPr>
        <w:t>Description of cognitive tasks</w:t>
      </w:r>
    </w:p>
    <w:p w:rsidR="00E4644E" w:rsidRDefault="00E4644E" w:rsidP="0079025B">
      <w:pPr>
        <w:spacing w:line="480" w:lineRule="auto"/>
      </w:pPr>
    </w:p>
    <w:p w:rsidR="00E4644E" w:rsidRDefault="00E4644E" w:rsidP="0079025B">
      <w:pPr>
        <w:spacing w:line="480" w:lineRule="auto"/>
      </w:pPr>
      <w:r>
        <w:t xml:space="preserve">Impulsive cognition </w:t>
      </w:r>
      <w:proofErr w:type="gramStart"/>
      <w:r>
        <w:t>was measured</w:t>
      </w:r>
      <w:proofErr w:type="gramEnd"/>
      <w:r>
        <w:t xml:space="preserve"> using the Stop-Signal Task (SST) and measures from the Gambling Gamble Task (CGT). On the SST {Aron, 2007 #2187;Logan, 1984 #315}, participants responded to directional arrows appearing on the computer screen, and had to attempt to suppress their responses whenever a stop-signal (auditory ‘beep’) occurred. The outcome measure of interest was the stop-signal reaction time, which was an estimate of the time taken by the given volunteer’s brain to suppress a response that would normally be undertaken. On the CGT {Rogers, 1999 #1301}, for each trial, participants gambled a proportion of their cumulative points on whether the computer </w:t>
      </w:r>
      <w:r>
        <w:lastRenderedPageBreak/>
        <w:t xml:space="preserve">had hidden a token behind a red or blue box. By varying the proportions of red and blue boxes, and the method by which the gambling amount </w:t>
      </w:r>
      <w:proofErr w:type="gramStart"/>
      <w:r>
        <w:t>was selected</w:t>
      </w:r>
      <w:proofErr w:type="gramEnd"/>
      <w:r>
        <w:t xml:space="preserve">, the task enabled different aspects of decision-making to be captured. </w:t>
      </w:r>
      <w:r w:rsidRPr="00300111">
        <w:t xml:space="preserve">The key </w:t>
      </w:r>
      <w:r>
        <w:t xml:space="preserve">impulsive </w:t>
      </w:r>
      <w:r w:rsidRPr="00300111">
        <w:t xml:space="preserve">outcome measures </w:t>
      </w:r>
      <w:r>
        <w:t xml:space="preserve">for the CGT was </w:t>
      </w:r>
      <w:r w:rsidRPr="00300111">
        <w:t>quality of decision-making (the proportion of trials where the volunteer chose red when red boxes were in the majority and vice versa – i.e.</w:t>
      </w:r>
      <w:r>
        <w:t xml:space="preserve"> made the logical </w:t>
      </w:r>
      <w:proofErr w:type="spellStart"/>
      <w:r>
        <w:t>color</w:t>
      </w:r>
      <w:proofErr w:type="spellEnd"/>
      <w:r>
        <w:t xml:space="preserve"> choice).</w:t>
      </w:r>
    </w:p>
    <w:p w:rsidR="00E4644E" w:rsidRDefault="00E4644E" w:rsidP="0079025B">
      <w:pPr>
        <w:spacing w:line="480" w:lineRule="auto"/>
        <w:ind w:firstLine="720"/>
      </w:pPr>
      <w:r>
        <w:t xml:space="preserve">Cognitive compulsivity was measured using the </w:t>
      </w:r>
      <w:r w:rsidRPr="00300111">
        <w:t xml:space="preserve">risk adjustment </w:t>
      </w:r>
      <w:r>
        <w:t xml:space="preserve">measure from the previously described CGT task </w:t>
      </w:r>
      <w:r w:rsidRPr="00300111">
        <w:t>(tendency to adjust how many points are gambled depending on the degree of risk)</w:t>
      </w:r>
      <w:r>
        <w:t xml:space="preserve"> and by the number of extra-dimensional shift errors on the Intra-Dimensional/Extra-Dimensional Set-shift task (IED) {Owen, 1991 #1299}. For the IED task, participants attempted, through trial and error, to work out an underlying ‘rule’ about which of two stimuli presented on the computer screen was correct. The computer had chosen this rule in advance. Once the individual had learnt the current rule, the computer changed it, enabling different aspects of learning and flexible responding to </w:t>
      </w:r>
      <w:proofErr w:type="gramStart"/>
      <w:r>
        <w:t>be measured</w:t>
      </w:r>
      <w:proofErr w:type="gramEnd"/>
      <w:r>
        <w:t xml:space="preserve">. On the crucial extra-dimensional shift stage, the volunteer must ‘unlearn’ the previously relevant stimulus dimension and refocus their attention to a previously irrelevant stimulus dimension. </w:t>
      </w:r>
    </w:p>
    <w:p w:rsidR="00E4644E" w:rsidRDefault="00E4644E" w:rsidP="00247CB4"/>
    <w:p w:rsidR="00E4644E" w:rsidRPr="00572FEE" w:rsidRDefault="00E4644E" w:rsidP="00CA7616">
      <w:pPr>
        <w:rPr>
          <w:b/>
        </w:rPr>
      </w:pPr>
      <w:r w:rsidRPr="00572FEE">
        <w:rPr>
          <w:b/>
        </w:rPr>
        <w:t xml:space="preserve">Table 1. Data distributions for individual measures. </w:t>
      </w:r>
    </w:p>
    <w:tbl>
      <w:tblPr>
        <w:tblW w:w="8733" w:type="dxa"/>
        <w:tblLook w:val="04A0" w:firstRow="1" w:lastRow="0" w:firstColumn="1" w:lastColumn="0" w:noHBand="0" w:noVBand="1"/>
      </w:tblPr>
      <w:tblGrid>
        <w:gridCol w:w="93"/>
        <w:gridCol w:w="1081"/>
        <w:gridCol w:w="758"/>
        <w:gridCol w:w="202"/>
        <w:gridCol w:w="633"/>
        <w:gridCol w:w="327"/>
        <w:gridCol w:w="508"/>
        <w:gridCol w:w="452"/>
        <w:gridCol w:w="129"/>
        <w:gridCol w:w="835"/>
        <w:gridCol w:w="835"/>
        <w:gridCol w:w="960"/>
        <w:gridCol w:w="960"/>
        <w:gridCol w:w="960"/>
      </w:tblGrid>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Variable</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Mean</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SD</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SE</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proofErr w:type="spellStart"/>
            <w:r w:rsidRPr="005B2B56">
              <w:rPr>
                <w:rFonts w:ascii="Calibri" w:eastAsia="Times New Roman" w:hAnsi="Calibri" w:cs="Times New Roman"/>
                <w:color w:val="000000"/>
                <w:lang w:eastAsia="en-GB"/>
              </w:rPr>
              <w:t>gamfreq</w:t>
            </w:r>
            <w:proofErr w:type="spellEnd"/>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1.76</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2.09</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0.09</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proofErr w:type="spellStart"/>
            <w:r w:rsidRPr="005B2B56">
              <w:rPr>
                <w:rFonts w:ascii="Calibri" w:eastAsia="Times New Roman" w:hAnsi="Calibri" w:cs="Times New Roman"/>
                <w:color w:val="000000"/>
                <w:lang w:eastAsia="en-GB"/>
              </w:rPr>
              <w:t>alcfreq</w:t>
            </w:r>
            <w:proofErr w:type="spellEnd"/>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1.43</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1.47</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0.06</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proofErr w:type="spellStart"/>
            <w:r w:rsidRPr="005B2B56">
              <w:rPr>
                <w:rFonts w:ascii="Calibri" w:eastAsia="Times New Roman" w:hAnsi="Calibri" w:cs="Times New Roman"/>
                <w:color w:val="000000"/>
                <w:lang w:eastAsia="en-GB"/>
              </w:rPr>
              <w:t>marfreq</w:t>
            </w:r>
            <w:proofErr w:type="spellEnd"/>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0.72</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1.76</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0.07</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proofErr w:type="spellStart"/>
            <w:r w:rsidRPr="005B2B56">
              <w:rPr>
                <w:rFonts w:ascii="Calibri" w:eastAsia="Times New Roman" w:hAnsi="Calibri" w:cs="Times New Roman"/>
                <w:color w:val="000000"/>
                <w:lang w:eastAsia="en-GB"/>
              </w:rPr>
              <w:t>nicquan</w:t>
            </w:r>
            <w:proofErr w:type="spellEnd"/>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0.13</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0.3</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0.01</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proofErr w:type="spellStart"/>
            <w:r w:rsidRPr="005B2B56">
              <w:rPr>
                <w:rFonts w:ascii="Calibri" w:eastAsia="Times New Roman" w:hAnsi="Calibri" w:cs="Times New Roman"/>
                <w:color w:val="000000"/>
                <w:lang w:eastAsia="en-GB"/>
              </w:rPr>
              <w:t>Bmi</w:t>
            </w:r>
            <w:proofErr w:type="spellEnd"/>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24.64</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7.42</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0.31</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EIQI</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7.95</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4.29</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0.18</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EIQV</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10.5</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3.42</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0.14</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EIQE</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12.18</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3.55</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0.15</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BISAI</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16.86</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4.07</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0.17</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BISMI</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23.81</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4.66</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0.19</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BISNI</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24.21</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5.33</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0.22</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PADUACW</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6.18</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7</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0.29</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PADUADG</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1.43</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2.41</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0.1</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PADUAC</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6.71</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6.52</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0.27</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lastRenderedPageBreak/>
              <w:t>PADUAT</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2.21</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3.25</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0.14</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PADUAI</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1.74</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3.37</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0.14</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proofErr w:type="spellStart"/>
            <w:r w:rsidRPr="005B2B56">
              <w:rPr>
                <w:rFonts w:ascii="Calibri" w:eastAsia="Times New Roman" w:hAnsi="Calibri" w:cs="Times New Roman"/>
                <w:color w:val="000000"/>
                <w:lang w:eastAsia="en-GB"/>
              </w:rPr>
              <w:t>nOCPD</w:t>
            </w:r>
            <w:proofErr w:type="spellEnd"/>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1.17</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1.53</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0.09</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ADHD</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9.17</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4.58</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0.22</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Internet</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2.43</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2.17</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0.15</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SSRT</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181.9</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64.24</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2.68</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proofErr w:type="spellStart"/>
            <w:r w:rsidRPr="005B2B56">
              <w:rPr>
                <w:rFonts w:ascii="Calibri" w:eastAsia="Times New Roman" w:hAnsi="Calibri" w:cs="Times New Roman"/>
                <w:color w:val="000000"/>
                <w:lang w:eastAsia="en-GB"/>
              </w:rPr>
              <w:t>delav</w:t>
            </w:r>
            <w:proofErr w:type="spellEnd"/>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0.3</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0.25</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0.01</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proofErr w:type="spellStart"/>
            <w:r w:rsidRPr="005B2B56">
              <w:rPr>
                <w:rFonts w:ascii="Calibri" w:eastAsia="Times New Roman" w:hAnsi="Calibri" w:cs="Times New Roman"/>
                <w:color w:val="000000"/>
                <w:lang w:eastAsia="en-GB"/>
              </w:rPr>
              <w:t>propbet</w:t>
            </w:r>
            <w:proofErr w:type="spellEnd"/>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0.54</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0.14</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0.01</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proofErr w:type="spellStart"/>
            <w:r w:rsidRPr="005B2B56">
              <w:rPr>
                <w:rFonts w:ascii="Calibri" w:eastAsia="Times New Roman" w:hAnsi="Calibri" w:cs="Times New Roman"/>
                <w:color w:val="000000"/>
                <w:lang w:eastAsia="en-GB"/>
              </w:rPr>
              <w:t>qualdec</w:t>
            </w:r>
            <w:proofErr w:type="spellEnd"/>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0.95</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0.09</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proofErr w:type="spellStart"/>
            <w:r w:rsidRPr="005B2B56">
              <w:rPr>
                <w:rFonts w:ascii="Calibri" w:eastAsia="Times New Roman" w:hAnsi="Calibri" w:cs="Times New Roman"/>
                <w:color w:val="000000"/>
                <w:lang w:eastAsia="en-GB"/>
              </w:rPr>
              <w:t>riskadj</w:t>
            </w:r>
            <w:proofErr w:type="spellEnd"/>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1.55</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1.21</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0.05</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age</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22.27</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3.57</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0.15</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proofErr w:type="spellStart"/>
            <w:r w:rsidRPr="005B2B56">
              <w:rPr>
                <w:rFonts w:ascii="Calibri" w:eastAsia="Times New Roman" w:hAnsi="Calibri" w:cs="Times New Roman"/>
                <w:color w:val="000000"/>
                <w:lang w:eastAsia="en-GB"/>
              </w:rPr>
              <w:t>qolit</w:t>
            </w:r>
            <w:proofErr w:type="spellEnd"/>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45.85</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12.11</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0.51</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proofErr w:type="spellStart"/>
            <w:r w:rsidRPr="005B2B56">
              <w:rPr>
                <w:rFonts w:ascii="Calibri" w:eastAsia="Times New Roman" w:hAnsi="Calibri" w:cs="Times New Roman"/>
                <w:color w:val="000000"/>
                <w:lang w:eastAsia="en-GB"/>
              </w:rPr>
              <w:t>pgybocs</w:t>
            </w:r>
            <w:proofErr w:type="spellEnd"/>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5.14</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6.26</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0.26</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proofErr w:type="spellStart"/>
            <w:r w:rsidRPr="005B2B56">
              <w:rPr>
                <w:rFonts w:ascii="Calibri" w:eastAsia="Times New Roman" w:hAnsi="Calibri" w:cs="Times New Roman"/>
                <w:color w:val="000000"/>
                <w:lang w:eastAsia="en-GB"/>
              </w:rPr>
              <w:t>reverr</w:t>
            </w:r>
            <w:proofErr w:type="spellEnd"/>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6.18</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5.76</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0.24</w:t>
            </w:r>
          </w:p>
        </w:tc>
      </w:tr>
      <w:tr w:rsidR="00E4644E" w:rsidRPr="005B2B56" w:rsidTr="00CA7616">
        <w:trPr>
          <w:gridAfter w:val="6"/>
          <w:wAfter w:w="4679" w:type="dxa"/>
          <w:trHeight w:val="300"/>
        </w:trPr>
        <w:tc>
          <w:tcPr>
            <w:tcW w:w="1174"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rPr>
                <w:rFonts w:ascii="Calibri" w:eastAsia="Times New Roman" w:hAnsi="Calibri" w:cs="Times New Roman"/>
                <w:color w:val="000000"/>
                <w:lang w:eastAsia="en-GB"/>
              </w:rPr>
            </w:pPr>
            <w:proofErr w:type="spellStart"/>
            <w:r w:rsidRPr="005B2B56">
              <w:rPr>
                <w:rFonts w:ascii="Calibri" w:eastAsia="Times New Roman" w:hAnsi="Calibri" w:cs="Times New Roman"/>
                <w:color w:val="000000"/>
                <w:lang w:eastAsia="en-GB"/>
              </w:rPr>
              <w:t>ederr</w:t>
            </w:r>
            <w:proofErr w:type="spellEnd"/>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10.28</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10</w:t>
            </w:r>
          </w:p>
        </w:tc>
        <w:tc>
          <w:tcPr>
            <w:tcW w:w="960" w:type="dxa"/>
            <w:gridSpan w:val="2"/>
            <w:tcBorders>
              <w:top w:val="nil"/>
              <w:left w:val="nil"/>
              <w:bottom w:val="nil"/>
              <w:right w:val="nil"/>
            </w:tcBorders>
            <w:shd w:val="clear" w:color="auto" w:fill="auto"/>
            <w:noWrap/>
            <w:vAlign w:val="bottom"/>
            <w:hideMark/>
          </w:tcPr>
          <w:p w:rsidR="00E4644E" w:rsidRPr="005B2B56" w:rsidRDefault="00E4644E" w:rsidP="00D07DFF">
            <w:pPr>
              <w:spacing w:after="0" w:line="240" w:lineRule="auto"/>
              <w:jc w:val="right"/>
              <w:rPr>
                <w:rFonts w:ascii="Calibri" w:eastAsia="Times New Roman" w:hAnsi="Calibri" w:cs="Times New Roman"/>
                <w:color w:val="000000"/>
                <w:lang w:eastAsia="en-GB"/>
              </w:rPr>
            </w:pPr>
            <w:r w:rsidRPr="005B2B56">
              <w:rPr>
                <w:rFonts w:ascii="Calibri" w:eastAsia="Times New Roman" w:hAnsi="Calibri" w:cs="Times New Roman"/>
                <w:color w:val="000000"/>
                <w:lang w:eastAsia="en-GB"/>
              </w:rPr>
              <w:t>0.42</w:t>
            </w:r>
          </w:p>
        </w:tc>
      </w:tr>
      <w:tr w:rsidR="00E4644E" w:rsidRPr="00CA7616" w:rsidTr="00CA7616">
        <w:trPr>
          <w:gridBefore w:val="1"/>
          <w:wBefore w:w="93" w:type="dxa"/>
          <w:trHeight w:val="300"/>
        </w:trPr>
        <w:tc>
          <w:tcPr>
            <w:tcW w:w="5760" w:type="dxa"/>
            <w:gridSpan w:val="10"/>
            <w:tcBorders>
              <w:top w:val="nil"/>
              <w:left w:val="nil"/>
              <w:bottom w:val="nil"/>
              <w:right w:val="nil"/>
            </w:tcBorders>
            <w:shd w:val="clear" w:color="auto" w:fill="auto"/>
            <w:noWrap/>
            <w:vAlign w:val="bottom"/>
            <w:hideMark/>
          </w:tcPr>
          <w:p w:rsidR="00E4644E" w:rsidRDefault="00E4644E" w:rsidP="00CA7616">
            <w:pPr>
              <w:spacing w:after="0" w:line="240" w:lineRule="auto"/>
              <w:rPr>
                <w:rFonts w:ascii="Calibri" w:eastAsia="Times New Roman" w:hAnsi="Calibri" w:cs="Times New Roman"/>
                <w:color w:val="000000"/>
                <w:lang w:eastAsia="en-GB"/>
              </w:rPr>
            </w:pPr>
          </w:p>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Frequencies (for categorical type of variables)</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p>
        </w:tc>
      </w:tr>
      <w:tr w:rsidR="00E4644E" w:rsidRPr="00CA7616" w:rsidTr="00CA7616">
        <w:trPr>
          <w:gridBefore w:val="1"/>
          <w:wBefore w:w="93" w:type="dxa"/>
          <w:trHeight w:val="300"/>
        </w:trPr>
        <w:tc>
          <w:tcPr>
            <w:tcW w:w="1839"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0</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1</w:t>
            </w:r>
          </w:p>
        </w:tc>
        <w:tc>
          <w:tcPr>
            <w:tcW w:w="581"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2</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3</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4</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5</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6</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7</w:t>
            </w:r>
          </w:p>
        </w:tc>
      </w:tr>
      <w:tr w:rsidR="00E4644E" w:rsidRPr="00CA7616" w:rsidTr="00CA7616">
        <w:trPr>
          <w:gridBefore w:val="1"/>
          <w:wBefore w:w="93" w:type="dxa"/>
          <w:trHeight w:val="300"/>
        </w:trPr>
        <w:tc>
          <w:tcPr>
            <w:tcW w:w="1839"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AUD</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443</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130</w:t>
            </w:r>
          </w:p>
        </w:tc>
        <w:tc>
          <w:tcPr>
            <w:tcW w:w="581"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r>
      <w:tr w:rsidR="00E4644E" w:rsidRPr="00CA7616" w:rsidTr="00CA7616">
        <w:trPr>
          <w:gridBefore w:val="1"/>
          <w:wBefore w:w="93" w:type="dxa"/>
          <w:trHeight w:val="300"/>
        </w:trPr>
        <w:tc>
          <w:tcPr>
            <w:tcW w:w="1839"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SUD</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495</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81</w:t>
            </w:r>
          </w:p>
        </w:tc>
        <w:tc>
          <w:tcPr>
            <w:tcW w:w="581"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r>
      <w:tr w:rsidR="00E4644E" w:rsidRPr="00CA7616" w:rsidTr="00CA7616">
        <w:trPr>
          <w:gridBefore w:val="1"/>
          <w:wBefore w:w="93" w:type="dxa"/>
          <w:trHeight w:val="300"/>
        </w:trPr>
        <w:tc>
          <w:tcPr>
            <w:tcW w:w="1839"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proofErr w:type="spellStart"/>
            <w:r w:rsidRPr="00CA7616">
              <w:rPr>
                <w:rFonts w:ascii="Calibri" w:eastAsia="Times New Roman" w:hAnsi="Calibri" w:cs="Times New Roman"/>
                <w:color w:val="000000"/>
                <w:lang w:eastAsia="en-GB"/>
              </w:rPr>
              <w:t>antisoc</w:t>
            </w:r>
            <w:proofErr w:type="spellEnd"/>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544</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32</w:t>
            </w:r>
          </w:p>
        </w:tc>
        <w:tc>
          <w:tcPr>
            <w:tcW w:w="581"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r>
      <w:tr w:rsidR="00E4644E" w:rsidRPr="00CA7616" w:rsidTr="00CA7616">
        <w:trPr>
          <w:gridBefore w:val="1"/>
          <w:wBefore w:w="93" w:type="dxa"/>
          <w:trHeight w:val="300"/>
        </w:trPr>
        <w:tc>
          <w:tcPr>
            <w:tcW w:w="1839"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proofErr w:type="spellStart"/>
            <w:r w:rsidRPr="00CA7616">
              <w:rPr>
                <w:rFonts w:ascii="Calibri" w:eastAsia="Times New Roman" w:hAnsi="Calibri" w:cs="Times New Roman"/>
                <w:color w:val="000000"/>
                <w:lang w:eastAsia="en-GB"/>
              </w:rPr>
              <w:t>suic</w:t>
            </w:r>
            <w:proofErr w:type="spellEnd"/>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474</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85</w:t>
            </w:r>
          </w:p>
        </w:tc>
        <w:tc>
          <w:tcPr>
            <w:tcW w:w="581"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8</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9</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r>
      <w:tr w:rsidR="00E4644E" w:rsidRPr="00CA7616" w:rsidTr="00CA7616">
        <w:trPr>
          <w:gridBefore w:val="1"/>
          <w:wBefore w:w="93" w:type="dxa"/>
          <w:trHeight w:val="300"/>
        </w:trPr>
        <w:tc>
          <w:tcPr>
            <w:tcW w:w="1839"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MIDICB</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471</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23</w:t>
            </w:r>
          </w:p>
        </w:tc>
        <w:tc>
          <w:tcPr>
            <w:tcW w:w="581"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r>
      <w:tr w:rsidR="00E4644E" w:rsidRPr="00CA7616" w:rsidTr="00CA7616">
        <w:trPr>
          <w:gridBefore w:val="1"/>
          <w:wBefore w:w="93" w:type="dxa"/>
          <w:trHeight w:val="300"/>
        </w:trPr>
        <w:tc>
          <w:tcPr>
            <w:tcW w:w="1839"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MIDIPG</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401</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94</w:t>
            </w:r>
          </w:p>
        </w:tc>
        <w:tc>
          <w:tcPr>
            <w:tcW w:w="581"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r>
      <w:tr w:rsidR="00E4644E" w:rsidRPr="00CA7616" w:rsidTr="00CA7616">
        <w:trPr>
          <w:gridBefore w:val="1"/>
          <w:wBefore w:w="93" w:type="dxa"/>
          <w:trHeight w:val="300"/>
        </w:trPr>
        <w:tc>
          <w:tcPr>
            <w:tcW w:w="1839"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MIDICSB</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481</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14</w:t>
            </w:r>
          </w:p>
        </w:tc>
        <w:tc>
          <w:tcPr>
            <w:tcW w:w="581"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r>
      <w:tr w:rsidR="00E4644E" w:rsidRPr="00CA7616" w:rsidTr="00CA7616">
        <w:trPr>
          <w:gridBefore w:val="1"/>
          <w:wBefore w:w="93" w:type="dxa"/>
          <w:trHeight w:val="300"/>
        </w:trPr>
        <w:tc>
          <w:tcPr>
            <w:tcW w:w="1839"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gender</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199</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377</w:t>
            </w:r>
          </w:p>
        </w:tc>
        <w:tc>
          <w:tcPr>
            <w:tcW w:w="581"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r>
      <w:tr w:rsidR="00E4644E" w:rsidRPr="00CA7616" w:rsidTr="00CA7616">
        <w:trPr>
          <w:gridBefore w:val="1"/>
          <w:wBefore w:w="93" w:type="dxa"/>
          <w:trHeight w:val="300"/>
        </w:trPr>
        <w:tc>
          <w:tcPr>
            <w:tcW w:w="1839"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marital</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511</w:t>
            </w:r>
          </w:p>
        </w:tc>
        <w:tc>
          <w:tcPr>
            <w:tcW w:w="581"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22</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7</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35</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r>
      <w:tr w:rsidR="00E4644E" w:rsidRPr="00CA7616" w:rsidTr="00CA7616">
        <w:trPr>
          <w:gridBefore w:val="1"/>
          <w:wBefore w:w="93" w:type="dxa"/>
          <w:trHeight w:val="300"/>
        </w:trPr>
        <w:tc>
          <w:tcPr>
            <w:tcW w:w="1839"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proofErr w:type="spellStart"/>
            <w:r w:rsidRPr="00CA7616">
              <w:rPr>
                <w:rFonts w:ascii="Calibri" w:eastAsia="Times New Roman" w:hAnsi="Calibri" w:cs="Times New Roman"/>
                <w:color w:val="000000"/>
                <w:lang w:eastAsia="en-GB"/>
              </w:rPr>
              <w:t>edu</w:t>
            </w:r>
            <w:proofErr w:type="spellEnd"/>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22</w:t>
            </w:r>
          </w:p>
        </w:tc>
        <w:tc>
          <w:tcPr>
            <w:tcW w:w="581"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43</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359</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102</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50</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r>
      <w:tr w:rsidR="00E4644E" w:rsidRPr="00CA7616" w:rsidTr="00CA7616">
        <w:trPr>
          <w:gridBefore w:val="1"/>
          <w:wBefore w:w="93" w:type="dxa"/>
          <w:trHeight w:val="300"/>
        </w:trPr>
        <w:tc>
          <w:tcPr>
            <w:tcW w:w="1839"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proofErr w:type="spellStart"/>
            <w:r w:rsidRPr="00CA7616">
              <w:rPr>
                <w:rFonts w:ascii="Calibri" w:eastAsia="Times New Roman" w:hAnsi="Calibri" w:cs="Times New Roman"/>
                <w:color w:val="000000"/>
                <w:lang w:eastAsia="en-GB"/>
              </w:rPr>
              <w:t>emp</w:t>
            </w:r>
            <w:proofErr w:type="spellEnd"/>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115</w:t>
            </w:r>
          </w:p>
        </w:tc>
        <w:tc>
          <w:tcPr>
            <w:tcW w:w="581"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63</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198</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69</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1</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128</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1</w:t>
            </w:r>
          </w:p>
        </w:tc>
      </w:tr>
      <w:tr w:rsidR="00E4644E" w:rsidRPr="00CA7616" w:rsidTr="00CA7616">
        <w:trPr>
          <w:gridBefore w:val="1"/>
          <w:wBefore w:w="93" w:type="dxa"/>
          <w:trHeight w:val="300"/>
        </w:trPr>
        <w:tc>
          <w:tcPr>
            <w:tcW w:w="1839"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race</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422</w:t>
            </w:r>
          </w:p>
        </w:tc>
        <w:tc>
          <w:tcPr>
            <w:tcW w:w="581"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85</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19</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36</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6</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1</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r>
      <w:tr w:rsidR="00E4644E" w:rsidRPr="00CA7616" w:rsidTr="00CA7616">
        <w:trPr>
          <w:gridBefore w:val="1"/>
          <w:wBefore w:w="93" w:type="dxa"/>
          <w:trHeight w:val="300"/>
        </w:trPr>
        <w:tc>
          <w:tcPr>
            <w:tcW w:w="1839"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dep</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560</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13</w:t>
            </w:r>
          </w:p>
        </w:tc>
        <w:tc>
          <w:tcPr>
            <w:tcW w:w="581"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r>
      <w:tr w:rsidR="00E4644E" w:rsidRPr="00CA7616" w:rsidTr="00CA7616">
        <w:trPr>
          <w:gridBefore w:val="1"/>
          <w:wBefore w:w="93" w:type="dxa"/>
          <w:trHeight w:val="300"/>
        </w:trPr>
        <w:tc>
          <w:tcPr>
            <w:tcW w:w="1839"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proofErr w:type="spellStart"/>
            <w:r w:rsidRPr="00CA7616">
              <w:rPr>
                <w:rFonts w:ascii="Calibri" w:eastAsia="Times New Roman" w:hAnsi="Calibri" w:cs="Times New Roman"/>
                <w:color w:val="000000"/>
                <w:lang w:eastAsia="en-GB"/>
              </w:rPr>
              <w:t>anymini</w:t>
            </w:r>
            <w:proofErr w:type="spellEnd"/>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365</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211</w:t>
            </w:r>
          </w:p>
        </w:tc>
        <w:tc>
          <w:tcPr>
            <w:tcW w:w="581"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r>
      <w:tr w:rsidR="00E4644E" w:rsidRPr="00CA7616" w:rsidTr="00CA7616">
        <w:trPr>
          <w:gridBefore w:val="1"/>
          <w:wBefore w:w="93" w:type="dxa"/>
          <w:trHeight w:val="300"/>
        </w:trPr>
        <w:tc>
          <w:tcPr>
            <w:tcW w:w="1839"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proofErr w:type="spellStart"/>
            <w:r w:rsidRPr="00CA7616">
              <w:rPr>
                <w:rFonts w:ascii="Calibri" w:eastAsia="Times New Roman" w:hAnsi="Calibri" w:cs="Times New Roman"/>
                <w:color w:val="000000"/>
                <w:lang w:eastAsia="en-GB"/>
              </w:rPr>
              <w:t>famadd</w:t>
            </w:r>
            <w:proofErr w:type="spellEnd"/>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396</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180</w:t>
            </w:r>
          </w:p>
        </w:tc>
        <w:tc>
          <w:tcPr>
            <w:tcW w:w="581"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r>
      <w:tr w:rsidR="00E4644E" w:rsidRPr="00CA7616" w:rsidTr="00CA7616">
        <w:trPr>
          <w:gridBefore w:val="1"/>
          <w:wBefore w:w="93" w:type="dxa"/>
          <w:trHeight w:val="300"/>
        </w:trPr>
        <w:tc>
          <w:tcPr>
            <w:tcW w:w="1839"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proofErr w:type="spellStart"/>
            <w:r w:rsidRPr="00CA7616">
              <w:rPr>
                <w:rFonts w:ascii="Calibri" w:eastAsia="Times New Roman" w:hAnsi="Calibri" w:cs="Times New Roman"/>
                <w:color w:val="000000"/>
                <w:lang w:eastAsia="en-GB"/>
              </w:rPr>
              <w:t>eat_dis</w:t>
            </w:r>
            <w:proofErr w:type="spellEnd"/>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475</w:t>
            </w:r>
          </w:p>
        </w:tc>
        <w:tc>
          <w:tcPr>
            <w:tcW w:w="835"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jc w:val="right"/>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19</w:t>
            </w:r>
          </w:p>
        </w:tc>
        <w:tc>
          <w:tcPr>
            <w:tcW w:w="581" w:type="dxa"/>
            <w:gridSpan w:val="2"/>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835"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bottom"/>
            <w:hideMark/>
          </w:tcPr>
          <w:p w:rsidR="00E4644E" w:rsidRPr="00CA7616" w:rsidRDefault="00E4644E" w:rsidP="00CA7616">
            <w:pPr>
              <w:spacing w:after="0" w:line="240" w:lineRule="auto"/>
              <w:rPr>
                <w:rFonts w:ascii="Calibri" w:eastAsia="Times New Roman" w:hAnsi="Calibri" w:cs="Times New Roman"/>
                <w:color w:val="000000"/>
                <w:lang w:eastAsia="en-GB"/>
              </w:rPr>
            </w:pPr>
            <w:r w:rsidRPr="00CA7616">
              <w:rPr>
                <w:rFonts w:ascii="Calibri" w:eastAsia="Times New Roman" w:hAnsi="Calibri" w:cs="Times New Roman"/>
                <w:color w:val="000000"/>
                <w:lang w:eastAsia="en-GB"/>
              </w:rPr>
              <w:t>-</w:t>
            </w:r>
          </w:p>
        </w:tc>
      </w:tr>
    </w:tbl>
    <w:p w:rsidR="00E4644E" w:rsidRDefault="00E4644E"/>
    <w:p w:rsidR="00E4644E" w:rsidRDefault="00E4644E"/>
    <w:p w:rsidR="00E4644E" w:rsidRDefault="00E4644E" w:rsidP="005B2B56"/>
    <w:p w:rsidR="00E4644E" w:rsidRPr="00471344" w:rsidRDefault="00E4644E" w:rsidP="005B2B56">
      <w:pPr>
        <w:rPr>
          <w:b/>
        </w:rPr>
      </w:pPr>
      <w:r w:rsidRPr="00471344">
        <w:rPr>
          <w:b/>
        </w:rPr>
        <w:t xml:space="preserve">References </w:t>
      </w:r>
    </w:p>
    <w:p w:rsidR="00E4644E" w:rsidRPr="00D41911" w:rsidRDefault="00E4644E" w:rsidP="00D41911">
      <w:pPr>
        <w:pStyle w:val="EndNoteBibliography"/>
        <w:spacing w:after="0"/>
      </w:pPr>
      <w:bookmarkStart w:id="0" w:name="_ENREF_1"/>
      <w:r w:rsidRPr="00D41911">
        <w:rPr>
          <w:b/>
        </w:rPr>
        <w:t xml:space="preserve">Aron AR, Durston S, Eagle DM, Logan GD, Stinear CM , Stuphorn V </w:t>
      </w:r>
      <w:r w:rsidRPr="00D41911">
        <w:t xml:space="preserve">(2007). Converging evidence for a fronto-basal-ganglia network for inhibitory control of action and cognition. </w:t>
      </w:r>
      <w:r w:rsidRPr="00D41911">
        <w:rPr>
          <w:i/>
        </w:rPr>
        <w:t>J</w:t>
      </w:r>
      <w:r>
        <w:rPr>
          <w:i/>
        </w:rPr>
        <w:t>ournal of</w:t>
      </w:r>
      <w:r w:rsidRPr="00D41911">
        <w:rPr>
          <w:i/>
        </w:rPr>
        <w:t xml:space="preserve"> Neurosci</w:t>
      </w:r>
      <w:r>
        <w:rPr>
          <w:i/>
        </w:rPr>
        <w:t>ence</w:t>
      </w:r>
      <w:r w:rsidRPr="00D41911">
        <w:t xml:space="preserve"> </w:t>
      </w:r>
      <w:r w:rsidRPr="00D41911">
        <w:rPr>
          <w:b/>
        </w:rPr>
        <w:t>27</w:t>
      </w:r>
      <w:r w:rsidRPr="00D41911">
        <w:t>, 11860-4.</w:t>
      </w:r>
      <w:bookmarkEnd w:id="0"/>
    </w:p>
    <w:p w:rsidR="00E4644E" w:rsidRDefault="00E4644E" w:rsidP="00D41911">
      <w:pPr>
        <w:pStyle w:val="EndNoteBibliography"/>
        <w:spacing w:after="0"/>
        <w:rPr>
          <w:b/>
        </w:rPr>
      </w:pPr>
      <w:bookmarkStart w:id="1" w:name="_ENREF_2"/>
    </w:p>
    <w:p w:rsidR="00E4644E" w:rsidRPr="00D41911" w:rsidRDefault="00E4644E" w:rsidP="00D41911">
      <w:pPr>
        <w:pStyle w:val="EndNoteBibliography"/>
        <w:spacing w:after="0"/>
      </w:pPr>
      <w:r w:rsidRPr="00D41911">
        <w:rPr>
          <w:b/>
        </w:rPr>
        <w:t xml:space="preserve">Burns GL, Keortge SG, Formea GM , Sternberger LG </w:t>
      </w:r>
      <w:r w:rsidRPr="00D41911">
        <w:t xml:space="preserve">(1996). Revision of the Padua Inventory of obsessive compulsive disorder symptoms: distinctions between worry, obsessions, and compulsions. </w:t>
      </w:r>
      <w:r w:rsidRPr="00D41911">
        <w:rPr>
          <w:i/>
        </w:rPr>
        <w:t>Behav</w:t>
      </w:r>
      <w:r>
        <w:rPr>
          <w:i/>
        </w:rPr>
        <w:t>iour</w:t>
      </w:r>
      <w:r w:rsidRPr="00D41911">
        <w:rPr>
          <w:i/>
        </w:rPr>
        <w:t xml:space="preserve"> Res</w:t>
      </w:r>
      <w:r>
        <w:rPr>
          <w:i/>
        </w:rPr>
        <w:t>earch and</w:t>
      </w:r>
      <w:r w:rsidRPr="00D41911">
        <w:rPr>
          <w:i/>
        </w:rPr>
        <w:t xml:space="preserve"> Ther</w:t>
      </w:r>
      <w:r>
        <w:rPr>
          <w:i/>
        </w:rPr>
        <w:t>apy</w:t>
      </w:r>
      <w:r w:rsidRPr="00D41911">
        <w:t xml:space="preserve"> </w:t>
      </w:r>
      <w:r w:rsidRPr="00D41911">
        <w:rPr>
          <w:b/>
        </w:rPr>
        <w:t>34</w:t>
      </w:r>
      <w:r w:rsidRPr="00D41911">
        <w:t>, 163-73.</w:t>
      </w:r>
      <w:bookmarkEnd w:id="1"/>
    </w:p>
    <w:p w:rsidR="00E4644E" w:rsidRPr="00D41911" w:rsidRDefault="00E4644E" w:rsidP="00D41911">
      <w:pPr>
        <w:pStyle w:val="EndNoteBibliography"/>
        <w:spacing w:after="0"/>
      </w:pPr>
      <w:bookmarkStart w:id="2" w:name="_ENREF_3"/>
      <w:r w:rsidRPr="00D41911">
        <w:rPr>
          <w:b/>
        </w:rPr>
        <w:lastRenderedPageBreak/>
        <w:t xml:space="preserve">Chamberlain SR, Fineberg NA, Menzies LA, Blackwell AD, Bullmore ET, Robbins TW , Sahakian BJ </w:t>
      </w:r>
      <w:r w:rsidRPr="00D41911">
        <w:t xml:space="preserve">(2007). Impaired cognitive flexibility and motor inhibition in unaffected first-degree relatives of patients with obsessive-compulsive disorder. </w:t>
      </w:r>
      <w:r w:rsidRPr="00D41911">
        <w:rPr>
          <w:i/>
        </w:rPr>
        <w:t>Am J Psychiatry</w:t>
      </w:r>
      <w:r w:rsidRPr="00D41911">
        <w:t xml:space="preserve"> </w:t>
      </w:r>
      <w:r w:rsidRPr="00D41911">
        <w:rPr>
          <w:b/>
        </w:rPr>
        <w:t>164</w:t>
      </w:r>
      <w:r w:rsidRPr="00D41911">
        <w:t>, 335-8.</w:t>
      </w:r>
      <w:bookmarkEnd w:id="2"/>
    </w:p>
    <w:p w:rsidR="00E4644E" w:rsidRDefault="00E4644E" w:rsidP="00D41911">
      <w:pPr>
        <w:pStyle w:val="EndNoteBibliography"/>
        <w:spacing w:after="0"/>
        <w:rPr>
          <w:b/>
        </w:rPr>
      </w:pPr>
      <w:bookmarkStart w:id="3" w:name="_ENREF_4"/>
    </w:p>
    <w:p w:rsidR="00E4644E" w:rsidRPr="00D41911" w:rsidRDefault="00E4644E" w:rsidP="00D41911">
      <w:pPr>
        <w:pStyle w:val="EndNoteBibliography"/>
        <w:spacing w:after="0"/>
      </w:pPr>
      <w:r w:rsidRPr="00D41911">
        <w:rPr>
          <w:b/>
        </w:rPr>
        <w:t xml:space="preserve">Frisch MB </w:t>
      </w:r>
      <w:r w:rsidRPr="00D41911">
        <w:t xml:space="preserve">(1998). Quality of life therapy and assessment in health care. </w:t>
      </w:r>
      <w:r w:rsidRPr="00D41911">
        <w:rPr>
          <w:i/>
        </w:rPr>
        <w:t xml:space="preserve">Clinical Psychology: Science and Practice </w:t>
      </w:r>
      <w:r w:rsidRPr="00D41911">
        <w:rPr>
          <w:b/>
        </w:rPr>
        <w:t>5</w:t>
      </w:r>
      <w:r w:rsidRPr="00D41911">
        <w:t>, 19-40.</w:t>
      </w:r>
      <w:bookmarkEnd w:id="3"/>
    </w:p>
    <w:p w:rsidR="00E4644E" w:rsidRDefault="00E4644E" w:rsidP="00D41911">
      <w:pPr>
        <w:pStyle w:val="EndNoteBibliography"/>
        <w:spacing w:after="0"/>
        <w:rPr>
          <w:b/>
        </w:rPr>
      </w:pPr>
      <w:bookmarkStart w:id="4" w:name="_ENREF_5"/>
    </w:p>
    <w:p w:rsidR="00E4644E" w:rsidRPr="00D41911" w:rsidRDefault="00E4644E" w:rsidP="00D41911">
      <w:pPr>
        <w:pStyle w:val="EndNoteBibliography"/>
        <w:spacing w:after="0"/>
      </w:pPr>
      <w:r w:rsidRPr="00D41911">
        <w:rPr>
          <w:b/>
        </w:rPr>
        <w:t xml:space="preserve">Frisch MB, Clark MP, Rouse SV, Rudd MD, Paweleck JK, Greenstone A , Kopplin DA </w:t>
      </w:r>
      <w:r w:rsidRPr="00D41911">
        <w:t xml:space="preserve">(2005). Predictive and treatment validity of life satisfaction and the quality of life inventory. </w:t>
      </w:r>
      <w:r w:rsidRPr="00D41911">
        <w:rPr>
          <w:i/>
        </w:rPr>
        <w:t>Assessment</w:t>
      </w:r>
      <w:r w:rsidRPr="00D41911">
        <w:t xml:space="preserve"> </w:t>
      </w:r>
      <w:r w:rsidRPr="00D41911">
        <w:rPr>
          <w:b/>
        </w:rPr>
        <w:t>12</w:t>
      </w:r>
      <w:r w:rsidRPr="00D41911">
        <w:t>, 66-78.</w:t>
      </w:r>
      <w:bookmarkEnd w:id="4"/>
    </w:p>
    <w:p w:rsidR="00E4644E" w:rsidRDefault="00E4644E" w:rsidP="00D41911">
      <w:pPr>
        <w:pStyle w:val="EndNoteBibliography"/>
        <w:spacing w:after="0"/>
        <w:rPr>
          <w:b/>
        </w:rPr>
      </w:pPr>
      <w:bookmarkStart w:id="5" w:name="_ENREF_6"/>
    </w:p>
    <w:p w:rsidR="00E4644E" w:rsidRPr="00D41911" w:rsidRDefault="00E4644E" w:rsidP="00D41911">
      <w:pPr>
        <w:pStyle w:val="EndNoteBibliography"/>
        <w:spacing w:after="0"/>
      </w:pPr>
      <w:r w:rsidRPr="00D41911">
        <w:rPr>
          <w:b/>
        </w:rPr>
        <w:t xml:space="preserve">Logan GD, Cowan WB , Davis KA </w:t>
      </w:r>
      <w:r w:rsidRPr="00D41911">
        <w:t xml:space="preserve">(1984). On the ability to inhibit simple and choice reaction time responses: a model and a method. </w:t>
      </w:r>
      <w:r>
        <w:rPr>
          <w:i/>
        </w:rPr>
        <w:t xml:space="preserve">Journal of Experimental Psychology: Human Perception and Perforamance </w:t>
      </w:r>
      <w:r w:rsidRPr="00D41911">
        <w:rPr>
          <w:b/>
        </w:rPr>
        <w:t>10</w:t>
      </w:r>
      <w:r w:rsidRPr="00D41911">
        <w:t>, 276-91.</w:t>
      </w:r>
      <w:bookmarkEnd w:id="5"/>
    </w:p>
    <w:p w:rsidR="00E4644E" w:rsidRDefault="00E4644E" w:rsidP="00D41911">
      <w:pPr>
        <w:pStyle w:val="EndNoteBibliography"/>
        <w:spacing w:after="0"/>
        <w:rPr>
          <w:b/>
        </w:rPr>
      </w:pPr>
      <w:bookmarkStart w:id="6" w:name="_ENREF_7"/>
    </w:p>
    <w:p w:rsidR="00E4644E" w:rsidRPr="00D41911" w:rsidRDefault="00E4644E" w:rsidP="00D41911">
      <w:pPr>
        <w:pStyle w:val="EndNoteBibliography"/>
        <w:spacing w:after="0"/>
      </w:pPr>
      <w:r w:rsidRPr="00D41911">
        <w:rPr>
          <w:b/>
        </w:rPr>
        <w:t xml:space="preserve">Owen AM, Roberts AC, Polkey CE, Sahakian BJ , Robbins TW </w:t>
      </w:r>
      <w:r w:rsidRPr="00D41911">
        <w:t xml:space="preserve">(1991). Extra-dimensional versus intra-dimensional set shifting performance following frontal lobe excisions, temporal lobe excisions or amygdalo-hippocampectomy in man. </w:t>
      </w:r>
      <w:r w:rsidRPr="00D41911">
        <w:rPr>
          <w:i/>
        </w:rPr>
        <w:t>Neuropsychologia</w:t>
      </w:r>
      <w:r w:rsidRPr="00D41911">
        <w:t xml:space="preserve"> </w:t>
      </w:r>
      <w:r w:rsidRPr="00D41911">
        <w:rPr>
          <w:b/>
        </w:rPr>
        <w:t>29</w:t>
      </w:r>
      <w:r w:rsidRPr="00D41911">
        <w:t>, 993-1006.</w:t>
      </w:r>
      <w:bookmarkEnd w:id="6"/>
    </w:p>
    <w:p w:rsidR="00E4644E" w:rsidRDefault="00E4644E" w:rsidP="00D41911">
      <w:pPr>
        <w:pStyle w:val="EndNoteBibliography"/>
        <w:spacing w:after="0"/>
        <w:rPr>
          <w:b/>
        </w:rPr>
      </w:pPr>
      <w:bookmarkStart w:id="7" w:name="_ENREF_8"/>
    </w:p>
    <w:p w:rsidR="00E4644E" w:rsidRPr="00D41911" w:rsidRDefault="00E4644E" w:rsidP="00D41911">
      <w:pPr>
        <w:pStyle w:val="EndNoteBibliography"/>
        <w:spacing w:after="0"/>
      </w:pPr>
      <w:r w:rsidRPr="00D41911">
        <w:rPr>
          <w:b/>
        </w:rPr>
        <w:t xml:space="preserve">Rogers RD, Everitt BJ, Baldacchino A, Blackshaw AJ, Swainson R, Wynne K, Baker NB, Hunter J, Carthy T, Booker E, London M, Deakin JF, Sahakian BJ , Robbins TW </w:t>
      </w:r>
      <w:r w:rsidRPr="00D41911">
        <w:t xml:space="preserve">(1999). Dissociable deficits in the decision-making cognition of chronic amphetamine abusers, opiate abusers, patients with focal damage to prefrontal cortex, and tryptophan-depleted normal volunteers: evidence for monoaminergic mechanisms. </w:t>
      </w:r>
      <w:r w:rsidRPr="00D41911">
        <w:rPr>
          <w:i/>
        </w:rPr>
        <w:t>Neuropsychopharmacology</w:t>
      </w:r>
      <w:r w:rsidRPr="00D41911">
        <w:t xml:space="preserve"> </w:t>
      </w:r>
      <w:r w:rsidRPr="00D41911">
        <w:rPr>
          <w:b/>
        </w:rPr>
        <w:t>20</w:t>
      </w:r>
      <w:r w:rsidRPr="00D41911">
        <w:t>, 322-39.</w:t>
      </w:r>
      <w:bookmarkEnd w:id="7"/>
    </w:p>
    <w:p w:rsidR="00E4644E" w:rsidRDefault="00E4644E" w:rsidP="00D41911">
      <w:pPr>
        <w:pStyle w:val="EndNoteBibliography"/>
        <w:rPr>
          <w:b/>
        </w:rPr>
      </w:pPr>
      <w:bookmarkStart w:id="8" w:name="_ENREF_9"/>
    </w:p>
    <w:p w:rsidR="00E4644E" w:rsidRPr="00D41911" w:rsidRDefault="00E4644E" w:rsidP="00D41911">
      <w:pPr>
        <w:pStyle w:val="EndNoteBibliography"/>
      </w:pPr>
      <w:r w:rsidRPr="00D41911">
        <w:rPr>
          <w:b/>
        </w:rPr>
        <w:t xml:space="preserve">Spinella M </w:t>
      </w:r>
      <w:r w:rsidRPr="00D41911">
        <w:t xml:space="preserve">(2007). Normative data and a short form of the Barratt Impulsiveness Scale. </w:t>
      </w:r>
      <w:r w:rsidRPr="00D41911">
        <w:rPr>
          <w:i/>
        </w:rPr>
        <w:t>Int</w:t>
      </w:r>
      <w:r>
        <w:rPr>
          <w:i/>
        </w:rPr>
        <w:t>ernational</w:t>
      </w:r>
      <w:r w:rsidRPr="00D41911">
        <w:rPr>
          <w:i/>
        </w:rPr>
        <w:t xml:space="preserve"> J</w:t>
      </w:r>
      <w:r>
        <w:rPr>
          <w:i/>
        </w:rPr>
        <w:t>ournal of</w:t>
      </w:r>
      <w:r w:rsidRPr="00D41911">
        <w:rPr>
          <w:i/>
        </w:rPr>
        <w:t xml:space="preserve"> Neurosci</w:t>
      </w:r>
      <w:r>
        <w:rPr>
          <w:i/>
        </w:rPr>
        <w:t>ence</w:t>
      </w:r>
      <w:r w:rsidRPr="00D41911">
        <w:t xml:space="preserve"> </w:t>
      </w:r>
      <w:r w:rsidRPr="00D41911">
        <w:rPr>
          <w:b/>
        </w:rPr>
        <w:t>117</w:t>
      </w:r>
      <w:r w:rsidRPr="00D41911">
        <w:t>, 359-68.</w:t>
      </w:r>
      <w:bookmarkEnd w:id="8"/>
    </w:p>
    <w:p w:rsidR="00E4644E" w:rsidRPr="00CD1026" w:rsidRDefault="00E4644E" w:rsidP="005B2B56"/>
    <w:p w:rsidR="00700BDF" w:rsidRDefault="00700BDF">
      <w:bookmarkStart w:id="9" w:name="_GoBack"/>
      <w:bookmarkEnd w:id="9"/>
    </w:p>
    <w:sectPr w:rsidR="00700B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4644E"/>
    <w:rsid w:val="00700BDF"/>
    <w:rsid w:val="00E4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B346"/>
  <w15:chartTrackingRefBased/>
  <w15:docId w15:val="{335F0E2B-6A73-4762-8ECD-EBFAC104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44E"/>
  </w:style>
  <w:style w:type="character" w:default="1" w:styleId="DefaultParagraphFont">
    <w:name w:val="Default Paragraph Font"/>
    <w:uiPriority w:val="1"/>
    <w:unhideWhenUsed/>
    <w:rsid w:val="00E464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644E"/>
  </w:style>
  <w:style w:type="character" w:styleId="CommentReference">
    <w:name w:val="annotation reference"/>
    <w:basedOn w:val="DefaultParagraphFont"/>
    <w:uiPriority w:val="99"/>
    <w:semiHidden/>
    <w:unhideWhenUsed/>
    <w:rsid w:val="00E4644E"/>
    <w:rPr>
      <w:sz w:val="16"/>
      <w:szCs w:val="16"/>
    </w:rPr>
  </w:style>
  <w:style w:type="paragraph" w:styleId="CommentText">
    <w:name w:val="annotation text"/>
    <w:basedOn w:val="Normal"/>
    <w:link w:val="CommentTextChar"/>
    <w:uiPriority w:val="99"/>
    <w:semiHidden/>
    <w:unhideWhenUsed/>
    <w:rsid w:val="00E4644E"/>
    <w:pPr>
      <w:spacing w:line="240" w:lineRule="auto"/>
    </w:pPr>
    <w:rPr>
      <w:sz w:val="20"/>
      <w:szCs w:val="20"/>
    </w:rPr>
  </w:style>
  <w:style w:type="character" w:customStyle="1" w:styleId="CommentTextChar">
    <w:name w:val="Comment Text Char"/>
    <w:basedOn w:val="DefaultParagraphFont"/>
    <w:link w:val="CommentText"/>
    <w:uiPriority w:val="99"/>
    <w:semiHidden/>
    <w:rsid w:val="00E4644E"/>
    <w:rPr>
      <w:sz w:val="20"/>
      <w:szCs w:val="20"/>
    </w:rPr>
  </w:style>
  <w:style w:type="paragraph" w:styleId="CommentSubject">
    <w:name w:val="annotation subject"/>
    <w:basedOn w:val="CommentText"/>
    <w:next w:val="CommentText"/>
    <w:link w:val="CommentSubjectChar"/>
    <w:uiPriority w:val="99"/>
    <w:semiHidden/>
    <w:unhideWhenUsed/>
    <w:rsid w:val="00E4644E"/>
    <w:rPr>
      <w:b/>
      <w:bCs/>
    </w:rPr>
  </w:style>
  <w:style w:type="character" w:customStyle="1" w:styleId="CommentSubjectChar">
    <w:name w:val="Comment Subject Char"/>
    <w:basedOn w:val="CommentTextChar"/>
    <w:link w:val="CommentSubject"/>
    <w:uiPriority w:val="99"/>
    <w:semiHidden/>
    <w:rsid w:val="00E4644E"/>
    <w:rPr>
      <w:b/>
      <w:bCs/>
      <w:sz w:val="20"/>
      <w:szCs w:val="20"/>
    </w:rPr>
  </w:style>
  <w:style w:type="paragraph" w:styleId="BalloonText">
    <w:name w:val="Balloon Text"/>
    <w:basedOn w:val="Normal"/>
    <w:link w:val="BalloonTextChar"/>
    <w:uiPriority w:val="99"/>
    <w:semiHidden/>
    <w:unhideWhenUsed/>
    <w:rsid w:val="00E46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44E"/>
    <w:rPr>
      <w:rFonts w:ascii="Segoe UI" w:hAnsi="Segoe UI" w:cs="Segoe UI"/>
      <w:sz w:val="18"/>
      <w:szCs w:val="18"/>
    </w:rPr>
  </w:style>
  <w:style w:type="table" w:styleId="TableGrid">
    <w:name w:val="Table Grid"/>
    <w:basedOn w:val="TableNormal"/>
    <w:uiPriority w:val="39"/>
    <w:rsid w:val="00E4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644E"/>
    <w:rPr>
      <w:color w:val="0563C1" w:themeColor="hyperlink"/>
      <w:u w:val="single"/>
    </w:rPr>
  </w:style>
  <w:style w:type="paragraph" w:customStyle="1" w:styleId="EndNoteBibliographyTitle">
    <w:name w:val="EndNote Bibliography Title"/>
    <w:basedOn w:val="Normal"/>
    <w:link w:val="EndNoteBibliographyTitleChar"/>
    <w:rsid w:val="00E4644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4644E"/>
    <w:rPr>
      <w:rFonts w:ascii="Calibri" w:hAnsi="Calibri"/>
      <w:noProof/>
      <w:lang w:val="en-US"/>
    </w:rPr>
  </w:style>
  <w:style w:type="paragraph" w:customStyle="1" w:styleId="EndNoteBibliography">
    <w:name w:val="EndNote Bibliography"/>
    <w:basedOn w:val="Normal"/>
    <w:link w:val="EndNoteBibliographyChar"/>
    <w:rsid w:val="00E4644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4644E"/>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5522</Characters>
  <Application>Microsoft Office Word</Application>
  <DocSecurity>0</DocSecurity>
  <Lines>46</Lines>
  <Paragraphs>12</Paragraphs>
  <ScaleCrop>false</ScaleCrop>
  <Company>Clinical School Computing Service</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Robin Chamberlain</dc:creator>
  <cp:keywords/>
  <dc:description/>
  <cp:lastModifiedBy>Samuel Robin Chamberlain</cp:lastModifiedBy>
  <cp:revision>1</cp:revision>
  <dcterms:created xsi:type="dcterms:W3CDTF">2017-07-07T08:13:00Z</dcterms:created>
  <dcterms:modified xsi:type="dcterms:W3CDTF">2017-07-07T08:14:00Z</dcterms:modified>
</cp:coreProperties>
</file>