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8FBC3" w14:textId="77777777" w:rsidR="000E51E1" w:rsidRDefault="000E51E1" w:rsidP="000E51E1">
      <w:pPr>
        <w:spacing w:line="240" w:lineRule="auto"/>
        <w:ind w:firstLine="0"/>
        <w:rPr>
          <w:rFonts w:ascii="Arial" w:eastAsia="Times New Roman" w:hAnsi="Arial" w:cs="Arial"/>
          <w:sz w:val="20"/>
          <w:szCs w:val="20"/>
        </w:rPr>
      </w:pPr>
      <w:r w:rsidRPr="000E51E1">
        <w:rPr>
          <w:rFonts w:ascii="Arial" w:hAnsi="Arial" w:cs="Arial"/>
          <w:sz w:val="20"/>
          <w:szCs w:val="20"/>
        </w:rPr>
        <w:t>As an additional validity check of our data, we removed items from the facet scales that may resemble symptom criteria for depression and anxiety. Specifically,</w:t>
      </w:r>
      <w:r w:rsidRPr="000E51E1">
        <w:rPr>
          <w:rFonts w:ascii="Arial" w:eastAsia="Times New Roman" w:hAnsi="Arial" w:cs="Arial"/>
          <w:sz w:val="20"/>
          <w:szCs w:val="20"/>
        </w:rPr>
        <w:t xml:space="preserve"> for the depressivity scale: “I don’t get depressed very often,” “I feel worthless at times” and “I rarely feel blue for long periods of time” were removed. For the anxiousness scale “I constantly worry about things that might have gone wrong,” “</w:t>
      </w:r>
      <w:r w:rsidRPr="000E51E1">
        <w:rPr>
          <w:rFonts w:ascii="Arial" w:hAnsi="Arial" w:cs="Arial"/>
          <w:sz w:val="20"/>
          <w:szCs w:val="20"/>
        </w:rPr>
        <w:t xml:space="preserve">I find myself worrying a lot,” and “I seem to have fewer worries </w:t>
      </w:r>
      <w:r>
        <w:rPr>
          <w:rFonts w:ascii="Arial" w:hAnsi="Arial" w:cs="Arial"/>
          <w:sz w:val="20"/>
          <w:szCs w:val="20"/>
        </w:rPr>
        <w:t>than other people” were removed</w:t>
      </w:r>
      <w:r w:rsidRPr="000E51E1">
        <w:rPr>
          <w:rFonts w:ascii="Arial" w:eastAsia="Times New Roman" w:hAnsi="Arial" w:cs="Arial"/>
          <w:sz w:val="20"/>
          <w:szCs w:val="20"/>
        </w:rPr>
        <w:t>.</w:t>
      </w:r>
    </w:p>
    <w:p w14:paraId="16CF36AB" w14:textId="77777777" w:rsidR="000E51E1" w:rsidRDefault="000E51E1" w:rsidP="000E51E1">
      <w:pPr>
        <w:spacing w:line="240" w:lineRule="auto"/>
        <w:ind w:firstLine="0"/>
        <w:rPr>
          <w:rFonts w:ascii="Arial" w:eastAsia="Times New Roman" w:hAnsi="Arial" w:cs="Arial"/>
          <w:sz w:val="20"/>
          <w:szCs w:val="20"/>
        </w:rPr>
      </w:pPr>
    </w:p>
    <w:p w14:paraId="2670F4E5" w14:textId="77777777" w:rsidR="000E51E1" w:rsidRPr="00500D74" w:rsidRDefault="000E51E1" w:rsidP="000E51E1">
      <w:pPr>
        <w:spacing w:line="240" w:lineRule="auto"/>
        <w:ind w:firstLine="0"/>
        <w:rPr>
          <w:rFonts w:ascii="Arial" w:hAnsi="Arial" w:cs="Arial"/>
          <w:sz w:val="20"/>
          <w:szCs w:val="20"/>
        </w:rPr>
      </w:pPr>
      <w:r>
        <w:rPr>
          <w:rFonts w:ascii="Arial" w:eastAsia="Times New Roman" w:hAnsi="Arial" w:cs="Arial"/>
          <w:sz w:val="20"/>
          <w:szCs w:val="20"/>
        </w:rPr>
        <w:t xml:space="preserve">We then repeated </w:t>
      </w:r>
      <w:r w:rsidRPr="00500D74">
        <w:rPr>
          <w:rFonts w:ascii="Arial" w:hAnsi="Arial" w:cs="Arial"/>
          <w:sz w:val="20"/>
          <w:szCs w:val="20"/>
        </w:rPr>
        <w:t>our bivariate analyses predicting first onsets with the new scales and compared the odds ratios to the original scales.</w:t>
      </w:r>
    </w:p>
    <w:p w14:paraId="566FC690" w14:textId="38DE8AEA" w:rsidR="000E51E1" w:rsidRDefault="000E51E1" w:rsidP="000E51E1">
      <w:pPr>
        <w:spacing w:line="240" w:lineRule="auto"/>
        <w:ind w:firstLine="0"/>
        <w:rPr>
          <w:rFonts w:ascii="Arial" w:eastAsia="Times New Roman" w:hAnsi="Arial" w:cs="Arial"/>
          <w:sz w:val="20"/>
          <w:szCs w:val="20"/>
        </w:rPr>
      </w:pPr>
    </w:p>
    <w:p w14:paraId="4C83FD43" w14:textId="165333DE" w:rsidR="009C556A" w:rsidRPr="009C556A" w:rsidRDefault="009C556A" w:rsidP="000E51E1">
      <w:pPr>
        <w:spacing w:line="240" w:lineRule="auto"/>
        <w:ind w:firstLine="0"/>
        <w:rPr>
          <w:rFonts w:ascii="Arial" w:eastAsia="Times New Roman" w:hAnsi="Arial" w:cs="Arial"/>
          <w:b/>
          <w:sz w:val="20"/>
          <w:szCs w:val="20"/>
        </w:rPr>
      </w:pPr>
      <w:r w:rsidRPr="009C556A">
        <w:rPr>
          <w:rFonts w:ascii="Arial" w:eastAsia="Times New Roman" w:hAnsi="Arial" w:cs="Arial"/>
          <w:b/>
          <w:sz w:val="20"/>
          <w:szCs w:val="20"/>
        </w:rPr>
        <w:t>Supplemental Table 2.</w:t>
      </w:r>
      <w:r>
        <w:rPr>
          <w:rFonts w:ascii="Arial" w:eastAsia="Times New Roman" w:hAnsi="Arial" w:cs="Arial"/>
          <w:b/>
          <w:sz w:val="20"/>
          <w:szCs w:val="20"/>
        </w:rPr>
        <w:t xml:space="preserve"> Bivariate associations of first onsets predicted from the original and edited depressivity and anxiousness facet scales.</w:t>
      </w:r>
      <w:bookmarkStart w:id="0" w:name="_GoBack"/>
      <w:bookmarkEnd w:id="0"/>
    </w:p>
    <w:p w14:paraId="19216632" w14:textId="77777777" w:rsidR="000E51E1" w:rsidRPr="00500D74" w:rsidRDefault="000E51E1" w:rsidP="000E51E1">
      <w:pPr>
        <w:spacing w:line="240" w:lineRule="auto"/>
        <w:ind w:firstLine="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597"/>
        <w:gridCol w:w="1598"/>
        <w:gridCol w:w="1597"/>
        <w:gridCol w:w="1598"/>
      </w:tblGrid>
      <w:tr w:rsidR="000E51E1" w:rsidRPr="00500D74" w14:paraId="4934F722" w14:textId="77777777" w:rsidTr="00E83323">
        <w:tc>
          <w:tcPr>
            <w:tcW w:w="1795" w:type="dxa"/>
            <w:tcBorders>
              <w:top w:val="single" w:sz="4" w:space="0" w:color="auto"/>
            </w:tcBorders>
          </w:tcPr>
          <w:p w14:paraId="315A4483" w14:textId="77777777" w:rsidR="000E51E1" w:rsidRPr="00500D74" w:rsidRDefault="000E51E1" w:rsidP="00E83323">
            <w:pPr>
              <w:ind w:firstLine="0"/>
              <w:rPr>
                <w:rFonts w:ascii="Arial" w:hAnsi="Arial" w:cs="Arial"/>
                <w:sz w:val="20"/>
                <w:szCs w:val="20"/>
              </w:rPr>
            </w:pPr>
          </w:p>
        </w:tc>
        <w:tc>
          <w:tcPr>
            <w:tcW w:w="3195" w:type="dxa"/>
            <w:gridSpan w:val="2"/>
            <w:tcBorders>
              <w:top w:val="single" w:sz="4" w:space="0" w:color="auto"/>
            </w:tcBorders>
            <w:vAlign w:val="center"/>
          </w:tcPr>
          <w:p w14:paraId="6F031FD7" w14:textId="77777777" w:rsidR="000E51E1" w:rsidRPr="00500D74" w:rsidRDefault="000E51E1" w:rsidP="00E83323">
            <w:pPr>
              <w:ind w:firstLine="0"/>
              <w:jc w:val="center"/>
              <w:rPr>
                <w:rFonts w:ascii="Arial" w:hAnsi="Arial" w:cs="Arial"/>
                <w:sz w:val="20"/>
                <w:szCs w:val="20"/>
              </w:rPr>
            </w:pPr>
            <w:r w:rsidRPr="00500D74">
              <w:rPr>
                <w:rFonts w:ascii="Arial" w:hAnsi="Arial" w:cs="Arial"/>
                <w:sz w:val="20"/>
                <w:szCs w:val="20"/>
              </w:rPr>
              <w:t>Depressivity facet</w:t>
            </w:r>
          </w:p>
        </w:tc>
        <w:tc>
          <w:tcPr>
            <w:tcW w:w="3195" w:type="dxa"/>
            <w:gridSpan w:val="2"/>
            <w:tcBorders>
              <w:top w:val="single" w:sz="4" w:space="0" w:color="auto"/>
            </w:tcBorders>
            <w:vAlign w:val="center"/>
          </w:tcPr>
          <w:p w14:paraId="65E97B88" w14:textId="77777777" w:rsidR="000E51E1" w:rsidRPr="00500D74" w:rsidRDefault="000E51E1" w:rsidP="00E83323">
            <w:pPr>
              <w:ind w:firstLine="0"/>
              <w:jc w:val="center"/>
              <w:rPr>
                <w:rFonts w:ascii="Arial" w:hAnsi="Arial" w:cs="Arial"/>
                <w:sz w:val="20"/>
                <w:szCs w:val="20"/>
              </w:rPr>
            </w:pPr>
            <w:r w:rsidRPr="00500D74">
              <w:rPr>
                <w:rFonts w:ascii="Arial" w:hAnsi="Arial" w:cs="Arial"/>
                <w:sz w:val="20"/>
                <w:szCs w:val="20"/>
              </w:rPr>
              <w:t>Anxiousness facet</w:t>
            </w:r>
          </w:p>
        </w:tc>
      </w:tr>
      <w:tr w:rsidR="000E51E1" w:rsidRPr="00500D74" w14:paraId="68FD331D" w14:textId="77777777" w:rsidTr="00E83323">
        <w:tc>
          <w:tcPr>
            <w:tcW w:w="1795" w:type="dxa"/>
            <w:tcBorders>
              <w:bottom w:val="single" w:sz="4" w:space="0" w:color="auto"/>
            </w:tcBorders>
          </w:tcPr>
          <w:p w14:paraId="0FF9AE51" w14:textId="77777777" w:rsidR="000E51E1" w:rsidRPr="00500D74" w:rsidRDefault="000E51E1" w:rsidP="00E83323">
            <w:pPr>
              <w:ind w:firstLine="0"/>
              <w:rPr>
                <w:rFonts w:ascii="Arial" w:hAnsi="Arial" w:cs="Arial"/>
                <w:sz w:val="20"/>
                <w:szCs w:val="20"/>
              </w:rPr>
            </w:pPr>
            <w:r w:rsidRPr="00500D74">
              <w:rPr>
                <w:rFonts w:ascii="Arial" w:hAnsi="Arial" w:cs="Arial"/>
                <w:sz w:val="20"/>
                <w:szCs w:val="20"/>
              </w:rPr>
              <w:t>Disorder</w:t>
            </w:r>
          </w:p>
        </w:tc>
        <w:tc>
          <w:tcPr>
            <w:tcW w:w="1597" w:type="dxa"/>
            <w:tcBorders>
              <w:bottom w:val="single" w:sz="4" w:space="0" w:color="auto"/>
            </w:tcBorders>
          </w:tcPr>
          <w:p w14:paraId="78A12088" w14:textId="77777777" w:rsidR="000E51E1" w:rsidRPr="00500D74" w:rsidRDefault="000E51E1" w:rsidP="00E83323">
            <w:pPr>
              <w:ind w:firstLine="0"/>
              <w:jc w:val="center"/>
              <w:rPr>
                <w:rFonts w:ascii="Arial" w:hAnsi="Arial" w:cs="Arial"/>
                <w:sz w:val="20"/>
                <w:szCs w:val="20"/>
              </w:rPr>
            </w:pPr>
            <w:r w:rsidRPr="00500D74">
              <w:rPr>
                <w:rFonts w:ascii="Arial" w:hAnsi="Arial" w:cs="Arial"/>
                <w:sz w:val="20"/>
                <w:szCs w:val="20"/>
              </w:rPr>
              <w:t>Original</w:t>
            </w:r>
          </w:p>
        </w:tc>
        <w:tc>
          <w:tcPr>
            <w:tcW w:w="1598" w:type="dxa"/>
            <w:tcBorders>
              <w:bottom w:val="single" w:sz="4" w:space="0" w:color="auto"/>
            </w:tcBorders>
          </w:tcPr>
          <w:p w14:paraId="5869E9B5" w14:textId="77777777" w:rsidR="000E51E1" w:rsidRPr="00500D74" w:rsidRDefault="000E51E1" w:rsidP="00E83323">
            <w:pPr>
              <w:ind w:firstLine="0"/>
              <w:jc w:val="center"/>
              <w:rPr>
                <w:rFonts w:ascii="Arial" w:hAnsi="Arial" w:cs="Arial"/>
                <w:sz w:val="20"/>
                <w:szCs w:val="20"/>
              </w:rPr>
            </w:pPr>
            <w:r w:rsidRPr="00500D74">
              <w:rPr>
                <w:rFonts w:ascii="Arial" w:hAnsi="Arial" w:cs="Arial"/>
                <w:sz w:val="20"/>
                <w:szCs w:val="20"/>
              </w:rPr>
              <w:t>Edited</w:t>
            </w:r>
          </w:p>
        </w:tc>
        <w:tc>
          <w:tcPr>
            <w:tcW w:w="1597" w:type="dxa"/>
            <w:tcBorders>
              <w:bottom w:val="single" w:sz="4" w:space="0" w:color="auto"/>
            </w:tcBorders>
          </w:tcPr>
          <w:p w14:paraId="72379899" w14:textId="77777777" w:rsidR="000E51E1" w:rsidRPr="00500D74" w:rsidRDefault="000E51E1" w:rsidP="00E83323">
            <w:pPr>
              <w:ind w:firstLine="0"/>
              <w:jc w:val="center"/>
              <w:rPr>
                <w:rFonts w:ascii="Arial" w:hAnsi="Arial" w:cs="Arial"/>
                <w:sz w:val="20"/>
                <w:szCs w:val="20"/>
              </w:rPr>
            </w:pPr>
            <w:r w:rsidRPr="00500D74">
              <w:rPr>
                <w:rFonts w:ascii="Arial" w:hAnsi="Arial" w:cs="Arial"/>
                <w:sz w:val="20"/>
                <w:szCs w:val="20"/>
              </w:rPr>
              <w:t>Original</w:t>
            </w:r>
          </w:p>
        </w:tc>
        <w:tc>
          <w:tcPr>
            <w:tcW w:w="1598" w:type="dxa"/>
            <w:tcBorders>
              <w:bottom w:val="single" w:sz="4" w:space="0" w:color="auto"/>
            </w:tcBorders>
          </w:tcPr>
          <w:p w14:paraId="59E6093C" w14:textId="77777777" w:rsidR="000E51E1" w:rsidRPr="00500D74" w:rsidRDefault="000E51E1" w:rsidP="00E83323">
            <w:pPr>
              <w:ind w:firstLine="0"/>
              <w:jc w:val="center"/>
              <w:rPr>
                <w:rFonts w:ascii="Arial" w:hAnsi="Arial" w:cs="Arial"/>
                <w:sz w:val="20"/>
                <w:szCs w:val="20"/>
              </w:rPr>
            </w:pPr>
            <w:r w:rsidRPr="00500D74">
              <w:rPr>
                <w:rFonts w:ascii="Arial" w:hAnsi="Arial" w:cs="Arial"/>
                <w:sz w:val="20"/>
                <w:szCs w:val="20"/>
              </w:rPr>
              <w:t>Edited</w:t>
            </w:r>
          </w:p>
        </w:tc>
      </w:tr>
      <w:tr w:rsidR="000E51E1" w:rsidRPr="00500D74" w14:paraId="14CF7281" w14:textId="77777777" w:rsidTr="00E83323">
        <w:tc>
          <w:tcPr>
            <w:tcW w:w="1795" w:type="dxa"/>
            <w:tcBorders>
              <w:top w:val="single" w:sz="4" w:space="0" w:color="auto"/>
            </w:tcBorders>
          </w:tcPr>
          <w:p w14:paraId="549EC417" w14:textId="77777777" w:rsidR="000E51E1" w:rsidRPr="00500D74" w:rsidRDefault="000E51E1" w:rsidP="00E83323">
            <w:pPr>
              <w:ind w:firstLine="0"/>
              <w:rPr>
                <w:rFonts w:ascii="Arial" w:hAnsi="Arial" w:cs="Arial"/>
                <w:sz w:val="20"/>
                <w:szCs w:val="20"/>
              </w:rPr>
            </w:pPr>
            <w:r w:rsidRPr="00500D74">
              <w:rPr>
                <w:rFonts w:ascii="Arial" w:hAnsi="Arial" w:cs="Arial"/>
                <w:sz w:val="20"/>
                <w:szCs w:val="20"/>
              </w:rPr>
              <w:t>Depression</w:t>
            </w:r>
          </w:p>
        </w:tc>
        <w:tc>
          <w:tcPr>
            <w:tcW w:w="1597" w:type="dxa"/>
            <w:tcBorders>
              <w:top w:val="single" w:sz="4" w:space="0" w:color="auto"/>
            </w:tcBorders>
          </w:tcPr>
          <w:p w14:paraId="69D5770D" w14:textId="77777777" w:rsidR="000E51E1" w:rsidRPr="00500D74" w:rsidRDefault="000E51E1" w:rsidP="00E83323">
            <w:pPr>
              <w:ind w:firstLine="0"/>
              <w:jc w:val="center"/>
              <w:rPr>
                <w:rFonts w:ascii="Arial" w:hAnsi="Arial" w:cs="Arial"/>
                <w:sz w:val="20"/>
                <w:szCs w:val="20"/>
              </w:rPr>
            </w:pPr>
            <w:r w:rsidRPr="00500D74">
              <w:rPr>
                <w:rFonts w:ascii="Arial" w:hAnsi="Arial" w:cs="Arial"/>
                <w:sz w:val="20"/>
                <w:szCs w:val="20"/>
              </w:rPr>
              <w:t>2.05</w:t>
            </w:r>
          </w:p>
        </w:tc>
        <w:tc>
          <w:tcPr>
            <w:tcW w:w="1598" w:type="dxa"/>
            <w:tcBorders>
              <w:top w:val="single" w:sz="4" w:space="0" w:color="auto"/>
            </w:tcBorders>
          </w:tcPr>
          <w:p w14:paraId="3D451F9D" w14:textId="77777777" w:rsidR="000E51E1" w:rsidRPr="00500D74" w:rsidRDefault="000E51E1" w:rsidP="00E83323">
            <w:pPr>
              <w:ind w:firstLine="0"/>
              <w:jc w:val="center"/>
              <w:rPr>
                <w:rFonts w:ascii="Arial" w:hAnsi="Arial" w:cs="Arial"/>
                <w:sz w:val="20"/>
                <w:szCs w:val="20"/>
              </w:rPr>
            </w:pPr>
            <w:r w:rsidRPr="00500D74">
              <w:rPr>
                <w:rFonts w:ascii="Arial" w:hAnsi="Arial" w:cs="Arial"/>
                <w:sz w:val="20"/>
                <w:szCs w:val="20"/>
              </w:rPr>
              <w:t>2.03</w:t>
            </w:r>
          </w:p>
        </w:tc>
        <w:tc>
          <w:tcPr>
            <w:tcW w:w="1597" w:type="dxa"/>
            <w:tcBorders>
              <w:top w:val="single" w:sz="4" w:space="0" w:color="auto"/>
            </w:tcBorders>
          </w:tcPr>
          <w:p w14:paraId="1FDAA779" w14:textId="77777777" w:rsidR="000E51E1" w:rsidRPr="00500D74" w:rsidRDefault="000E51E1" w:rsidP="00E83323">
            <w:pPr>
              <w:ind w:firstLine="0"/>
              <w:jc w:val="center"/>
              <w:rPr>
                <w:rFonts w:ascii="Arial" w:hAnsi="Arial" w:cs="Arial"/>
                <w:sz w:val="20"/>
                <w:szCs w:val="20"/>
              </w:rPr>
            </w:pPr>
            <w:r w:rsidRPr="00500D74">
              <w:rPr>
                <w:rFonts w:ascii="Arial" w:hAnsi="Arial" w:cs="Arial"/>
                <w:sz w:val="20"/>
                <w:szCs w:val="20"/>
              </w:rPr>
              <w:t>1.77</w:t>
            </w:r>
          </w:p>
        </w:tc>
        <w:tc>
          <w:tcPr>
            <w:tcW w:w="1598" w:type="dxa"/>
            <w:tcBorders>
              <w:top w:val="single" w:sz="4" w:space="0" w:color="auto"/>
            </w:tcBorders>
          </w:tcPr>
          <w:p w14:paraId="225793D7" w14:textId="77777777" w:rsidR="000E51E1" w:rsidRPr="00500D74" w:rsidRDefault="000E51E1" w:rsidP="00E83323">
            <w:pPr>
              <w:ind w:firstLine="0"/>
              <w:jc w:val="center"/>
              <w:rPr>
                <w:rFonts w:ascii="Arial" w:hAnsi="Arial" w:cs="Arial"/>
                <w:sz w:val="20"/>
                <w:szCs w:val="20"/>
              </w:rPr>
            </w:pPr>
            <w:r w:rsidRPr="00500D74">
              <w:rPr>
                <w:rFonts w:ascii="Arial" w:hAnsi="Arial" w:cs="Arial"/>
                <w:sz w:val="20"/>
                <w:szCs w:val="20"/>
              </w:rPr>
              <w:t>1.71</w:t>
            </w:r>
          </w:p>
        </w:tc>
      </w:tr>
      <w:tr w:rsidR="000E51E1" w:rsidRPr="00500D74" w14:paraId="1E683ACD" w14:textId="77777777" w:rsidTr="00E83323">
        <w:tc>
          <w:tcPr>
            <w:tcW w:w="1795" w:type="dxa"/>
          </w:tcPr>
          <w:p w14:paraId="756878B4" w14:textId="77777777" w:rsidR="000E51E1" w:rsidRPr="00500D74" w:rsidRDefault="000E51E1" w:rsidP="00E83323">
            <w:pPr>
              <w:ind w:firstLine="0"/>
              <w:rPr>
                <w:rFonts w:ascii="Arial" w:hAnsi="Arial" w:cs="Arial"/>
                <w:sz w:val="20"/>
                <w:szCs w:val="20"/>
              </w:rPr>
            </w:pPr>
            <w:r w:rsidRPr="00500D74">
              <w:rPr>
                <w:rFonts w:ascii="Arial" w:hAnsi="Arial" w:cs="Arial"/>
                <w:sz w:val="20"/>
                <w:szCs w:val="20"/>
              </w:rPr>
              <w:t>GAD</w:t>
            </w:r>
          </w:p>
        </w:tc>
        <w:tc>
          <w:tcPr>
            <w:tcW w:w="1597" w:type="dxa"/>
          </w:tcPr>
          <w:p w14:paraId="43EB9A49" w14:textId="77777777" w:rsidR="000E51E1" w:rsidRPr="00500D74" w:rsidRDefault="000E51E1" w:rsidP="00E83323">
            <w:pPr>
              <w:ind w:firstLine="0"/>
              <w:jc w:val="center"/>
              <w:rPr>
                <w:rFonts w:ascii="Arial" w:hAnsi="Arial" w:cs="Arial"/>
                <w:sz w:val="20"/>
                <w:szCs w:val="20"/>
              </w:rPr>
            </w:pPr>
            <w:r w:rsidRPr="00500D74">
              <w:rPr>
                <w:rFonts w:ascii="Arial" w:hAnsi="Arial" w:cs="Arial"/>
                <w:sz w:val="20"/>
                <w:szCs w:val="20"/>
              </w:rPr>
              <w:t>1.63</w:t>
            </w:r>
          </w:p>
        </w:tc>
        <w:tc>
          <w:tcPr>
            <w:tcW w:w="1598" w:type="dxa"/>
          </w:tcPr>
          <w:p w14:paraId="408AB6F7" w14:textId="77777777" w:rsidR="000E51E1" w:rsidRPr="00500D74" w:rsidRDefault="000E51E1" w:rsidP="00E83323">
            <w:pPr>
              <w:ind w:firstLine="0"/>
              <w:jc w:val="center"/>
              <w:rPr>
                <w:rFonts w:ascii="Arial" w:hAnsi="Arial" w:cs="Arial"/>
                <w:sz w:val="20"/>
                <w:szCs w:val="20"/>
              </w:rPr>
            </w:pPr>
            <w:r w:rsidRPr="00500D74">
              <w:rPr>
                <w:rFonts w:ascii="Arial" w:hAnsi="Arial" w:cs="Arial"/>
                <w:sz w:val="20"/>
                <w:szCs w:val="20"/>
              </w:rPr>
              <w:t>1.60</w:t>
            </w:r>
          </w:p>
        </w:tc>
        <w:tc>
          <w:tcPr>
            <w:tcW w:w="1597" w:type="dxa"/>
          </w:tcPr>
          <w:p w14:paraId="2499F068" w14:textId="77777777" w:rsidR="000E51E1" w:rsidRPr="00500D74" w:rsidRDefault="000E51E1" w:rsidP="00E83323">
            <w:pPr>
              <w:ind w:firstLine="0"/>
              <w:jc w:val="center"/>
              <w:rPr>
                <w:rFonts w:ascii="Arial" w:hAnsi="Arial" w:cs="Arial"/>
                <w:sz w:val="20"/>
                <w:szCs w:val="20"/>
              </w:rPr>
            </w:pPr>
            <w:r w:rsidRPr="00500D74">
              <w:rPr>
                <w:rFonts w:ascii="Arial" w:hAnsi="Arial" w:cs="Arial"/>
                <w:sz w:val="20"/>
                <w:szCs w:val="20"/>
              </w:rPr>
              <w:t>2.37</w:t>
            </w:r>
          </w:p>
        </w:tc>
        <w:tc>
          <w:tcPr>
            <w:tcW w:w="1598" w:type="dxa"/>
          </w:tcPr>
          <w:p w14:paraId="40A894FB" w14:textId="77777777" w:rsidR="000E51E1" w:rsidRPr="00500D74" w:rsidRDefault="000E51E1" w:rsidP="00E83323">
            <w:pPr>
              <w:ind w:firstLine="0"/>
              <w:jc w:val="center"/>
              <w:rPr>
                <w:rFonts w:ascii="Arial" w:hAnsi="Arial" w:cs="Arial"/>
                <w:sz w:val="20"/>
                <w:szCs w:val="20"/>
              </w:rPr>
            </w:pPr>
            <w:r w:rsidRPr="00500D74">
              <w:rPr>
                <w:rFonts w:ascii="Arial" w:hAnsi="Arial" w:cs="Arial"/>
                <w:sz w:val="20"/>
                <w:szCs w:val="20"/>
              </w:rPr>
              <w:t>2.10</w:t>
            </w:r>
          </w:p>
        </w:tc>
      </w:tr>
      <w:tr w:rsidR="000E51E1" w:rsidRPr="00500D74" w14:paraId="54D56B5E" w14:textId="77777777" w:rsidTr="00E83323">
        <w:tc>
          <w:tcPr>
            <w:tcW w:w="1795" w:type="dxa"/>
          </w:tcPr>
          <w:p w14:paraId="1FA4873E" w14:textId="77777777" w:rsidR="000E51E1" w:rsidRPr="00500D74" w:rsidRDefault="000E51E1" w:rsidP="00E83323">
            <w:pPr>
              <w:ind w:firstLine="0"/>
              <w:rPr>
                <w:rFonts w:ascii="Arial" w:hAnsi="Arial" w:cs="Arial"/>
                <w:sz w:val="20"/>
                <w:szCs w:val="20"/>
              </w:rPr>
            </w:pPr>
            <w:r w:rsidRPr="00500D74">
              <w:rPr>
                <w:rFonts w:ascii="Arial" w:hAnsi="Arial" w:cs="Arial"/>
                <w:sz w:val="20"/>
                <w:szCs w:val="20"/>
              </w:rPr>
              <w:t>Social Phobia</w:t>
            </w:r>
          </w:p>
        </w:tc>
        <w:tc>
          <w:tcPr>
            <w:tcW w:w="1597" w:type="dxa"/>
          </w:tcPr>
          <w:p w14:paraId="05E514EB" w14:textId="77777777" w:rsidR="000E51E1" w:rsidRPr="00500D74" w:rsidRDefault="000E51E1" w:rsidP="00E83323">
            <w:pPr>
              <w:ind w:firstLine="0"/>
              <w:jc w:val="center"/>
              <w:rPr>
                <w:rFonts w:ascii="Arial" w:hAnsi="Arial" w:cs="Arial"/>
                <w:sz w:val="20"/>
                <w:szCs w:val="20"/>
              </w:rPr>
            </w:pPr>
            <w:r w:rsidRPr="00500D74">
              <w:rPr>
                <w:rFonts w:ascii="Arial" w:hAnsi="Arial" w:cs="Arial"/>
                <w:sz w:val="20"/>
                <w:szCs w:val="20"/>
              </w:rPr>
              <w:t>1.32</w:t>
            </w:r>
          </w:p>
        </w:tc>
        <w:tc>
          <w:tcPr>
            <w:tcW w:w="1598" w:type="dxa"/>
          </w:tcPr>
          <w:p w14:paraId="4060221C" w14:textId="77777777" w:rsidR="000E51E1" w:rsidRPr="00500D74" w:rsidRDefault="000E51E1" w:rsidP="00E83323">
            <w:pPr>
              <w:ind w:firstLine="0"/>
              <w:jc w:val="center"/>
              <w:rPr>
                <w:rFonts w:ascii="Arial" w:hAnsi="Arial" w:cs="Arial"/>
                <w:sz w:val="20"/>
                <w:szCs w:val="20"/>
              </w:rPr>
            </w:pPr>
            <w:r w:rsidRPr="00500D74">
              <w:rPr>
                <w:rFonts w:ascii="Arial" w:hAnsi="Arial" w:cs="Arial"/>
                <w:sz w:val="20"/>
                <w:szCs w:val="20"/>
              </w:rPr>
              <w:t>1.34</w:t>
            </w:r>
          </w:p>
        </w:tc>
        <w:tc>
          <w:tcPr>
            <w:tcW w:w="1597" w:type="dxa"/>
          </w:tcPr>
          <w:p w14:paraId="4309627D" w14:textId="77777777" w:rsidR="000E51E1" w:rsidRPr="00500D74" w:rsidRDefault="000E51E1" w:rsidP="00E83323">
            <w:pPr>
              <w:ind w:firstLine="0"/>
              <w:jc w:val="center"/>
              <w:rPr>
                <w:rFonts w:ascii="Arial" w:hAnsi="Arial" w:cs="Arial"/>
                <w:sz w:val="20"/>
                <w:szCs w:val="20"/>
              </w:rPr>
            </w:pPr>
            <w:r w:rsidRPr="00500D74">
              <w:rPr>
                <w:rFonts w:ascii="Arial" w:hAnsi="Arial" w:cs="Arial"/>
                <w:sz w:val="20"/>
                <w:szCs w:val="20"/>
              </w:rPr>
              <w:t>1.74</w:t>
            </w:r>
          </w:p>
        </w:tc>
        <w:tc>
          <w:tcPr>
            <w:tcW w:w="1598" w:type="dxa"/>
          </w:tcPr>
          <w:p w14:paraId="5A1438D7" w14:textId="77777777" w:rsidR="000E51E1" w:rsidRPr="00500D74" w:rsidRDefault="000E51E1" w:rsidP="00E83323">
            <w:pPr>
              <w:ind w:firstLine="0"/>
              <w:jc w:val="center"/>
              <w:rPr>
                <w:rFonts w:ascii="Arial" w:hAnsi="Arial" w:cs="Arial"/>
                <w:sz w:val="20"/>
                <w:szCs w:val="20"/>
              </w:rPr>
            </w:pPr>
            <w:r w:rsidRPr="00500D74">
              <w:rPr>
                <w:rFonts w:ascii="Arial" w:hAnsi="Arial" w:cs="Arial"/>
                <w:sz w:val="20"/>
                <w:szCs w:val="20"/>
              </w:rPr>
              <w:t>1.75</w:t>
            </w:r>
          </w:p>
        </w:tc>
      </w:tr>
      <w:tr w:rsidR="000E51E1" w:rsidRPr="00500D74" w14:paraId="4E49ADB4" w14:textId="77777777" w:rsidTr="00E83323">
        <w:tc>
          <w:tcPr>
            <w:tcW w:w="1795" w:type="dxa"/>
            <w:tcBorders>
              <w:bottom w:val="single" w:sz="4" w:space="0" w:color="auto"/>
            </w:tcBorders>
          </w:tcPr>
          <w:p w14:paraId="1A84D822" w14:textId="77777777" w:rsidR="000E51E1" w:rsidRPr="00500D74" w:rsidRDefault="000E51E1" w:rsidP="00E83323">
            <w:pPr>
              <w:ind w:firstLine="0"/>
              <w:rPr>
                <w:rFonts w:ascii="Arial" w:hAnsi="Arial" w:cs="Arial"/>
                <w:sz w:val="20"/>
                <w:szCs w:val="20"/>
              </w:rPr>
            </w:pPr>
            <w:r w:rsidRPr="00500D74">
              <w:rPr>
                <w:rFonts w:ascii="Arial" w:hAnsi="Arial" w:cs="Arial"/>
                <w:sz w:val="20"/>
                <w:szCs w:val="20"/>
              </w:rPr>
              <w:t>Specific Phobia</w:t>
            </w:r>
          </w:p>
        </w:tc>
        <w:tc>
          <w:tcPr>
            <w:tcW w:w="1597" w:type="dxa"/>
            <w:tcBorders>
              <w:bottom w:val="single" w:sz="4" w:space="0" w:color="auto"/>
            </w:tcBorders>
          </w:tcPr>
          <w:p w14:paraId="756441CD" w14:textId="77777777" w:rsidR="000E51E1" w:rsidRPr="00500D74" w:rsidRDefault="000E51E1" w:rsidP="00E83323">
            <w:pPr>
              <w:ind w:firstLine="0"/>
              <w:jc w:val="center"/>
              <w:rPr>
                <w:rFonts w:ascii="Arial" w:hAnsi="Arial" w:cs="Arial"/>
                <w:sz w:val="20"/>
                <w:szCs w:val="20"/>
              </w:rPr>
            </w:pPr>
            <w:r w:rsidRPr="00500D74">
              <w:rPr>
                <w:rFonts w:ascii="Arial" w:hAnsi="Arial" w:cs="Arial"/>
                <w:sz w:val="20"/>
                <w:szCs w:val="20"/>
              </w:rPr>
              <w:t>1.36</w:t>
            </w:r>
          </w:p>
        </w:tc>
        <w:tc>
          <w:tcPr>
            <w:tcW w:w="1598" w:type="dxa"/>
            <w:tcBorders>
              <w:bottom w:val="single" w:sz="4" w:space="0" w:color="auto"/>
            </w:tcBorders>
          </w:tcPr>
          <w:p w14:paraId="223D512E" w14:textId="77777777" w:rsidR="000E51E1" w:rsidRPr="00500D74" w:rsidRDefault="000E51E1" w:rsidP="00E83323">
            <w:pPr>
              <w:ind w:firstLine="0"/>
              <w:jc w:val="center"/>
              <w:rPr>
                <w:rFonts w:ascii="Arial" w:hAnsi="Arial" w:cs="Arial"/>
                <w:sz w:val="20"/>
                <w:szCs w:val="20"/>
              </w:rPr>
            </w:pPr>
            <w:r w:rsidRPr="00500D74">
              <w:rPr>
                <w:rFonts w:ascii="Arial" w:hAnsi="Arial" w:cs="Arial"/>
                <w:sz w:val="20"/>
                <w:szCs w:val="20"/>
              </w:rPr>
              <w:t>1.32</w:t>
            </w:r>
          </w:p>
        </w:tc>
        <w:tc>
          <w:tcPr>
            <w:tcW w:w="1597" w:type="dxa"/>
            <w:tcBorders>
              <w:bottom w:val="single" w:sz="4" w:space="0" w:color="auto"/>
            </w:tcBorders>
          </w:tcPr>
          <w:p w14:paraId="2560275B" w14:textId="77777777" w:rsidR="000E51E1" w:rsidRPr="00500D74" w:rsidRDefault="000E51E1" w:rsidP="00E83323">
            <w:pPr>
              <w:ind w:firstLine="0"/>
              <w:jc w:val="center"/>
              <w:rPr>
                <w:rFonts w:ascii="Arial" w:hAnsi="Arial" w:cs="Arial"/>
                <w:sz w:val="20"/>
                <w:szCs w:val="20"/>
              </w:rPr>
            </w:pPr>
            <w:r w:rsidRPr="00500D74">
              <w:rPr>
                <w:rFonts w:ascii="Arial" w:hAnsi="Arial" w:cs="Arial"/>
                <w:sz w:val="20"/>
                <w:szCs w:val="20"/>
              </w:rPr>
              <w:t>1.41</w:t>
            </w:r>
          </w:p>
        </w:tc>
        <w:tc>
          <w:tcPr>
            <w:tcW w:w="1598" w:type="dxa"/>
            <w:tcBorders>
              <w:bottom w:val="single" w:sz="4" w:space="0" w:color="auto"/>
            </w:tcBorders>
          </w:tcPr>
          <w:p w14:paraId="74D29922" w14:textId="77777777" w:rsidR="000E51E1" w:rsidRPr="00500D74" w:rsidRDefault="000E51E1" w:rsidP="00E83323">
            <w:pPr>
              <w:ind w:firstLine="0"/>
              <w:jc w:val="center"/>
              <w:rPr>
                <w:rFonts w:ascii="Arial" w:hAnsi="Arial" w:cs="Arial"/>
                <w:sz w:val="20"/>
                <w:szCs w:val="20"/>
              </w:rPr>
            </w:pPr>
            <w:r w:rsidRPr="00500D74">
              <w:rPr>
                <w:rFonts w:ascii="Arial" w:hAnsi="Arial" w:cs="Arial"/>
                <w:sz w:val="20"/>
                <w:szCs w:val="20"/>
              </w:rPr>
              <w:t>1.43</w:t>
            </w:r>
          </w:p>
        </w:tc>
      </w:tr>
    </w:tbl>
    <w:p w14:paraId="7B99B212" w14:textId="77777777" w:rsidR="000E51E1" w:rsidRPr="00500D74" w:rsidRDefault="000E51E1" w:rsidP="000E51E1">
      <w:pPr>
        <w:spacing w:line="240" w:lineRule="auto"/>
        <w:ind w:firstLine="0"/>
        <w:rPr>
          <w:rFonts w:ascii="Arial" w:hAnsi="Arial" w:cs="Arial"/>
          <w:sz w:val="20"/>
          <w:szCs w:val="20"/>
        </w:rPr>
      </w:pPr>
    </w:p>
    <w:p w14:paraId="52515B04" w14:textId="77777777" w:rsidR="000E51E1" w:rsidRPr="00500D74" w:rsidRDefault="000E51E1" w:rsidP="000E51E1">
      <w:pPr>
        <w:spacing w:line="240" w:lineRule="auto"/>
        <w:ind w:firstLine="0"/>
        <w:rPr>
          <w:rFonts w:ascii="Arial" w:hAnsi="Arial" w:cs="Arial"/>
          <w:sz w:val="20"/>
          <w:szCs w:val="20"/>
        </w:rPr>
      </w:pPr>
      <w:r w:rsidRPr="00500D74">
        <w:rPr>
          <w:rFonts w:ascii="Arial" w:hAnsi="Arial" w:cs="Arial"/>
          <w:sz w:val="20"/>
          <w:szCs w:val="20"/>
        </w:rPr>
        <w:t>As can be seen in the table there is almost no difference between the scales with or without items that may have some content overlap. The one exception is the association between GAD and the facet of anxiousness, which appears somewhat weaker using the new scale (2.37 vs. 2.10).</w:t>
      </w:r>
    </w:p>
    <w:p w14:paraId="161D99AC" w14:textId="77777777" w:rsidR="00D10EB3" w:rsidRDefault="00D10EB3" w:rsidP="000E51E1">
      <w:pPr>
        <w:ind w:firstLine="0"/>
        <w:rPr>
          <w:rFonts w:ascii="Arial" w:hAnsi="Arial" w:cs="Arial"/>
          <w:sz w:val="20"/>
          <w:szCs w:val="20"/>
        </w:rPr>
      </w:pPr>
    </w:p>
    <w:p w14:paraId="089D2092" w14:textId="77777777" w:rsidR="000E51E1" w:rsidRPr="00500D74" w:rsidRDefault="000E51E1" w:rsidP="000E51E1">
      <w:pPr>
        <w:spacing w:line="240" w:lineRule="auto"/>
        <w:ind w:firstLine="0"/>
        <w:rPr>
          <w:rFonts w:ascii="Arial" w:hAnsi="Arial" w:cs="Arial"/>
          <w:sz w:val="20"/>
          <w:szCs w:val="20"/>
        </w:rPr>
      </w:pPr>
      <w:r w:rsidRPr="00500D74">
        <w:rPr>
          <w:rFonts w:ascii="Arial" w:hAnsi="Arial" w:cs="Arial"/>
          <w:sz w:val="20"/>
          <w:szCs w:val="20"/>
        </w:rPr>
        <w:t>Second, we conducted multivariate analyses</w:t>
      </w:r>
      <w:r>
        <w:rPr>
          <w:rFonts w:ascii="Arial" w:hAnsi="Arial" w:cs="Arial"/>
          <w:sz w:val="20"/>
          <w:szCs w:val="20"/>
        </w:rPr>
        <w:t xml:space="preserve"> using these edited facets</w:t>
      </w:r>
      <w:r w:rsidRPr="00500D74">
        <w:rPr>
          <w:rFonts w:ascii="Arial" w:hAnsi="Arial" w:cs="Arial"/>
          <w:sz w:val="20"/>
          <w:szCs w:val="20"/>
        </w:rPr>
        <w:t xml:space="preserve"> to mirror </w:t>
      </w:r>
      <w:r>
        <w:rPr>
          <w:rFonts w:ascii="Arial" w:hAnsi="Arial" w:cs="Arial"/>
          <w:sz w:val="20"/>
          <w:szCs w:val="20"/>
        </w:rPr>
        <w:t>our primary analyses in the paper.</w:t>
      </w:r>
      <w:r w:rsidRPr="00500D74">
        <w:rPr>
          <w:rFonts w:ascii="Arial" w:hAnsi="Arial" w:cs="Arial"/>
          <w:sz w:val="20"/>
          <w:szCs w:val="20"/>
        </w:rPr>
        <w:t xml:space="preserve"> Specifically, the general trait of neuroticism and relevant </w:t>
      </w:r>
      <w:r>
        <w:rPr>
          <w:rFonts w:ascii="Arial" w:hAnsi="Arial" w:cs="Arial"/>
          <w:sz w:val="20"/>
          <w:szCs w:val="20"/>
        </w:rPr>
        <w:t xml:space="preserve">edited </w:t>
      </w:r>
      <w:r w:rsidRPr="00500D74">
        <w:rPr>
          <w:rFonts w:ascii="Arial" w:hAnsi="Arial" w:cs="Arial"/>
          <w:sz w:val="20"/>
          <w:szCs w:val="20"/>
        </w:rPr>
        <w:t>facets were entered as predictors of first onset disorders, and clinical variables (symptoms and other diagnoses) were entered as covariates. In these analyses, depressivity remained the only unique predictor of depression, but at p=.05. Anxiousness remained a unique predictor of social phobia at p=.01. However, anxiousness no long</w:t>
      </w:r>
      <w:r>
        <w:rPr>
          <w:rFonts w:ascii="Arial" w:hAnsi="Arial" w:cs="Arial"/>
          <w:sz w:val="20"/>
          <w:szCs w:val="20"/>
        </w:rPr>
        <w:t>er significantly predicted GAD.</w:t>
      </w:r>
    </w:p>
    <w:p w14:paraId="0EF746A7" w14:textId="77777777" w:rsidR="000E51E1" w:rsidRPr="000E51E1" w:rsidRDefault="000E51E1" w:rsidP="000E51E1">
      <w:pPr>
        <w:ind w:firstLine="0"/>
        <w:rPr>
          <w:rFonts w:ascii="Arial" w:hAnsi="Arial" w:cs="Arial"/>
          <w:sz w:val="20"/>
          <w:szCs w:val="20"/>
        </w:rPr>
      </w:pPr>
    </w:p>
    <w:sectPr w:rsidR="000E51E1" w:rsidRPr="000E5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5D"/>
    <w:rsid w:val="000E51E1"/>
    <w:rsid w:val="003B18DA"/>
    <w:rsid w:val="00960B70"/>
    <w:rsid w:val="009C556A"/>
    <w:rsid w:val="00C6085D"/>
    <w:rsid w:val="00D10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1731"/>
  <w15:chartTrackingRefBased/>
  <w15:docId w15:val="{21546775-CF06-4784-BC78-DAB07895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5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51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Goldstein</dc:creator>
  <cp:keywords/>
  <dc:description/>
  <cp:lastModifiedBy>Brandon Goldstein</cp:lastModifiedBy>
  <cp:revision>3</cp:revision>
  <dcterms:created xsi:type="dcterms:W3CDTF">2017-08-09T19:02:00Z</dcterms:created>
  <dcterms:modified xsi:type="dcterms:W3CDTF">2017-08-11T00:57:00Z</dcterms:modified>
</cp:coreProperties>
</file>