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A5A" w:rsidRPr="00480E19" w:rsidRDefault="007768AD" w:rsidP="00333C42">
      <w:pPr>
        <w:spacing w:after="0" w:line="240" w:lineRule="auto"/>
        <w:jc w:val="center"/>
        <w:rPr>
          <w:rFonts w:ascii="Times New Roman" w:hAnsi="Times New Roman" w:cs="Times New Roman"/>
          <w:b/>
        </w:rPr>
      </w:pPr>
      <w:r w:rsidRPr="00480E19">
        <w:rPr>
          <w:rFonts w:ascii="Times New Roman" w:hAnsi="Times New Roman" w:cs="Times New Roman"/>
          <w:b/>
        </w:rPr>
        <w:t>SUPPLEMENTAL MATERIAL</w:t>
      </w:r>
    </w:p>
    <w:p w:rsidR="006C3203" w:rsidRPr="00480E19" w:rsidRDefault="006C3203" w:rsidP="00333C42">
      <w:pPr>
        <w:spacing w:after="0" w:line="240" w:lineRule="auto"/>
        <w:jc w:val="both"/>
        <w:rPr>
          <w:rFonts w:ascii="Times New Roman" w:hAnsi="Times New Roman" w:cs="Times New Roman"/>
          <w:b/>
        </w:rPr>
      </w:pPr>
    </w:p>
    <w:p w:rsidR="00FF104C" w:rsidRPr="00480E19" w:rsidRDefault="00B16A5A" w:rsidP="00333C42">
      <w:pPr>
        <w:spacing w:after="0" w:line="240" w:lineRule="auto"/>
        <w:jc w:val="both"/>
        <w:rPr>
          <w:rFonts w:ascii="Times New Roman" w:hAnsi="Times New Roman" w:cs="Times New Roman"/>
        </w:rPr>
      </w:pPr>
      <w:r w:rsidRPr="00480E19">
        <w:rPr>
          <w:rFonts w:ascii="Times New Roman" w:hAnsi="Times New Roman" w:cs="Times New Roman"/>
          <w:b/>
        </w:rPr>
        <w:t xml:space="preserve">Detailed Methods: </w:t>
      </w:r>
      <w:r w:rsidRPr="00480E19">
        <w:rPr>
          <w:rFonts w:ascii="Times New Roman" w:eastAsia="Times New Roman" w:hAnsi="Times New Roman" w:cs="Times New Roman"/>
          <w:lang w:eastAsia="fr-FR"/>
        </w:rPr>
        <w:t xml:space="preserve">By comparison to other cities, the proportion of subjects aged 65–74 years was lower in Dijon (53%) than Montpellier (64%) and the Bordeaux cohort had a lower education level and income than Dijon. </w:t>
      </w:r>
      <w:r w:rsidRPr="00480E19">
        <w:rPr>
          <w:rFonts w:ascii="Times New Roman" w:hAnsi="Times New Roman" w:cs="Times New Roman"/>
        </w:rPr>
        <w:t xml:space="preserve">Dijon participants completing the </w:t>
      </w:r>
      <w:r w:rsidRPr="00480E19">
        <w:rPr>
          <w:rFonts w:ascii="Times New Roman" w:eastAsia="Times New Roman" w:hAnsi="Times New Roman" w:cs="Times New Roman"/>
          <w:lang w:eastAsia="fr-FR"/>
        </w:rPr>
        <w:t>follow-up</w:t>
      </w:r>
      <w:r w:rsidRPr="00480E19">
        <w:rPr>
          <w:rFonts w:ascii="Times New Roman" w:hAnsi="Times New Roman" w:cs="Times New Roman"/>
        </w:rPr>
        <w:t xml:space="preserve"> were characterized by; a higher proportion of females, more university education, arrhythmia and cancer. Included participants were also younger, less likely to have heart disease, less likely to smoke, and less likely to be using psychotropic drugs than participants lost to follow-up or deceased.</w:t>
      </w:r>
      <w:r w:rsidR="00AA4BED" w:rsidRPr="00480E19">
        <w:rPr>
          <w:rFonts w:ascii="Times New Roman" w:hAnsi="Times New Roman" w:cs="Times New Roman"/>
        </w:rPr>
        <w:t xml:space="preserve"> </w:t>
      </w:r>
    </w:p>
    <w:p w:rsidR="00FF104C" w:rsidRPr="00480E19" w:rsidRDefault="00FF104C" w:rsidP="00333C42">
      <w:pPr>
        <w:spacing w:after="0" w:line="240" w:lineRule="auto"/>
        <w:jc w:val="both"/>
        <w:rPr>
          <w:rFonts w:ascii="Times New Roman" w:hAnsi="Times New Roman" w:cs="Times New Roman"/>
        </w:rPr>
      </w:pPr>
    </w:p>
    <w:p w:rsidR="00FF104C" w:rsidRPr="00480E19" w:rsidRDefault="00FF104C" w:rsidP="00333C42">
      <w:pPr>
        <w:spacing w:after="0" w:line="240" w:lineRule="auto"/>
        <w:jc w:val="both"/>
        <w:rPr>
          <w:rFonts w:ascii="Times New Roman" w:hAnsi="Times New Roman" w:cs="Times New Roman"/>
          <w:i/>
        </w:rPr>
      </w:pPr>
      <w:r w:rsidRPr="00480E19">
        <w:rPr>
          <w:rFonts w:ascii="Times New Roman" w:hAnsi="Times New Roman" w:cs="Times New Roman"/>
          <w:i/>
        </w:rPr>
        <w:t xml:space="preserve">Blood Pressure Assessment </w:t>
      </w:r>
    </w:p>
    <w:p w:rsidR="00FF104C" w:rsidRPr="00EB26FA" w:rsidRDefault="00AA4BED" w:rsidP="00FA05E3">
      <w:pPr>
        <w:spacing w:after="0" w:line="240" w:lineRule="auto"/>
        <w:ind w:firstLine="708"/>
        <w:jc w:val="both"/>
        <w:rPr>
          <w:rFonts w:ascii="Times New Roman" w:hAnsi="Times New Roman" w:cs="Times New Roman"/>
        </w:rPr>
      </w:pPr>
      <w:r w:rsidRPr="00480E19">
        <w:rPr>
          <w:rFonts w:ascii="Times New Roman" w:hAnsi="Times New Roman" w:cs="Times New Roman"/>
        </w:rPr>
        <w:t xml:space="preserve">Blood pressure (BP) was recorded at each clinic visit after the participant rested at least 5 min in a seated position. A total of 3 measurements were recorded separated by 2 min (3 BP readings per clinic visit). BPV was calculated </w:t>
      </w:r>
      <w:r w:rsidR="006C3203" w:rsidRPr="00480E19">
        <w:rPr>
          <w:rFonts w:ascii="Times New Roman" w:hAnsi="Times New Roman" w:cs="Times New Roman"/>
        </w:rPr>
        <w:t xml:space="preserve">between baseline and year 4 </w:t>
      </w:r>
      <w:r w:rsidRPr="00480E19">
        <w:rPr>
          <w:rFonts w:ascii="Times New Roman" w:hAnsi="Times New Roman" w:cs="Times New Roman"/>
        </w:rPr>
        <w:t xml:space="preserve">as; </w:t>
      </w:r>
      <w:r w:rsidRPr="00480E19">
        <w:rPr>
          <w:rFonts w:ascii="Times New Roman" w:hAnsi="Times New Roman" w:cs="Times New Roman"/>
          <w:bCs/>
        </w:rPr>
        <w:t xml:space="preserve">Coefficient of Variation: calculated as </w:t>
      </w:r>
      <w:r w:rsidRPr="00480E19">
        <w:rPr>
          <w:rFonts w:ascii="Times New Roman" w:hAnsi="Times New Roman" w:cs="Times New Roman"/>
        </w:rPr>
        <w:t>SD/mean BP.</w:t>
      </w:r>
      <w:r w:rsidR="008B39B2">
        <w:rPr>
          <w:rFonts w:ascii="Times New Roman" w:hAnsi="Times New Roman" w:cs="Times New Roman"/>
        </w:rPr>
        <w:t xml:space="preserve"> </w:t>
      </w:r>
      <w:r w:rsidR="008B39B2" w:rsidRPr="00EB26FA">
        <w:rPr>
          <w:rFonts w:ascii="Times New Roman" w:hAnsi="Times New Roman" w:cs="Times New Roman"/>
          <w:sz w:val="24"/>
          <w:szCs w:val="24"/>
        </w:rPr>
        <w:t>The correlation between BPV with mean systolic and diastolic BP was r = .49 and r = .12 respectively prior to transformation. We applied a log transformation to BPV because of a non-Gaussian distribution which reduced the correlation between BPV with mean systolic and diastolic BP (r = .03 and r = .02 respectively after transformation.</w:t>
      </w:r>
      <w:r w:rsidR="008B39B2" w:rsidRPr="00EB26FA">
        <w:rPr>
          <w:rFonts w:ascii="Times New Roman" w:hAnsi="Times New Roman" w:cs="Times New Roman"/>
          <w:i/>
          <w:sz w:val="24"/>
          <w:szCs w:val="24"/>
        </w:rPr>
        <w:t xml:space="preserve"> </w:t>
      </w:r>
      <w:r w:rsidR="00FF104C" w:rsidRPr="00EB26FA">
        <w:rPr>
          <w:rFonts w:ascii="Times New Roman" w:hAnsi="Times New Roman" w:cs="Times New Roman"/>
        </w:rPr>
        <w:t xml:space="preserve">A subset of the Dijon cohort (N = 1454) underwent home BP monitoring at 2 year follow-up, completing 18 consecutive BP measures over 3 days. The CV of systolic BPV derived from home BP monitoring was highly associated with longer term BPV over 8 years (β = 3.09, SE = .84; p &lt;.001) supporting the validity of clinic visit-to-visit </w:t>
      </w:r>
      <w:proofErr w:type="spellStart"/>
      <w:r w:rsidR="00FF104C" w:rsidRPr="00EB26FA">
        <w:rPr>
          <w:rFonts w:ascii="Times New Roman" w:hAnsi="Times New Roman" w:cs="Times New Roman"/>
        </w:rPr>
        <w:t>BPV</w:t>
      </w:r>
      <w:proofErr w:type="spellEnd"/>
      <w:r w:rsidR="005716E8" w:rsidRPr="00EB26FA">
        <w:rPr>
          <w:rFonts w:ascii="Times New Roman" w:hAnsi="Times New Roman" w:cs="Times New Roman"/>
        </w:rPr>
        <w:t xml:space="preserve"> </w:t>
      </w:r>
      <w:r w:rsidR="005716E8" w:rsidRPr="00EB26FA">
        <w:rPr>
          <w:rFonts w:ascii="Times New Roman" w:hAnsi="Times New Roman" w:cs="Times New Roman"/>
        </w:rPr>
        <w:fldChar w:fldCharType="begin"/>
      </w:r>
      <w:r w:rsidR="007541A7">
        <w:rPr>
          <w:rFonts w:ascii="Times New Roman" w:hAnsi="Times New Roman" w:cs="Times New Roman"/>
        </w:rPr>
        <w:instrText xml:space="preserve"> ADDIN EN.CITE &lt;EndNote&gt;&lt;Cite&gt;&lt;Author&gt;Tully&lt;/Author&gt;&lt;Year&gt;2017&lt;/Year&gt;&lt;RecNum&gt;13227&lt;/RecNum&gt;&lt;DisplayText&gt;(Tully and Tzourio, 2017)&lt;/DisplayText&gt;&lt;record&gt;&lt;rec-number&gt;13227&lt;/rec-number&gt;&lt;foreign-keys&gt;&lt;key app="EN" db-id="z00tvt9sk0vwtkesspyxw0rnvfvttv99p02d"&gt;13227&lt;/key&gt;&lt;/foreign-keys&gt;&lt;ref-type name="Journal Article"&gt;17&lt;/ref-type&gt;&lt;contributors&gt;&lt;authors&gt;&lt;author&gt;Tully, P. J.&lt;/author&gt;&lt;author&gt;Tzourio, C.&lt;/author&gt;&lt;/authors&gt;&lt;/contributors&gt;&lt;titles&gt;&lt;title&gt;Psychiatric correlates of blood pressure variability in the elderly: The Three City cohort study   &lt;/title&gt;&lt;secondary-title&gt;Physiology and Behavior&lt;/secondary-title&gt;&lt;/titles&gt;&lt;periodical&gt;&lt;full-title&gt;Physiology and Behavior&lt;/full-title&gt;&lt;/periodical&gt;&lt;pages&gt;91-97&lt;/pages&gt;&lt;volume&gt;168&lt;/volume&gt;&lt;dates&gt;&lt;year&gt;2017&lt;/year&gt;&lt;/dates&gt;&lt;urls&gt;&lt;/urls&gt;&lt;/record&gt;&lt;/Cite&gt;&lt;/EndNote&gt;</w:instrText>
      </w:r>
      <w:r w:rsidR="005716E8" w:rsidRPr="00EB26FA">
        <w:rPr>
          <w:rFonts w:ascii="Times New Roman" w:hAnsi="Times New Roman" w:cs="Times New Roman"/>
        </w:rPr>
        <w:fldChar w:fldCharType="separate"/>
      </w:r>
      <w:r w:rsidR="005716E8" w:rsidRPr="00EB26FA">
        <w:rPr>
          <w:rFonts w:ascii="Times New Roman" w:hAnsi="Times New Roman" w:cs="Times New Roman"/>
          <w:noProof/>
        </w:rPr>
        <w:t>(</w:t>
      </w:r>
      <w:hyperlink w:anchor="_ENREF_6" w:tooltip="Tully, 2017 #13227" w:history="1">
        <w:r w:rsidR="00030FB6" w:rsidRPr="00EB26FA">
          <w:rPr>
            <w:rFonts w:ascii="Times New Roman" w:hAnsi="Times New Roman" w:cs="Times New Roman"/>
            <w:noProof/>
          </w:rPr>
          <w:t>Tully and Tzourio, 2017</w:t>
        </w:r>
      </w:hyperlink>
      <w:r w:rsidR="005716E8" w:rsidRPr="00EB26FA">
        <w:rPr>
          <w:rFonts w:ascii="Times New Roman" w:hAnsi="Times New Roman" w:cs="Times New Roman"/>
          <w:noProof/>
        </w:rPr>
        <w:t>)</w:t>
      </w:r>
      <w:r w:rsidR="005716E8" w:rsidRPr="00EB26FA">
        <w:rPr>
          <w:rFonts w:ascii="Times New Roman" w:hAnsi="Times New Roman" w:cs="Times New Roman"/>
        </w:rPr>
        <w:fldChar w:fldCharType="end"/>
      </w:r>
      <w:r w:rsidR="00FF104C" w:rsidRPr="00EB26FA">
        <w:rPr>
          <w:rFonts w:ascii="Times New Roman" w:hAnsi="Times New Roman" w:cs="Times New Roman"/>
        </w:rPr>
        <w:t xml:space="preserve">. </w:t>
      </w:r>
    </w:p>
    <w:p w:rsidR="00FF104C" w:rsidRPr="00EB26FA" w:rsidRDefault="00FF104C" w:rsidP="00333C42">
      <w:pPr>
        <w:spacing w:after="0" w:line="240" w:lineRule="auto"/>
        <w:jc w:val="both"/>
        <w:rPr>
          <w:rFonts w:ascii="Times New Roman" w:hAnsi="Times New Roman" w:cs="Times New Roman"/>
        </w:rPr>
      </w:pPr>
    </w:p>
    <w:p w:rsidR="00FF104C" w:rsidRPr="00EB26FA" w:rsidRDefault="00FF104C" w:rsidP="00333C42">
      <w:pPr>
        <w:spacing w:after="0" w:line="240" w:lineRule="auto"/>
        <w:jc w:val="both"/>
        <w:rPr>
          <w:rFonts w:ascii="Times New Roman" w:eastAsia="Times New Roman" w:hAnsi="Times New Roman" w:cs="Times New Roman"/>
          <w:i/>
          <w:lang w:eastAsia="fr-FR"/>
        </w:rPr>
      </w:pPr>
      <w:r w:rsidRPr="00EB26FA">
        <w:rPr>
          <w:rFonts w:ascii="Times New Roman" w:eastAsia="Times New Roman" w:hAnsi="Times New Roman" w:cs="Times New Roman"/>
          <w:i/>
          <w:lang w:eastAsia="fr-FR"/>
        </w:rPr>
        <w:t xml:space="preserve">Magnetic Resonance Imaging  </w:t>
      </w:r>
    </w:p>
    <w:p w:rsidR="00FF104C" w:rsidRPr="00EB26FA" w:rsidRDefault="00FF104C" w:rsidP="00333C42">
      <w:pPr>
        <w:autoSpaceDE w:val="0"/>
        <w:autoSpaceDN w:val="0"/>
        <w:adjustRightInd w:val="0"/>
        <w:spacing w:after="0" w:line="240" w:lineRule="auto"/>
        <w:ind w:firstLine="709"/>
        <w:jc w:val="both"/>
        <w:rPr>
          <w:rFonts w:ascii="Times New Roman" w:hAnsi="Times New Roman" w:cs="Times New Roman"/>
        </w:rPr>
      </w:pPr>
      <w:r w:rsidRPr="00EB26FA">
        <w:rPr>
          <w:rFonts w:ascii="Times New Roman" w:hAnsi="Times New Roman" w:cs="Times New Roman"/>
        </w:rPr>
        <w:t xml:space="preserve">Positioning in the magnet was based on a common landmark for all participants—the </w:t>
      </w:r>
      <w:proofErr w:type="spellStart"/>
      <w:r w:rsidRPr="00EB26FA">
        <w:rPr>
          <w:rFonts w:ascii="Times New Roman" w:hAnsi="Times New Roman" w:cs="Times New Roman"/>
        </w:rPr>
        <w:t>orbito</w:t>
      </w:r>
      <w:proofErr w:type="spellEnd"/>
      <w:r w:rsidRPr="00EB26FA">
        <w:rPr>
          <w:rFonts w:ascii="Times New Roman" w:hAnsi="Times New Roman" w:cs="Times New Roman"/>
        </w:rPr>
        <w:t xml:space="preserve">-meatal line—so that the entire brain, including cerebellum and mid-brain, was contained within the field of view of acquisition. T1 and T2 datasets were readily reconstructed, and visually checked for major artifacts before further analysis. Raw data were converted to the ACR-NEMA standard format and then transformed for analysis and storage at the Department of Neurofunctional Imaging, Caen. </w:t>
      </w:r>
    </w:p>
    <w:p w:rsidR="00333C42" w:rsidRPr="00EB26FA" w:rsidRDefault="00A83052" w:rsidP="00333C42">
      <w:pPr>
        <w:autoSpaceDE w:val="0"/>
        <w:autoSpaceDN w:val="0"/>
        <w:adjustRightInd w:val="0"/>
        <w:spacing w:after="0" w:line="240" w:lineRule="auto"/>
        <w:ind w:firstLine="708"/>
        <w:jc w:val="both"/>
        <w:rPr>
          <w:rFonts w:ascii="Times New Roman" w:hAnsi="Times New Roman" w:cs="Times New Roman"/>
        </w:rPr>
      </w:pPr>
      <w:r w:rsidRPr="00EB26FA">
        <w:rPr>
          <w:rFonts w:ascii="Times New Roman" w:hAnsi="Times New Roman" w:cs="Times New Roman"/>
        </w:rPr>
        <w:t xml:space="preserve">T1, T2 and PD bias-corrected volumes were segmented into seven classes using the same multispectral algorithm </w:t>
      </w:r>
      <w:r w:rsidR="005716E8" w:rsidRPr="00EB26FA">
        <w:rPr>
          <w:rFonts w:ascii="Times New Roman" w:hAnsi="Times New Roman" w:cs="Times New Roman"/>
        </w:rPr>
        <w:fldChar w:fldCharType="begin"/>
      </w:r>
      <w:r w:rsidR="005716E8" w:rsidRPr="00EB26FA">
        <w:rPr>
          <w:rFonts w:ascii="Times New Roman" w:hAnsi="Times New Roman" w:cs="Times New Roman"/>
        </w:rPr>
        <w:instrText xml:space="preserve"> ADDIN EN.CITE &lt;EndNote&gt;&lt;Cite&gt;&lt;Author&gt;Zijdenbos&lt;/Author&gt;&lt;Year&gt;1994&lt;/Year&gt;&lt;RecNum&gt;13846&lt;/RecNum&gt;&lt;DisplayText&gt;(Zijdenbos and Dawant, 1994)&lt;/DisplayText&gt;&lt;record&gt;&lt;rec-number&gt;13846&lt;/rec-number&gt;&lt;foreign-keys&gt;&lt;key app="EN" db-id="z00tvt9sk0vwtkesspyxw0rnvfvttv99p02d"&gt;13846&lt;/key&gt;&lt;/foreign-keys&gt;&lt;ref-type name="Journal Article"&gt;17&lt;/ref-type&gt;&lt;contributors&gt;&lt;authors&gt;&lt;author&gt;Zijdenbos, A. P.&lt;/author&gt;&lt;author&gt;Dawant, B. M. &lt;/author&gt;&lt;/authors&gt;&lt;/contributors&gt;&lt;titles&gt;&lt;title&gt;Brain segmentation and white matter lesion detection in MR images&lt;/title&gt;&lt;secondary-title&gt;Critical Review in Biomedical Engineering &lt;/secondary-title&gt;&lt;/titles&gt;&lt;periodical&gt;&lt;full-title&gt;Critical Review in Biomedical Engineering&lt;/full-title&gt;&lt;/periodical&gt;&lt;pages&gt;401–465&lt;/pages&gt;&lt;volume&gt;22 &lt;/volume&gt;&lt;dates&gt;&lt;year&gt;1994&lt;/year&gt;&lt;/dates&gt;&lt;urls&gt;&lt;/urls&gt;&lt;/record&gt;&lt;/Cite&gt;&lt;/EndNote&gt;</w:instrText>
      </w:r>
      <w:r w:rsidR="005716E8" w:rsidRPr="00EB26FA">
        <w:rPr>
          <w:rFonts w:ascii="Times New Roman" w:hAnsi="Times New Roman" w:cs="Times New Roman"/>
        </w:rPr>
        <w:fldChar w:fldCharType="separate"/>
      </w:r>
      <w:r w:rsidR="005716E8" w:rsidRPr="00EB26FA">
        <w:rPr>
          <w:rFonts w:ascii="Times New Roman" w:hAnsi="Times New Roman" w:cs="Times New Roman"/>
          <w:noProof/>
        </w:rPr>
        <w:t>(</w:t>
      </w:r>
      <w:hyperlink w:anchor="_ENREF_8" w:tooltip="Zijdenbos, 1994 #13846" w:history="1">
        <w:r w:rsidR="00030FB6" w:rsidRPr="00EB26FA">
          <w:rPr>
            <w:rFonts w:ascii="Times New Roman" w:hAnsi="Times New Roman" w:cs="Times New Roman"/>
            <w:noProof/>
          </w:rPr>
          <w:t>Zijdenbos and Dawant, 1994</w:t>
        </w:r>
      </w:hyperlink>
      <w:r w:rsidR="005716E8" w:rsidRPr="00EB26FA">
        <w:rPr>
          <w:rFonts w:ascii="Times New Roman" w:hAnsi="Times New Roman" w:cs="Times New Roman"/>
          <w:noProof/>
        </w:rPr>
        <w:t>)</w:t>
      </w:r>
      <w:r w:rsidR="005716E8" w:rsidRPr="00EB26FA">
        <w:rPr>
          <w:rFonts w:ascii="Times New Roman" w:hAnsi="Times New Roman" w:cs="Times New Roman"/>
        </w:rPr>
        <w:fldChar w:fldCharType="end"/>
      </w:r>
      <w:r w:rsidRPr="00EB26FA">
        <w:rPr>
          <w:rFonts w:ascii="Times New Roman" w:hAnsi="Times New Roman" w:cs="Times New Roman"/>
        </w:rPr>
        <w:t>: (1) cerebrospinal fluid, (2) grey matter, (3) caudate nucleus (CN), (4) lenticular nucleus (LN), (5) thalamus (THA), (6) white matter and (7) WMH. Initial model parameters values (mean and standard deviation of voxel intensities of each class in each modality) were measured in regions of interest (ROIs) drawn on MR slices of two sub-samples of ten subjects either free or showing a large number of WMH. Subjects of both sub-samples were selected by two experienced neuroradiologists by careful visual inspection. The ROIs were manually drawn by a single operator using CAPP software (</w:t>
      </w:r>
      <w:proofErr w:type="spellStart"/>
      <w:r w:rsidRPr="00EB26FA">
        <w:rPr>
          <w:rFonts w:ascii="Times New Roman" w:hAnsi="Times New Roman" w:cs="Times New Roman"/>
        </w:rPr>
        <w:t>CIMx</w:t>
      </w:r>
      <w:proofErr w:type="spellEnd"/>
      <w:r w:rsidRPr="00EB26FA">
        <w:rPr>
          <w:rFonts w:ascii="Times New Roman" w:hAnsi="Times New Roman" w:cs="Times New Roman"/>
        </w:rPr>
        <w:t xml:space="preserve"> Co, Milford, OH), with the following restrictions: (1) cerebrospinal fluid ROIs were extracted from lateral ventricles; (2) each ROI had to be 2 mm distant from other border classes; (3) ROIs were drawn on the modality providing the best contrast of the corresponding class. The voxel intensity distribution of each class and mode was checked to not significantly depart from a Gaussian distribution.</w:t>
      </w:r>
      <w:r w:rsidR="00333C42" w:rsidRPr="00EB26FA">
        <w:rPr>
          <w:rFonts w:ascii="Times New Roman" w:hAnsi="Times New Roman" w:cs="Times New Roman"/>
        </w:rPr>
        <w:t xml:space="preserve"> </w:t>
      </w:r>
      <w:r w:rsidR="002A0034" w:rsidRPr="00EB26FA">
        <w:rPr>
          <w:rFonts w:ascii="Times New Roman" w:hAnsi="Times New Roman" w:cs="Times New Roman"/>
        </w:rPr>
        <w:t xml:space="preserve">An example MRI for quartile of WMH is shown in </w:t>
      </w:r>
      <w:proofErr w:type="spellStart"/>
      <w:r w:rsidR="002A0034" w:rsidRPr="00EB26FA">
        <w:rPr>
          <w:rFonts w:ascii="Times New Roman" w:hAnsi="Times New Roman" w:cs="Times New Roman"/>
        </w:rPr>
        <w:t>eFig</w:t>
      </w:r>
      <w:proofErr w:type="spellEnd"/>
      <w:r w:rsidR="002A0034" w:rsidRPr="00EB26FA">
        <w:rPr>
          <w:rFonts w:ascii="Times New Roman" w:hAnsi="Times New Roman" w:cs="Times New Roman"/>
        </w:rPr>
        <w:t xml:space="preserve"> 1. </w:t>
      </w:r>
    </w:p>
    <w:p w:rsidR="00FF104C" w:rsidRPr="00EB26FA" w:rsidRDefault="00333C42" w:rsidP="00333C42">
      <w:pPr>
        <w:autoSpaceDE w:val="0"/>
        <w:autoSpaceDN w:val="0"/>
        <w:adjustRightInd w:val="0"/>
        <w:spacing w:after="0" w:line="240" w:lineRule="auto"/>
        <w:ind w:firstLine="708"/>
        <w:jc w:val="both"/>
        <w:rPr>
          <w:rFonts w:ascii="Times New Roman" w:hAnsi="Times New Roman" w:cs="Times New Roman"/>
        </w:rPr>
      </w:pPr>
      <w:r w:rsidRPr="00EB26FA">
        <w:rPr>
          <w:rFonts w:ascii="Times New Roman" w:hAnsi="Times New Roman" w:cs="Times New Roman"/>
        </w:rPr>
        <w:t>The MR image analysis contained three major steps: 1) preprocessing, including registration, nonbrain tissue removal, and bias field correction; 2) detection of WMH in T2 images, including removal of false positives; 3) postprocessing including generation of WML probability maps at the individual and sample levels, morphometry, localization, and classification of WML.</w:t>
      </w:r>
    </w:p>
    <w:p w:rsidR="00FF104C" w:rsidRDefault="00FF104C" w:rsidP="00333C42">
      <w:pPr>
        <w:spacing w:after="0" w:line="240" w:lineRule="auto"/>
        <w:jc w:val="both"/>
        <w:rPr>
          <w:rFonts w:ascii="Times New Roman" w:eastAsia="Times New Roman" w:hAnsi="Times New Roman" w:cs="Times New Roman"/>
          <w:i/>
          <w:lang w:eastAsia="fr-FR"/>
        </w:rPr>
      </w:pPr>
    </w:p>
    <w:p w:rsidR="002A0034" w:rsidRDefault="002A0034" w:rsidP="00333C42">
      <w:pPr>
        <w:spacing w:after="0" w:line="240" w:lineRule="auto"/>
        <w:jc w:val="both"/>
        <w:rPr>
          <w:rFonts w:ascii="Times New Roman" w:eastAsia="Times New Roman" w:hAnsi="Times New Roman" w:cs="Times New Roman"/>
          <w:i/>
          <w:lang w:eastAsia="fr-FR"/>
        </w:rPr>
      </w:pPr>
      <w:r>
        <w:rPr>
          <w:rFonts w:ascii="Times New Roman" w:hAnsi="Times New Roman" w:cs="Times New Roman"/>
          <w:b/>
          <w:noProof/>
          <w:color w:val="000000" w:themeColor="text1"/>
          <w:sz w:val="24"/>
          <w:lang w:val="fr-FR" w:eastAsia="fr-FR"/>
        </w:rPr>
        <w:lastRenderedPageBreak/>
        <w:drawing>
          <wp:inline distT="0" distB="0" distL="0" distR="0" wp14:anchorId="25E8D51D" wp14:editId="704492C6">
            <wp:extent cx="5760720" cy="151257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20148Q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1512570"/>
                    </a:xfrm>
                    <a:prstGeom prst="rect">
                      <a:avLst/>
                    </a:prstGeom>
                  </pic:spPr>
                </pic:pic>
              </a:graphicData>
            </a:graphic>
          </wp:inline>
        </w:drawing>
      </w:r>
    </w:p>
    <w:p w:rsidR="002A0034" w:rsidRDefault="002A0034" w:rsidP="00333C42">
      <w:pPr>
        <w:spacing w:after="0" w:line="240" w:lineRule="auto"/>
        <w:jc w:val="both"/>
        <w:rPr>
          <w:rFonts w:ascii="Times New Roman" w:eastAsia="Times New Roman" w:hAnsi="Times New Roman" w:cs="Times New Roman"/>
          <w:i/>
          <w:lang w:eastAsia="fr-FR"/>
        </w:rPr>
      </w:pPr>
    </w:p>
    <w:p w:rsidR="002A0034" w:rsidRPr="002A0034" w:rsidRDefault="002A0034" w:rsidP="00333C42">
      <w:pPr>
        <w:spacing w:after="0" w:line="240" w:lineRule="auto"/>
        <w:jc w:val="both"/>
        <w:rPr>
          <w:rFonts w:ascii="Times New Roman" w:eastAsia="Times New Roman" w:hAnsi="Times New Roman" w:cs="Times New Roman"/>
          <w:b/>
          <w:i/>
          <w:lang w:eastAsia="fr-FR"/>
        </w:rPr>
      </w:pPr>
      <w:r>
        <w:rPr>
          <w:rFonts w:ascii="Times New Roman" w:eastAsia="Times New Roman" w:hAnsi="Times New Roman" w:cs="Times New Roman"/>
          <w:i/>
          <w:lang w:eastAsia="fr-FR"/>
        </w:rPr>
        <w:tab/>
        <w:t xml:space="preserve">      </w:t>
      </w:r>
      <w:r w:rsidRPr="002A0034">
        <w:rPr>
          <w:rFonts w:ascii="Times New Roman" w:eastAsia="Times New Roman" w:hAnsi="Times New Roman" w:cs="Times New Roman"/>
          <w:b/>
          <w:i/>
          <w:lang w:eastAsia="fr-FR"/>
        </w:rPr>
        <w:t>A</w:t>
      </w:r>
      <w:r w:rsidRPr="002A0034">
        <w:rPr>
          <w:rFonts w:ascii="Times New Roman" w:eastAsia="Times New Roman" w:hAnsi="Times New Roman" w:cs="Times New Roman"/>
          <w:b/>
          <w:i/>
          <w:lang w:eastAsia="fr-FR"/>
        </w:rPr>
        <w:tab/>
      </w:r>
      <w:r w:rsidRPr="002A0034">
        <w:rPr>
          <w:rFonts w:ascii="Times New Roman" w:eastAsia="Times New Roman" w:hAnsi="Times New Roman" w:cs="Times New Roman"/>
          <w:b/>
          <w:i/>
          <w:lang w:eastAsia="fr-FR"/>
        </w:rPr>
        <w:tab/>
      </w:r>
      <w:r w:rsidRPr="002A0034">
        <w:rPr>
          <w:rFonts w:ascii="Times New Roman" w:eastAsia="Times New Roman" w:hAnsi="Times New Roman" w:cs="Times New Roman"/>
          <w:b/>
          <w:i/>
          <w:lang w:eastAsia="fr-FR"/>
        </w:rPr>
        <w:tab/>
      </w:r>
      <w:r>
        <w:rPr>
          <w:rFonts w:ascii="Times New Roman" w:eastAsia="Times New Roman" w:hAnsi="Times New Roman" w:cs="Times New Roman"/>
          <w:b/>
          <w:i/>
          <w:lang w:eastAsia="fr-FR"/>
        </w:rPr>
        <w:t xml:space="preserve">       </w:t>
      </w:r>
      <w:r w:rsidRPr="002A0034">
        <w:rPr>
          <w:rFonts w:ascii="Times New Roman" w:eastAsia="Times New Roman" w:hAnsi="Times New Roman" w:cs="Times New Roman"/>
          <w:b/>
          <w:i/>
          <w:lang w:eastAsia="fr-FR"/>
        </w:rPr>
        <w:t>B</w:t>
      </w:r>
      <w:r>
        <w:rPr>
          <w:rFonts w:ascii="Times New Roman" w:eastAsia="Times New Roman" w:hAnsi="Times New Roman" w:cs="Times New Roman"/>
          <w:b/>
          <w:i/>
          <w:lang w:eastAsia="fr-FR"/>
        </w:rPr>
        <w:tab/>
      </w:r>
      <w:r w:rsidRPr="002A0034">
        <w:rPr>
          <w:rFonts w:ascii="Times New Roman" w:eastAsia="Times New Roman" w:hAnsi="Times New Roman" w:cs="Times New Roman"/>
          <w:b/>
          <w:i/>
          <w:lang w:eastAsia="fr-FR"/>
        </w:rPr>
        <w:tab/>
      </w:r>
      <w:r w:rsidRPr="002A0034">
        <w:rPr>
          <w:rFonts w:ascii="Times New Roman" w:eastAsia="Times New Roman" w:hAnsi="Times New Roman" w:cs="Times New Roman"/>
          <w:b/>
          <w:i/>
          <w:lang w:eastAsia="fr-FR"/>
        </w:rPr>
        <w:tab/>
      </w:r>
      <w:r>
        <w:rPr>
          <w:rFonts w:ascii="Times New Roman" w:eastAsia="Times New Roman" w:hAnsi="Times New Roman" w:cs="Times New Roman"/>
          <w:b/>
          <w:i/>
          <w:lang w:eastAsia="fr-FR"/>
        </w:rPr>
        <w:t xml:space="preserve">          </w:t>
      </w:r>
      <w:r w:rsidRPr="002A0034">
        <w:rPr>
          <w:rFonts w:ascii="Times New Roman" w:eastAsia="Times New Roman" w:hAnsi="Times New Roman" w:cs="Times New Roman"/>
          <w:b/>
          <w:i/>
          <w:lang w:eastAsia="fr-FR"/>
        </w:rPr>
        <w:t>C</w:t>
      </w:r>
      <w:r>
        <w:rPr>
          <w:rFonts w:ascii="Times New Roman" w:eastAsia="Times New Roman" w:hAnsi="Times New Roman" w:cs="Times New Roman"/>
          <w:b/>
          <w:i/>
          <w:lang w:eastAsia="fr-FR"/>
        </w:rPr>
        <w:tab/>
      </w:r>
      <w:r w:rsidRPr="002A0034">
        <w:rPr>
          <w:rFonts w:ascii="Times New Roman" w:eastAsia="Times New Roman" w:hAnsi="Times New Roman" w:cs="Times New Roman"/>
          <w:b/>
          <w:i/>
          <w:lang w:eastAsia="fr-FR"/>
        </w:rPr>
        <w:tab/>
      </w:r>
      <w:r w:rsidRPr="002A0034">
        <w:rPr>
          <w:rFonts w:ascii="Times New Roman" w:eastAsia="Times New Roman" w:hAnsi="Times New Roman" w:cs="Times New Roman"/>
          <w:b/>
          <w:i/>
          <w:lang w:eastAsia="fr-FR"/>
        </w:rPr>
        <w:tab/>
      </w:r>
      <w:r w:rsidRPr="002A0034">
        <w:rPr>
          <w:rFonts w:ascii="Times New Roman" w:eastAsia="Times New Roman" w:hAnsi="Times New Roman" w:cs="Times New Roman"/>
          <w:b/>
          <w:i/>
          <w:lang w:eastAsia="fr-FR"/>
        </w:rPr>
        <w:tab/>
        <w:t>D</w:t>
      </w:r>
    </w:p>
    <w:p w:rsidR="002A0034" w:rsidRDefault="002A0034" w:rsidP="00333C42">
      <w:pPr>
        <w:spacing w:after="0" w:line="240" w:lineRule="auto"/>
        <w:jc w:val="both"/>
        <w:rPr>
          <w:rFonts w:ascii="Times New Roman" w:eastAsia="Times New Roman" w:hAnsi="Times New Roman" w:cs="Times New Roman"/>
          <w:i/>
          <w:lang w:eastAsia="fr-FR"/>
        </w:rPr>
      </w:pPr>
    </w:p>
    <w:p w:rsidR="002A0034" w:rsidRPr="00682D6F" w:rsidRDefault="002A0034" w:rsidP="002A0034">
      <w:pPr>
        <w:spacing w:after="0" w:line="240" w:lineRule="auto"/>
        <w:rPr>
          <w:rFonts w:ascii="Times New Roman" w:eastAsia="Times New Roman" w:hAnsi="Times New Roman" w:cs="Times New Roman"/>
          <w:b/>
          <w:szCs w:val="24"/>
        </w:rPr>
      </w:pPr>
      <w:proofErr w:type="spellStart"/>
      <w:r w:rsidRPr="00682D6F">
        <w:rPr>
          <w:rFonts w:ascii="Times New Roman" w:eastAsia="Times New Roman" w:hAnsi="Times New Roman" w:cs="Times New Roman"/>
          <w:b/>
          <w:szCs w:val="24"/>
        </w:rPr>
        <w:t>eFig</w:t>
      </w:r>
      <w:proofErr w:type="spellEnd"/>
      <w:r w:rsidRPr="00682D6F">
        <w:rPr>
          <w:rFonts w:ascii="Times New Roman" w:eastAsia="Times New Roman" w:hAnsi="Times New Roman" w:cs="Times New Roman"/>
          <w:b/>
          <w:szCs w:val="24"/>
        </w:rPr>
        <w:t xml:space="preserve"> 1. Four T2-weighted MRI images showing the extent of white matter lesions (WML) in each quartile of total WML volume </w:t>
      </w:r>
    </w:p>
    <w:p w:rsidR="002A0034" w:rsidRPr="00682D6F" w:rsidRDefault="002A0034" w:rsidP="002A0034">
      <w:pPr>
        <w:spacing w:after="0" w:line="240" w:lineRule="auto"/>
        <w:rPr>
          <w:rFonts w:ascii="Times New Roman" w:eastAsia="Times New Roman" w:hAnsi="Times New Roman" w:cs="Times New Roman"/>
          <w:b/>
          <w:szCs w:val="24"/>
        </w:rPr>
      </w:pPr>
      <w:r w:rsidRPr="00682D6F">
        <w:rPr>
          <w:rFonts w:ascii="Times New Roman" w:hAnsi="Times New Roman" w:cs="Times New Roman"/>
          <w:szCs w:val="24"/>
        </w:rPr>
        <w:t>The T2-weighted MRI images shows 4 separate individuals by total white matter lesion volume, A) first quartile of WML volume (0-25</w:t>
      </w:r>
      <w:r w:rsidRPr="00682D6F">
        <w:rPr>
          <w:rFonts w:ascii="Times New Roman" w:hAnsi="Times New Roman" w:cs="Times New Roman"/>
          <w:szCs w:val="24"/>
          <w:vertAlign w:val="superscript"/>
        </w:rPr>
        <w:t>th</w:t>
      </w:r>
      <w:r w:rsidRPr="00682D6F">
        <w:rPr>
          <w:rFonts w:ascii="Times New Roman" w:hAnsi="Times New Roman" w:cs="Times New Roman"/>
          <w:szCs w:val="24"/>
        </w:rPr>
        <w:t xml:space="preserve"> percentile), B)  second quartile of WML volume (26</w:t>
      </w:r>
      <w:r w:rsidRPr="00682D6F">
        <w:rPr>
          <w:rFonts w:ascii="Times New Roman" w:hAnsi="Times New Roman" w:cs="Times New Roman"/>
          <w:szCs w:val="24"/>
          <w:vertAlign w:val="superscript"/>
        </w:rPr>
        <w:t>th</w:t>
      </w:r>
      <w:r w:rsidRPr="00682D6F">
        <w:rPr>
          <w:rFonts w:ascii="Times New Roman" w:hAnsi="Times New Roman" w:cs="Times New Roman"/>
          <w:szCs w:val="24"/>
        </w:rPr>
        <w:t>-50</w:t>
      </w:r>
      <w:r w:rsidRPr="00682D6F">
        <w:rPr>
          <w:rFonts w:ascii="Times New Roman" w:hAnsi="Times New Roman" w:cs="Times New Roman"/>
          <w:szCs w:val="24"/>
          <w:vertAlign w:val="superscript"/>
        </w:rPr>
        <w:t xml:space="preserve">th </w:t>
      </w:r>
      <w:r w:rsidRPr="00682D6F">
        <w:rPr>
          <w:rFonts w:ascii="Times New Roman" w:hAnsi="Times New Roman" w:cs="Times New Roman"/>
          <w:szCs w:val="24"/>
        </w:rPr>
        <w:t>percentile), C) third quartile of WML volume (51</w:t>
      </w:r>
      <w:r w:rsidRPr="00682D6F">
        <w:rPr>
          <w:rFonts w:ascii="Times New Roman" w:hAnsi="Times New Roman" w:cs="Times New Roman"/>
          <w:szCs w:val="24"/>
          <w:vertAlign w:val="superscript"/>
        </w:rPr>
        <w:t>st</w:t>
      </w:r>
      <w:r w:rsidRPr="00682D6F">
        <w:rPr>
          <w:rFonts w:ascii="Times New Roman" w:hAnsi="Times New Roman" w:cs="Times New Roman"/>
          <w:szCs w:val="24"/>
        </w:rPr>
        <w:t>-75</w:t>
      </w:r>
      <w:r w:rsidRPr="00682D6F">
        <w:rPr>
          <w:rFonts w:ascii="Times New Roman" w:hAnsi="Times New Roman" w:cs="Times New Roman"/>
          <w:szCs w:val="24"/>
          <w:vertAlign w:val="superscript"/>
        </w:rPr>
        <w:t>th</w:t>
      </w:r>
      <w:r w:rsidRPr="00682D6F">
        <w:rPr>
          <w:rFonts w:ascii="Times New Roman" w:hAnsi="Times New Roman" w:cs="Times New Roman"/>
          <w:szCs w:val="24"/>
        </w:rPr>
        <w:t xml:space="preserve"> percentile), D) fourth quartile of WML volume (76</w:t>
      </w:r>
      <w:r w:rsidRPr="00682D6F">
        <w:rPr>
          <w:rFonts w:ascii="Times New Roman" w:hAnsi="Times New Roman" w:cs="Times New Roman"/>
          <w:szCs w:val="24"/>
          <w:vertAlign w:val="superscript"/>
        </w:rPr>
        <w:t>th</w:t>
      </w:r>
      <w:r w:rsidRPr="00682D6F">
        <w:rPr>
          <w:rFonts w:ascii="Times New Roman" w:hAnsi="Times New Roman" w:cs="Times New Roman"/>
          <w:szCs w:val="24"/>
        </w:rPr>
        <w:t>–100</w:t>
      </w:r>
      <w:r w:rsidRPr="00682D6F">
        <w:rPr>
          <w:rFonts w:ascii="Times New Roman" w:hAnsi="Times New Roman" w:cs="Times New Roman"/>
          <w:szCs w:val="24"/>
          <w:vertAlign w:val="superscript"/>
        </w:rPr>
        <w:t>th</w:t>
      </w:r>
      <w:r w:rsidRPr="00682D6F">
        <w:rPr>
          <w:rFonts w:ascii="Times New Roman" w:hAnsi="Times New Roman" w:cs="Times New Roman"/>
          <w:szCs w:val="24"/>
        </w:rPr>
        <w:t xml:space="preserve"> percentile).  LIGHT GRAY = white matter; DARK GRAY = gray matter.</w:t>
      </w:r>
    </w:p>
    <w:p w:rsidR="002A0034" w:rsidRPr="00682D6F" w:rsidRDefault="002A0034" w:rsidP="00333C42">
      <w:pPr>
        <w:spacing w:after="0" w:line="240" w:lineRule="auto"/>
        <w:jc w:val="both"/>
        <w:rPr>
          <w:rFonts w:ascii="Times New Roman" w:eastAsia="Times New Roman" w:hAnsi="Times New Roman" w:cs="Times New Roman"/>
          <w:i/>
          <w:lang w:eastAsia="fr-FR"/>
        </w:rPr>
      </w:pPr>
    </w:p>
    <w:p w:rsidR="002E779B" w:rsidRPr="00682D6F" w:rsidRDefault="002E779B" w:rsidP="00333C42">
      <w:pPr>
        <w:spacing w:after="0" w:line="240" w:lineRule="auto"/>
        <w:jc w:val="both"/>
        <w:rPr>
          <w:rFonts w:ascii="Times New Roman" w:eastAsia="Times New Roman" w:hAnsi="Times New Roman" w:cs="Times New Roman"/>
          <w:i/>
          <w:lang w:eastAsia="fr-FR"/>
        </w:rPr>
      </w:pPr>
      <w:r w:rsidRPr="00682D6F">
        <w:rPr>
          <w:rFonts w:ascii="Times New Roman" w:eastAsia="Times New Roman" w:hAnsi="Times New Roman" w:cs="Times New Roman"/>
          <w:i/>
          <w:lang w:eastAsia="fr-FR"/>
        </w:rPr>
        <w:t xml:space="preserve">Covariate Assessment </w:t>
      </w:r>
    </w:p>
    <w:p w:rsidR="006C3203" w:rsidRPr="00480E19" w:rsidRDefault="006C3203" w:rsidP="00333C42">
      <w:pPr>
        <w:spacing w:after="0" w:line="240" w:lineRule="auto"/>
        <w:ind w:firstLine="708"/>
        <w:jc w:val="both"/>
        <w:rPr>
          <w:rFonts w:ascii="Times New Roman" w:eastAsia="Times New Roman" w:hAnsi="Times New Roman" w:cs="Times New Roman"/>
          <w:lang w:eastAsia="fr-FR"/>
        </w:rPr>
      </w:pPr>
      <w:r w:rsidRPr="00682D6F">
        <w:rPr>
          <w:rFonts w:ascii="Times New Roman" w:hAnsi="Times New Roman" w:cs="Times New Roman"/>
        </w:rPr>
        <w:t xml:space="preserve">A standardized questionnaire was administered </w:t>
      </w:r>
      <w:r w:rsidRPr="00682D6F">
        <w:rPr>
          <w:rFonts w:ascii="Times New Roman" w:eastAsia="Times New Roman" w:hAnsi="Times New Roman" w:cs="Times New Roman"/>
          <w:lang w:eastAsia="fr-FR"/>
        </w:rPr>
        <w:t xml:space="preserve">covering demographic characteristics, daily life habits and medical. </w:t>
      </w:r>
      <w:r w:rsidR="00FF6B9C" w:rsidRPr="00682D6F">
        <w:rPr>
          <w:rFonts w:ascii="Times New Roman" w:eastAsia="Times New Roman" w:hAnsi="Times New Roman" w:cs="Times New Roman"/>
          <w:lang w:eastAsia="fr-FR"/>
        </w:rPr>
        <w:t xml:space="preserve">Education was measured based on the number of full-years of education and included primary education </w:t>
      </w:r>
      <w:r w:rsidR="00391A09" w:rsidRPr="00682D6F">
        <w:rPr>
          <w:rFonts w:ascii="Times New Roman" w:eastAsia="Times New Roman" w:hAnsi="Times New Roman" w:cs="Times New Roman"/>
          <w:lang w:eastAsia="fr-FR"/>
        </w:rPr>
        <w:t xml:space="preserve">or less </w:t>
      </w:r>
      <w:r w:rsidR="00FF6B9C" w:rsidRPr="00682D6F">
        <w:rPr>
          <w:rFonts w:ascii="Times New Roman" w:eastAsia="Times New Roman" w:hAnsi="Times New Roman" w:cs="Times New Roman"/>
          <w:lang w:eastAsia="fr-FR"/>
        </w:rPr>
        <w:t xml:space="preserve">(less than </w:t>
      </w:r>
      <w:r w:rsidR="00391A09" w:rsidRPr="00682D6F">
        <w:rPr>
          <w:rFonts w:ascii="Times New Roman" w:eastAsia="Times New Roman" w:hAnsi="Times New Roman" w:cs="Times New Roman"/>
          <w:lang w:eastAsia="fr-FR"/>
        </w:rPr>
        <w:t>5</w:t>
      </w:r>
      <w:r w:rsidR="00FF6B9C" w:rsidRPr="00682D6F">
        <w:rPr>
          <w:rFonts w:ascii="Times New Roman" w:eastAsia="Times New Roman" w:hAnsi="Times New Roman" w:cs="Times New Roman"/>
          <w:lang w:eastAsia="fr-FR"/>
        </w:rPr>
        <w:t xml:space="preserve"> years), short secondary education (</w:t>
      </w:r>
      <w:r w:rsidR="00391A09" w:rsidRPr="00682D6F">
        <w:rPr>
          <w:rFonts w:ascii="Times New Roman" w:eastAsia="Times New Roman" w:hAnsi="Times New Roman" w:cs="Times New Roman"/>
          <w:lang w:eastAsia="fr-FR"/>
        </w:rPr>
        <w:t>5</w:t>
      </w:r>
      <w:r w:rsidR="00FF6B9C" w:rsidRPr="00682D6F">
        <w:rPr>
          <w:rFonts w:ascii="Times New Roman" w:eastAsia="Times New Roman" w:hAnsi="Times New Roman" w:cs="Times New Roman"/>
          <w:lang w:eastAsia="fr-FR"/>
        </w:rPr>
        <w:t>-</w:t>
      </w:r>
      <w:r w:rsidR="00391A09" w:rsidRPr="00682D6F">
        <w:rPr>
          <w:rFonts w:ascii="Times New Roman" w:eastAsia="Times New Roman" w:hAnsi="Times New Roman" w:cs="Times New Roman"/>
          <w:lang w:eastAsia="fr-FR"/>
        </w:rPr>
        <w:t>9</w:t>
      </w:r>
      <w:r w:rsidR="00FF6B9C" w:rsidRPr="00682D6F">
        <w:rPr>
          <w:rFonts w:ascii="Times New Roman" w:eastAsia="Times New Roman" w:hAnsi="Times New Roman" w:cs="Times New Roman"/>
          <w:lang w:eastAsia="fr-FR"/>
        </w:rPr>
        <w:t xml:space="preserve"> years), full secondary education (10</w:t>
      </w:r>
      <w:r w:rsidR="00391A09" w:rsidRPr="00682D6F">
        <w:rPr>
          <w:rFonts w:ascii="Times New Roman" w:eastAsia="Times New Roman" w:hAnsi="Times New Roman" w:cs="Times New Roman"/>
          <w:lang w:eastAsia="fr-FR"/>
        </w:rPr>
        <w:t>-12</w:t>
      </w:r>
      <w:r w:rsidR="00FF6B9C" w:rsidRPr="00682D6F">
        <w:rPr>
          <w:rFonts w:ascii="Times New Roman" w:eastAsia="Times New Roman" w:hAnsi="Times New Roman" w:cs="Times New Roman"/>
          <w:lang w:eastAsia="fr-FR"/>
        </w:rPr>
        <w:t xml:space="preserve"> years), higher education/degree (vocational preparation, technical college, bachelor degree or equivalent). </w:t>
      </w:r>
      <w:r w:rsidR="002E779B" w:rsidRPr="00480E19">
        <w:rPr>
          <w:rFonts w:ascii="Times New Roman" w:eastAsia="Times New Roman" w:hAnsi="Times New Roman" w:cs="Times New Roman"/>
          <w:lang w:eastAsia="fr-FR"/>
        </w:rPr>
        <w:t xml:space="preserve">Assessment of the number of alcoholic drinks (g per week), tobacco and coffee consumption was collected by a designated survey with the Mini Nutritional Assessment </w:t>
      </w:r>
      <w:r w:rsidR="00041497" w:rsidRPr="00480E19">
        <w:rPr>
          <w:rFonts w:ascii="Times New Roman" w:eastAsia="Times New Roman" w:hAnsi="Times New Roman" w:cs="Times New Roman"/>
          <w:lang w:eastAsia="fr-FR"/>
        </w:rPr>
        <w:fldChar w:fldCharType="begin"/>
      </w:r>
      <w:r w:rsidR="007541A7">
        <w:rPr>
          <w:rFonts w:ascii="Times New Roman" w:eastAsia="Times New Roman" w:hAnsi="Times New Roman" w:cs="Times New Roman"/>
          <w:lang w:eastAsia="fr-FR"/>
        </w:rPr>
        <w:instrText xml:space="preserve"> ADDIN EN.CITE &lt;EndNote&gt;&lt;Cite&gt;&lt;Author&gt;Guigoz&lt;/Author&gt;&lt;Year&gt;1996&lt;/Year&gt;&lt;RecNum&gt;12860&lt;/RecNum&gt;&lt;DisplayText&gt;(Guigoz&lt;style face="italic"&gt; et al.&lt;/style&gt;, 1996)&lt;/DisplayText&gt;&lt;record&gt;&lt;rec-number&gt;12860&lt;/rec-number&gt;&lt;foreign-keys&gt;&lt;key app="EN" db-id="z00tvt9sk0vwtkesspyxw0rnvfvttv99p02d"&gt;12860&lt;/key&gt;&lt;/foreign-keys&gt;&lt;ref-type name="Journal Article"&gt;17&lt;/ref-type&gt;&lt;contributors&gt;&lt;authors&gt;&lt;author&gt;Guigoz, Y.&lt;/author&gt;&lt;author&gt;Vellas, B.&lt;/author&gt;&lt;author&gt;Garry, P. J.&lt;/author&gt;&lt;/authors&gt;&lt;/contributors&gt;&lt;auth-address&gt;Nutrition Department, Nestec Ltd., Lausanne, Switzerland.&lt;/auth-address&gt;&lt;titles&gt;&lt;title&gt;Assessing the nutritional status of the elderly: The Mini Nutritional Assessment as part of the geriatric evaluation&lt;/title&gt;&lt;secondary-title&gt;Nutrition Reviews&lt;/secondary-title&gt;&lt;/titles&gt;&lt;periodical&gt;&lt;full-title&gt;Nutr Rev&lt;/full-title&gt;&lt;abbr-1&gt;Nutrition reviews&lt;/abbr-1&gt;&lt;/periodical&gt;&lt;pages&gt;S59-65&lt;/pages&gt;&lt;volume&gt;54&lt;/volume&gt;&lt;number&gt;1 Pt 2&lt;/number&gt;&lt;edition&gt;1996/01/01&lt;/edition&gt;&lt;keywords&gt;&lt;keyword&gt;Aged&lt;/keyword&gt;&lt;keyword&gt;Aging/physiology&lt;/keyword&gt;&lt;keyword&gt;Data Collection&lt;/keyword&gt;&lt;keyword&gt;Female&lt;/keyword&gt;&lt;keyword&gt;Forms and Records Control&lt;/keyword&gt;&lt;keyword&gt;Health Services for the Aged/ standards&lt;/keyword&gt;&lt;keyword&gt;Humans&lt;/keyword&gt;&lt;keyword&gt;Male&lt;/keyword&gt;&lt;keyword&gt;Nutrition Assessment&lt;/keyword&gt;&lt;keyword&gt;Nutrition Disorders/epidemiology/physiopathology/prevention &amp;amp; control&lt;/keyword&gt;&lt;keyword&gt;Nutritional Status&lt;/keyword&gt;&lt;keyword&gt;Program Evaluation&lt;/keyword&gt;&lt;keyword&gt;United States/epidemiology&lt;/keyword&gt;&lt;/keywords&gt;&lt;dates&gt;&lt;year&gt;1996&lt;/year&gt;&lt;pub-dates&gt;&lt;date&gt;Jan&lt;/date&gt;&lt;/pub-dates&gt;&lt;/dates&gt;&lt;isbn&gt;0029-6643 (Print)&amp;#xD;0029-6643 (Linking)&lt;/isbn&gt;&lt;accession-num&gt;8919685&lt;/accession-num&gt;&lt;urls&gt;&lt;/urls&gt;&lt;remote-database-provider&gt;NLM&lt;/remote-database-provider&gt;&lt;language&gt;eng&lt;/language&gt;&lt;/record&gt;&lt;/Cite&gt;&lt;/EndNote&gt;</w:instrText>
      </w:r>
      <w:r w:rsidR="00041497" w:rsidRPr="00480E19">
        <w:rPr>
          <w:rFonts w:ascii="Times New Roman" w:eastAsia="Times New Roman" w:hAnsi="Times New Roman" w:cs="Times New Roman"/>
          <w:lang w:eastAsia="fr-FR"/>
        </w:rPr>
        <w:fldChar w:fldCharType="separate"/>
      </w:r>
      <w:r w:rsidR="000D28AE">
        <w:rPr>
          <w:rFonts w:ascii="Times New Roman" w:eastAsia="Times New Roman" w:hAnsi="Times New Roman" w:cs="Times New Roman"/>
          <w:noProof/>
          <w:lang w:eastAsia="fr-FR"/>
        </w:rPr>
        <w:t>(</w:t>
      </w:r>
      <w:hyperlink w:anchor="_ENREF_4" w:tooltip="Guigoz, 1996 #12860" w:history="1">
        <w:r w:rsidR="00030FB6">
          <w:rPr>
            <w:rFonts w:ascii="Times New Roman" w:eastAsia="Times New Roman" w:hAnsi="Times New Roman" w:cs="Times New Roman"/>
            <w:noProof/>
            <w:lang w:eastAsia="fr-FR"/>
          </w:rPr>
          <w:t>Guigoz</w:t>
        </w:r>
        <w:r w:rsidR="00030FB6" w:rsidRPr="000D28AE">
          <w:rPr>
            <w:rFonts w:ascii="Times New Roman" w:eastAsia="Times New Roman" w:hAnsi="Times New Roman" w:cs="Times New Roman"/>
            <w:i/>
            <w:noProof/>
            <w:lang w:eastAsia="fr-FR"/>
          </w:rPr>
          <w:t xml:space="preserve"> et al.</w:t>
        </w:r>
        <w:r w:rsidR="00030FB6">
          <w:rPr>
            <w:rFonts w:ascii="Times New Roman" w:eastAsia="Times New Roman" w:hAnsi="Times New Roman" w:cs="Times New Roman"/>
            <w:noProof/>
            <w:lang w:eastAsia="fr-FR"/>
          </w:rPr>
          <w:t>, 1996</w:t>
        </w:r>
      </w:hyperlink>
      <w:r w:rsidR="000D28AE">
        <w:rPr>
          <w:rFonts w:ascii="Times New Roman" w:eastAsia="Times New Roman" w:hAnsi="Times New Roman" w:cs="Times New Roman"/>
          <w:noProof/>
          <w:lang w:eastAsia="fr-FR"/>
        </w:rPr>
        <w:t>)</w:t>
      </w:r>
      <w:r w:rsidR="00041497" w:rsidRPr="00480E19">
        <w:rPr>
          <w:rFonts w:ascii="Times New Roman" w:eastAsia="Times New Roman" w:hAnsi="Times New Roman" w:cs="Times New Roman"/>
          <w:lang w:eastAsia="fr-FR"/>
        </w:rPr>
        <w:fldChar w:fldCharType="end"/>
      </w:r>
      <w:r w:rsidR="002E779B" w:rsidRPr="00480E19">
        <w:rPr>
          <w:rFonts w:ascii="Times New Roman" w:eastAsia="Times New Roman" w:hAnsi="Times New Roman" w:cs="Times New Roman"/>
          <w:lang w:eastAsia="fr-FR"/>
        </w:rPr>
        <w:t xml:space="preserve">. </w:t>
      </w:r>
      <w:r w:rsidRPr="00480E19">
        <w:rPr>
          <w:rFonts w:ascii="Times New Roman" w:eastAsia="Times New Roman" w:hAnsi="Times New Roman" w:cs="Times New Roman"/>
          <w:lang w:eastAsia="fr-FR"/>
        </w:rPr>
        <w:t xml:space="preserve">Comorbidities were defined </w:t>
      </w:r>
      <w:r w:rsidRPr="00480E19">
        <w:rPr>
          <w:rFonts w:ascii="Times New Roman" w:hAnsi="Times New Roman" w:cs="Times New Roman"/>
        </w:rPr>
        <w:t>according to International Classification of Diseases 10th revision criteria</w:t>
      </w:r>
      <w:r w:rsidRPr="00480E19">
        <w:rPr>
          <w:rFonts w:ascii="Times New Roman" w:eastAsia="Times New Roman" w:hAnsi="Times New Roman" w:cs="Times New Roman"/>
          <w:lang w:eastAsia="fr-FR"/>
        </w:rPr>
        <w:t xml:space="preserve">. Diabetes was defined as medication use for diabetes or fasting plasma glucose </w:t>
      </w:r>
      <w:r w:rsidRPr="00480E19">
        <w:rPr>
          <w:rFonts w:ascii="Times New Roman" w:hAnsi="Times New Roman" w:cs="Times New Roman"/>
        </w:rPr>
        <w:t xml:space="preserve">≥7.0 </w:t>
      </w:r>
      <w:proofErr w:type="spellStart"/>
      <w:r w:rsidRPr="00480E19">
        <w:rPr>
          <w:rFonts w:ascii="Times New Roman" w:hAnsi="Times New Roman" w:cs="Times New Roman"/>
        </w:rPr>
        <w:t>mmol</w:t>
      </w:r>
      <w:proofErr w:type="spellEnd"/>
      <w:r w:rsidRPr="00480E19">
        <w:rPr>
          <w:rFonts w:ascii="Times New Roman" w:hAnsi="Times New Roman" w:cs="Times New Roman"/>
        </w:rPr>
        <w:t xml:space="preserve">/L. Coronary heart disease was defined as </w:t>
      </w:r>
      <w:r w:rsidRPr="00480E19">
        <w:rPr>
          <w:rFonts w:ascii="Times New Roman" w:eastAsia="Times New Roman" w:hAnsi="Times New Roman" w:cs="Times New Roman"/>
          <w:lang w:eastAsia="fr-FR"/>
        </w:rPr>
        <w:t xml:space="preserve">any myocardial infarction, coronary artery bypass or percutaneous intervention, or peripheral vascular disease. </w:t>
      </w:r>
      <w:r w:rsidRPr="00480E19">
        <w:rPr>
          <w:rFonts w:ascii="Times New Roman" w:hAnsi="Times New Roman" w:cs="Times New Roman"/>
        </w:rPr>
        <w:t xml:space="preserve">The diagnosis and classification of incident strokes (excluded from our analyses) were made by a blinded expert panel that reviewed all existing medical information including, where available, cerebral imaging, according to International Classification of Diseases 10th revision criteria </w:t>
      </w:r>
      <w:r w:rsidRPr="00480E19">
        <w:rPr>
          <w:rFonts w:ascii="Times New Roman" w:hAnsi="Times New Roman" w:cs="Times New Roman"/>
        </w:rPr>
        <w:fldChar w:fldCharType="begin"/>
      </w:r>
      <w:r w:rsidR="007541A7">
        <w:rPr>
          <w:rFonts w:ascii="Times New Roman" w:hAnsi="Times New Roman" w:cs="Times New Roman"/>
        </w:rPr>
        <w:instrText xml:space="preserve"> ADDIN EN.CITE &lt;EndNote&gt;&lt;Cite&gt;&lt;Author&gt;Alpérovitch&lt;/Author&gt;&lt;Year&gt;2015&lt;/Year&gt;&lt;RecNum&gt;12489&lt;/RecNum&gt;&lt;DisplayText&gt;(Alpérovitch&lt;style face="italic"&gt; et al.&lt;/style&gt;, 2015)&lt;/DisplayText&gt;&lt;record&gt;&lt;rec-number&gt;12489&lt;/rec-number&gt;&lt;foreign-keys&gt;&lt;key app="EN" db-id="z00tvt9sk0vwtkesspyxw0rnvfvttv99p02d"&gt;12489&lt;/key&gt;&lt;/foreign-keys&gt;&lt;ref-type name="Journal Article"&gt;17&lt;/ref-type&gt;&lt;contributors&gt;&lt;authors&gt;&lt;author&gt;Alpérovitch, A.&lt;/author&gt;&lt;author&gt;Kurth, T.&lt;/author&gt;&lt;author&gt;Bertrand, M.&lt;/author&gt;&lt;author&gt;Ancelin, M-L.&lt;/author&gt;&lt;author&gt;Helmer, C.&lt;/author&gt;&lt;author&gt;Debette, S.&lt;/author&gt;&lt;author&gt;Tzourio, C.&lt;/author&gt;&lt;/authors&gt;&lt;/contributors&gt;&lt;titles&gt;&lt;title&gt;Primary prevention with lipid lowering drugs and long term risk of vascular events in older people: population based cohort study&lt;/title&gt;&lt;secondary-title&gt;British Medical Journal&lt;/secondary-title&gt;&lt;alt-title&gt;BMJ&lt;/alt-title&gt;&lt;/titles&gt;&lt;periodical&gt;&lt;full-title&gt;British Medical Journal&lt;/full-title&gt;&lt;/periodical&gt;&lt;alt-periodical&gt;&lt;full-title&gt;BMJ&lt;/full-title&gt;&lt;/alt-periodical&gt;&lt;pages&gt;h2335&lt;/pages&gt;&lt;volume&gt;350&lt;/volume&gt;&lt;dates&gt;&lt;year&gt;2015&lt;/year&gt;&lt;/dates&gt;&lt;work-type&gt;10.1136/bmj.h2335&lt;/work-type&gt;&lt;urls&gt;&lt;related-urls&gt;&lt;url&gt;http://www.bmj.com/content/350/bmj.h2335.abstract&lt;/url&gt;&lt;/related-urls&gt;&lt;/urls&gt;&lt;/record&gt;&lt;/Cite&gt;&lt;/EndNote&gt;</w:instrText>
      </w:r>
      <w:r w:rsidRPr="00480E19">
        <w:rPr>
          <w:rFonts w:ascii="Times New Roman" w:hAnsi="Times New Roman" w:cs="Times New Roman"/>
        </w:rPr>
        <w:fldChar w:fldCharType="separate"/>
      </w:r>
      <w:r w:rsidR="000D28AE">
        <w:rPr>
          <w:rFonts w:ascii="Times New Roman" w:hAnsi="Times New Roman" w:cs="Times New Roman"/>
          <w:noProof/>
        </w:rPr>
        <w:t>(</w:t>
      </w:r>
      <w:hyperlink w:anchor="_ENREF_1" w:tooltip="Alpérovitch, 2015 #12489" w:history="1">
        <w:r w:rsidR="00030FB6">
          <w:rPr>
            <w:rFonts w:ascii="Times New Roman" w:hAnsi="Times New Roman" w:cs="Times New Roman"/>
            <w:noProof/>
          </w:rPr>
          <w:t>Alpérovitch</w:t>
        </w:r>
        <w:r w:rsidR="00030FB6" w:rsidRPr="000D28AE">
          <w:rPr>
            <w:rFonts w:ascii="Times New Roman" w:hAnsi="Times New Roman" w:cs="Times New Roman"/>
            <w:i/>
            <w:noProof/>
          </w:rPr>
          <w:t xml:space="preserve"> et al.</w:t>
        </w:r>
        <w:r w:rsidR="00030FB6">
          <w:rPr>
            <w:rFonts w:ascii="Times New Roman" w:hAnsi="Times New Roman" w:cs="Times New Roman"/>
            <w:noProof/>
          </w:rPr>
          <w:t>, 2015</w:t>
        </w:r>
      </w:hyperlink>
      <w:r w:rsidR="000D28AE">
        <w:rPr>
          <w:rFonts w:ascii="Times New Roman" w:hAnsi="Times New Roman" w:cs="Times New Roman"/>
          <w:noProof/>
        </w:rPr>
        <w:t>)</w:t>
      </w:r>
      <w:r w:rsidRPr="00480E19">
        <w:rPr>
          <w:rFonts w:ascii="Times New Roman" w:hAnsi="Times New Roman" w:cs="Times New Roman"/>
        </w:rPr>
        <w:fldChar w:fldCharType="end"/>
      </w:r>
      <w:r w:rsidRPr="00480E19">
        <w:rPr>
          <w:rFonts w:ascii="Times New Roman" w:hAnsi="Times New Roman" w:cs="Times New Roman"/>
        </w:rPr>
        <w:t xml:space="preserve">. </w:t>
      </w:r>
      <w:r w:rsidRPr="00480E19">
        <w:rPr>
          <w:rFonts w:ascii="Times New Roman" w:eastAsia="Times New Roman" w:hAnsi="Times New Roman" w:cs="Times New Roman"/>
          <w:lang w:eastAsia="fr-FR"/>
        </w:rPr>
        <w:t>Stage of chronic kidney disease (CKD) was calculated from glomerular filtration rate (mL/min/1.73 m</w:t>
      </w:r>
      <w:r w:rsidRPr="00480E19">
        <w:rPr>
          <w:rFonts w:ascii="Times New Roman" w:eastAsia="Times New Roman" w:hAnsi="Times New Roman" w:cs="Times New Roman"/>
          <w:vertAlign w:val="superscript"/>
          <w:lang w:eastAsia="fr-FR"/>
        </w:rPr>
        <w:t>2</w:t>
      </w:r>
      <w:r w:rsidRPr="00480E19">
        <w:rPr>
          <w:rFonts w:ascii="Times New Roman" w:eastAsia="Times New Roman" w:hAnsi="Times New Roman" w:cs="Times New Roman"/>
          <w:lang w:eastAsia="fr-FR"/>
        </w:rPr>
        <w:t xml:space="preserve">) according to the Guidelines of the National Kidney Foundation </w:t>
      </w:r>
      <w:r w:rsidRPr="00480E19">
        <w:rPr>
          <w:rFonts w:ascii="Times New Roman" w:eastAsia="Times New Roman" w:hAnsi="Times New Roman" w:cs="Times New Roman"/>
          <w:lang w:eastAsia="fr-FR"/>
        </w:rPr>
        <w:fldChar w:fldCharType="begin"/>
      </w:r>
      <w:r w:rsidR="007541A7">
        <w:rPr>
          <w:rFonts w:ascii="Times New Roman" w:eastAsia="Times New Roman" w:hAnsi="Times New Roman" w:cs="Times New Roman"/>
          <w:lang w:eastAsia="fr-FR"/>
        </w:rPr>
        <w:instrText xml:space="preserve"> ADDIN EN.CITE &lt;EndNote&gt;&lt;Cite ExcludeAuth="1"&gt;&lt;Year&gt;2002&lt;/Year&gt;&lt;RecNum&gt;12407&lt;/RecNum&gt;&lt;DisplayText&gt;(2002)&lt;/DisplayText&gt;&lt;record&gt;&lt;rec-number&gt;12407&lt;/rec-number&gt;&lt;foreign-keys&gt;&lt;key app="EN" db-id="z00tvt9sk0vwtkesspyxw0rnvfvttv99p02d"&gt;12407&lt;/key&gt;&lt;/foreign-keys&gt;&lt;ref-type name="Journal Article"&gt;17&lt;/ref-type&gt;&lt;contributors&gt;&lt;authors&gt;&lt;author&gt;National Kidney Foundation, &lt;/author&gt;&lt;/authors&gt;&lt;/contributors&gt;&lt;titles&gt;&lt;title&gt;K/DOQI clinical practice guidelines for chronic kidney disease: evaluation, classification, and stratification&lt;/title&gt;&lt;secondary-title&gt;American Journal of Kidney Diseases&lt;/secondary-title&gt;&lt;alt-title&gt;American journal of kidney diseases : &lt;/alt-title&gt;&lt;short-title&gt;Am J Kidney Dis&lt;/short-title&gt;&lt;/titles&gt;&lt;periodical&gt;&lt;full-title&gt;American Journal of Kidney Diseases&lt;/full-title&gt;&lt;abbr-1&gt;American journal of kidney diseases :&lt;/abbr-1&gt;&lt;/periodical&gt;&lt;alt-periodical&gt;&lt;full-title&gt;American Journal of Kidney Diseases&lt;/full-title&gt;&lt;abbr-1&gt;American journal of kidney diseases :&lt;/abbr-1&gt;&lt;/alt-periodical&gt;&lt;pages&gt;S1-266&lt;/pages&gt;&lt;volume&gt;39&lt;/volume&gt;&lt;number&gt;2 Suppl 1&lt;/number&gt;&lt;edition&gt;2002/03/21&lt;/edition&gt;&lt;keywords&gt;&lt;keyword&gt;Adult&lt;/keyword&gt;&lt;keyword&gt;Age Factors&lt;/keyword&gt;&lt;keyword&gt;Cardiovascular Diseases/etiology&lt;/keyword&gt;&lt;keyword&gt;Child&lt;/keyword&gt;&lt;keyword&gt;Chronic Disease&lt;/keyword&gt;&lt;keyword&gt;Humans&lt;/keyword&gt;&lt;keyword&gt;Kidney Diseases/classification/complications/ therapy&lt;/keyword&gt;&lt;keyword&gt;United States&lt;/keyword&gt;&lt;/keywords&gt;&lt;dates&gt;&lt;year&gt;2002&lt;/year&gt;&lt;pub-dates&gt;&lt;date&gt;Feb&lt;/date&gt;&lt;/pub-dates&gt;&lt;/dates&gt;&lt;isbn&gt;1523-6838 (Electronic)&amp;#xD;0272-6386 (Linking)&lt;/isbn&gt;&lt;accession-num&gt;11904577&lt;/accession-num&gt;&lt;urls&gt;&lt;/urls&gt;&lt;remote-database-provider&gt;NLM&lt;/remote-database-provider&gt;&lt;language&gt;eng&lt;/language&gt;&lt;/record&gt;&lt;/Cite&gt;&lt;/EndNote&gt;</w:instrText>
      </w:r>
      <w:r w:rsidRPr="00480E19">
        <w:rPr>
          <w:rFonts w:ascii="Times New Roman" w:eastAsia="Times New Roman" w:hAnsi="Times New Roman" w:cs="Times New Roman"/>
          <w:lang w:eastAsia="fr-FR"/>
        </w:rPr>
        <w:fldChar w:fldCharType="separate"/>
      </w:r>
      <w:r w:rsidR="000D28AE">
        <w:rPr>
          <w:rFonts w:ascii="Times New Roman" w:eastAsia="Times New Roman" w:hAnsi="Times New Roman" w:cs="Times New Roman"/>
          <w:noProof/>
          <w:lang w:eastAsia="fr-FR"/>
        </w:rPr>
        <w:t>(</w:t>
      </w:r>
      <w:hyperlink w:anchor="_ENREF_5" w:tooltip="National Kidney Foundation, 2002 #12407" w:history="1">
        <w:r w:rsidR="00030FB6">
          <w:rPr>
            <w:rFonts w:ascii="Times New Roman" w:eastAsia="Times New Roman" w:hAnsi="Times New Roman" w:cs="Times New Roman"/>
            <w:noProof/>
            <w:lang w:eastAsia="fr-FR"/>
          </w:rPr>
          <w:t>2002</w:t>
        </w:r>
      </w:hyperlink>
      <w:r w:rsidR="000D28AE">
        <w:rPr>
          <w:rFonts w:ascii="Times New Roman" w:eastAsia="Times New Roman" w:hAnsi="Times New Roman" w:cs="Times New Roman"/>
          <w:noProof/>
          <w:lang w:eastAsia="fr-FR"/>
        </w:rPr>
        <w:t>)</w:t>
      </w:r>
      <w:r w:rsidRPr="00480E19">
        <w:rPr>
          <w:rFonts w:ascii="Times New Roman" w:eastAsia="Times New Roman" w:hAnsi="Times New Roman" w:cs="Times New Roman"/>
          <w:lang w:eastAsia="fr-FR"/>
        </w:rPr>
        <w:fldChar w:fldCharType="end"/>
      </w:r>
      <w:r w:rsidRPr="00480E19">
        <w:rPr>
          <w:rFonts w:ascii="Times New Roman" w:eastAsia="Times New Roman" w:hAnsi="Times New Roman" w:cs="Times New Roman"/>
          <w:lang w:eastAsia="fr-FR"/>
        </w:rPr>
        <w:t xml:space="preserve">; stage 1 (≥90), stage 2 (60-89), stage 3 (30-59), stage 4 (15-29), stage 5 (&lt;15 or dialysis), as validated in a French population cohort </w:t>
      </w:r>
      <w:r w:rsidRPr="00480E19">
        <w:rPr>
          <w:rFonts w:ascii="Times New Roman" w:eastAsia="Times New Roman" w:hAnsi="Times New Roman" w:cs="Times New Roman"/>
          <w:lang w:eastAsia="fr-FR"/>
        </w:rPr>
        <w:fldChar w:fldCharType="begin">
          <w:fldData xml:space="preserve">PEVuZE5vdGU+PENpdGU+PEF1dGhvcj5Gcm9pc3NhcnQ8L0F1dGhvcj48WWVhcj4yMDA1PC9ZZWFy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</w:fldData>
        </w:fldChar>
      </w:r>
      <w:r w:rsidR="007541A7">
        <w:rPr>
          <w:rFonts w:ascii="Times New Roman" w:eastAsia="Times New Roman" w:hAnsi="Times New Roman" w:cs="Times New Roman"/>
          <w:lang w:eastAsia="fr-FR"/>
        </w:rPr>
        <w:instrText xml:space="preserve"> ADDIN EN.CITE </w:instrText>
      </w:r>
      <w:r w:rsidR="007541A7">
        <w:rPr>
          <w:rFonts w:ascii="Times New Roman" w:eastAsia="Times New Roman" w:hAnsi="Times New Roman" w:cs="Times New Roman"/>
          <w:lang w:eastAsia="fr-FR"/>
        </w:rPr>
        <w:fldChar w:fldCharType="begin">
          <w:fldData xml:space="preserve">PEVuZE5vdGU+PENpdGU+PEF1dGhvcj5Gcm9pc3NhcnQ8L0F1dGhvcj48WWVhcj4yMDA1PC9ZZWFy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</w:fldData>
        </w:fldChar>
      </w:r>
      <w:r w:rsidR="007541A7">
        <w:rPr>
          <w:rFonts w:ascii="Times New Roman" w:eastAsia="Times New Roman" w:hAnsi="Times New Roman" w:cs="Times New Roman"/>
          <w:lang w:eastAsia="fr-FR"/>
        </w:rPr>
        <w:instrText xml:space="preserve"> ADDIN EN.CITE.DATA </w:instrText>
      </w:r>
      <w:r w:rsidR="007541A7">
        <w:rPr>
          <w:rFonts w:ascii="Times New Roman" w:eastAsia="Times New Roman" w:hAnsi="Times New Roman" w:cs="Times New Roman"/>
          <w:lang w:eastAsia="fr-FR"/>
        </w:rPr>
      </w:r>
      <w:r w:rsidR="007541A7">
        <w:rPr>
          <w:rFonts w:ascii="Times New Roman" w:eastAsia="Times New Roman" w:hAnsi="Times New Roman" w:cs="Times New Roman"/>
          <w:lang w:eastAsia="fr-FR"/>
        </w:rPr>
        <w:fldChar w:fldCharType="end"/>
      </w:r>
      <w:r w:rsidRPr="00480E19">
        <w:rPr>
          <w:rFonts w:ascii="Times New Roman" w:eastAsia="Times New Roman" w:hAnsi="Times New Roman" w:cs="Times New Roman"/>
          <w:lang w:eastAsia="fr-FR"/>
        </w:rPr>
      </w:r>
      <w:r w:rsidRPr="00480E19">
        <w:rPr>
          <w:rFonts w:ascii="Times New Roman" w:eastAsia="Times New Roman" w:hAnsi="Times New Roman" w:cs="Times New Roman"/>
          <w:lang w:eastAsia="fr-FR"/>
        </w:rPr>
        <w:fldChar w:fldCharType="separate"/>
      </w:r>
      <w:r w:rsidR="000D28AE">
        <w:rPr>
          <w:rFonts w:ascii="Times New Roman" w:eastAsia="Times New Roman" w:hAnsi="Times New Roman" w:cs="Times New Roman"/>
          <w:noProof/>
          <w:lang w:eastAsia="fr-FR"/>
        </w:rPr>
        <w:t>(</w:t>
      </w:r>
      <w:hyperlink w:anchor="_ENREF_3" w:tooltip="Froissart, 2005 #12399" w:history="1">
        <w:r w:rsidR="00030FB6">
          <w:rPr>
            <w:rFonts w:ascii="Times New Roman" w:eastAsia="Times New Roman" w:hAnsi="Times New Roman" w:cs="Times New Roman"/>
            <w:noProof/>
            <w:lang w:eastAsia="fr-FR"/>
          </w:rPr>
          <w:t>Froissart</w:t>
        </w:r>
        <w:r w:rsidR="00030FB6" w:rsidRPr="000D28AE">
          <w:rPr>
            <w:rFonts w:ascii="Times New Roman" w:eastAsia="Times New Roman" w:hAnsi="Times New Roman" w:cs="Times New Roman"/>
            <w:i/>
            <w:noProof/>
            <w:lang w:eastAsia="fr-FR"/>
          </w:rPr>
          <w:t xml:space="preserve"> et al.</w:t>
        </w:r>
        <w:r w:rsidR="00030FB6">
          <w:rPr>
            <w:rFonts w:ascii="Times New Roman" w:eastAsia="Times New Roman" w:hAnsi="Times New Roman" w:cs="Times New Roman"/>
            <w:noProof/>
            <w:lang w:eastAsia="fr-FR"/>
          </w:rPr>
          <w:t>, 2005</w:t>
        </w:r>
      </w:hyperlink>
      <w:r w:rsidR="000D28AE">
        <w:rPr>
          <w:rFonts w:ascii="Times New Roman" w:eastAsia="Times New Roman" w:hAnsi="Times New Roman" w:cs="Times New Roman"/>
          <w:noProof/>
          <w:lang w:eastAsia="fr-FR"/>
        </w:rPr>
        <w:t>)</w:t>
      </w:r>
      <w:r w:rsidRPr="00480E19">
        <w:rPr>
          <w:rFonts w:ascii="Times New Roman" w:eastAsia="Times New Roman" w:hAnsi="Times New Roman" w:cs="Times New Roman"/>
          <w:lang w:eastAsia="fr-FR"/>
        </w:rPr>
        <w:fldChar w:fldCharType="end"/>
      </w:r>
      <w:r w:rsidRPr="00480E19">
        <w:rPr>
          <w:rFonts w:ascii="Times New Roman" w:eastAsia="Times New Roman" w:hAnsi="Times New Roman" w:cs="Times New Roman"/>
          <w:lang w:eastAsia="fr-FR"/>
        </w:rPr>
        <w:t>.</w:t>
      </w:r>
    </w:p>
    <w:p w:rsidR="002E779B" w:rsidRPr="00480E19" w:rsidRDefault="006C3203" w:rsidP="00333C42">
      <w:pPr>
        <w:spacing w:after="0" w:line="240" w:lineRule="auto"/>
        <w:ind w:firstLine="708"/>
        <w:jc w:val="both"/>
        <w:rPr>
          <w:rFonts w:ascii="Times New Roman" w:hAnsi="Times New Roman" w:cs="Times New Roman"/>
        </w:rPr>
      </w:pPr>
      <w:r w:rsidRPr="00480E19">
        <w:rPr>
          <w:rFonts w:ascii="Times New Roman" w:eastAsia="Times New Roman" w:hAnsi="Times New Roman" w:cs="Times New Roman"/>
          <w:lang w:eastAsia="fr-FR"/>
        </w:rPr>
        <w:t xml:space="preserve">Determination of the apolipoprotein E ε4 allele (APOE) was carried out at the Lille </w:t>
      </w:r>
      <w:proofErr w:type="spellStart"/>
      <w:r w:rsidRPr="00480E19">
        <w:rPr>
          <w:rFonts w:ascii="Times New Roman" w:eastAsia="Times New Roman" w:hAnsi="Times New Roman" w:cs="Times New Roman"/>
          <w:lang w:eastAsia="fr-FR"/>
        </w:rPr>
        <w:t>Genopole</w:t>
      </w:r>
      <w:proofErr w:type="spellEnd"/>
      <w:r w:rsidRPr="00480E19">
        <w:rPr>
          <w:rFonts w:ascii="Times New Roman" w:eastAsia="Times New Roman" w:hAnsi="Times New Roman" w:cs="Times New Roman"/>
          <w:lang w:eastAsia="fr-FR"/>
        </w:rPr>
        <w:t xml:space="preserve"> (Lille, France, </w:t>
      </w:r>
      <w:hyperlink r:id="rId8" w:history="1">
        <w:r w:rsidRPr="00480E19">
          <w:rPr>
            <w:rStyle w:val="Hyperlink"/>
            <w:rFonts w:ascii="Times New Roman" w:eastAsia="Times New Roman" w:hAnsi="Times New Roman" w:cs="Times New Roman"/>
            <w:lang w:eastAsia="fr-FR"/>
          </w:rPr>
          <w:t>http://www.genopole.fr/</w:t>
        </w:r>
      </w:hyperlink>
      <w:r w:rsidRPr="00480E19">
        <w:rPr>
          <w:rFonts w:ascii="Times New Roman" w:eastAsia="Times New Roman" w:hAnsi="Times New Roman" w:cs="Times New Roman"/>
          <w:lang w:eastAsia="fr-FR"/>
        </w:rPr>
        <w:t xml:space="preserve">). </w:t>
      </w:r>
      <w:r w:rsidRPr="00480E19">
        <w:rPr>
          <w:rFonts w:ascii="Times New Roman" w:hAnsi="Times New Roman" w:cs="Times New Roman"/>
        </w:rPr>
        <w:t xml:space="preserve">DNA samples were transferred to the French Centre National de </w:t>
      </w:r>
      <w:proofErr w:type="spellStart"/>
      <w:r w:rsidRPr="00480E19">
        <w:rPr>
          <w:rFonts w:ascii="Times New Roman" w:hAnsi="Times New Roman" w:cs="Times New Roman"/>
        </w:rPr>
        <w:t>Génotypage</w:t>
      </w:r>
      <w:proofErr w:type="spellEnd"/>
      <w:r w:rsidRPr="00480E19">
        <w:rPr>
          <w:rFonts w:ascii="Times New Roman" w:hAnsi="Times New Roman" w:cs="Times New Roman"/>
        </w:rPr>
        <w:t xml:space="preserve"> for genotyping. APOE genotyping was performed using the fluorogenic 5ʹ-nuclease assay with </w:t>
      </w:r>
      <w:proofErr w:type="spellStart"/>
      <w:r w:rsidRPr="00480E19">
        <w:rPr>
          <w:rFonts w:ascii="Times New Roman" w:hAnsi="Times New Roman" w:cs="Times New Roman"/>
        </w:rPr>
        <w:t>TaqMan</w:t>
      </w:r>
      <w:proofErr w:type="spellEnd"/>
      <w:r w:rsidRPr="00480E19">
        <w:rPr>
          <w:rFonts w:ascii="Times New Roman" w:hAnsi="Times New Roman" w:cs="Times New Roman"/>
        </w:rPr>
        <w:t xml:space="preserve"> chemistry (Applied Biosystems, Foster City, CA, USA). </w:t>
      </w:r>
      <w:r w:rsidRPr="00480E19">
        <w:rPr>
          <w:rFonts w:ascii="Times New Roman" w:eastAsia="Times New Roman" w:hAnsi="Times New Roman" w:cs="Times New Roman"/>
          <w:lang w:eastAsia="fr-FR"/>
        </w:rPr>
        <w:t xml:space="preserve">Medications use was determined at interview, and, where feasible, the medications themselves were brought to each interview. All drugs were coded according to the WHO ATC classification </w:t>
      </w:r>
      <w:r w:rsidRPr="00480E19">
        <w:rPr>
          <w:rFonts w:ascii="Times New Roman" w:eastAsia="Times New Roman" w:hAnsi="Times New Roman" w:cs="Times New Roman"/>
          <w:lang w:eastAsia="fr-FR"/>
        </w:rPr>
        <w:fldChar w:fldCharType="begin"/>
      </w:r>
      <w:r w:rsidR="000D28AE">
        <w:rPr>
          <w:rFonts w:ascii="Times New Roman" w:eastAsia="Times New Roman" w:hAnsi="Times New Roman" w:cs="Times New Roman"/>
          <w:lang w:eastAsia="fr-FR"/>
        </w:rPr>
        <w:instrText xml:space="preserve"> ADDIN EN.CITE &lt;EndNote&gt;&lt;Cite&gt;&lt;Author&gt;World Health Organization&lt;/Author&gt;&lt;Year&gt;2002&lt;/Year&gt;&lt;RecNum&gt;12401&lt;/RecNum&gt;&lt;DisplayText&gt;(World Health Organization, 2002)&lt;/DisplayText&gt;&lt;record&gt;&lt;rec-number&gt;12401&lt;/rec-number&gt;&lt;foreign-keys&gt;&lt;key app="EN" db-id="z00tvt9sk0vwtkesspyxw0rnvfvttv99p02d"&gt;12401&lt;/key&gt;&lt;/foreign-keys&gt;&lt;ref-type name="Book"&gt;6&lt;/ref-type&gt;&lt;contributors&gt;&lt;authors&gt;&lt;author&gt;World Health Organization, &lt;/author&gt;&lt;/authors&gt;&lt;secondary-authors&gt;&lt;author&gt;WHO Collaborating Centre for Drug Statistics Methodology&lt;/author&gt;&lt;/secondary-authors&gt;&lt;/contributors&gt;&lt;titles&gt;&lt;title&gt;Guidelines for ATC classification and DDD assignment&lt;/title&gt;&lt;translated-title&gt;Centre for Drug Information of the National Hospital&lt;/translated-title&gt;&lt;/titles&gt;&lt;dates&gt;&lt;year&gt;2002&lt;/year&gt;&lt;/dates&gt;&lt;pub-location&gt;Oslo, Norway&lt;/pub-location&gt;&lt;publisher&gt;Norwegian Institute of Public Health&lt;/publisher&gt;&lt;urls&gt;&lt;related-urls&gt;&lt;url&gt;http://www.theriaque.org&lt;/url&gt;&lt;/related-urls&gt;&lt;/urls&gt;&lt;language&gt;French&lt;/language&gt;&lt;/record&gt;&lt;/Cite&gt;&lt;/EndNote&gt;</w:instrText>
      </w:r>
      <w:r w:rsidRPr="00480E19">
        <w:rPr>
          <w:rFonts w:ascii="Times New Roman" w:eastAsia="Times New Roman" w:hAnsi="Times New Roman" w:cs="Times New Roman"/>
          <w:lang w:eastAsia="fr-FR"/>
        </w:rPr>
        <w:fldChar w:fldCharType="separate"/>
      </w:r>
      <w:r w:rsidR="000D28AE">
        <w:rPr>
          <w:rFonts w:ascii="Times New Roman" w:eastAsia="Times New Roman" w:hAnsi="Times New Roman" w:cs="Times New Roman"/>
          <w:noProof/>
          <w:lang w:eastAsia="fr-FR"/>
        </w:rPr>
        <w:t>(</w:t>
      </w:r>
      <w:hyperlink w:anchor="_ENREF_7" w:tooltip="World Health Organization, 2002 #12401" w:history="1">
        <w:r w:rsidR="00030FB6">
          <w:rPr>
            <w:rFonts w:ascii="Times New Roman" w:eastAsia="Times New Roman" w:hAnsi="Times New Roman" w:cs="Times New Roman"/>
            <w:noProof/>
            <w:lang w:eastAsia="fr-FR"/>
          </w:rPr>
          <w:t>World Health Organization, 2002</w:t>
        </w:r>
      </w:hyperlink>
      <w:r w:rsidR="000D28AE">
        <w:rPr>
          <w:rFonts w:ascii="Times New Roman" w:eastAsia="Times New Roman" w:hAnsi="Times New Roman" w:cs="Times New Roman"/>
          <w:noProof/>
          <w:lang w:eastAsia="fr-FR"/>
        </w:rPr>
        <w:t>)</w:t>
      </w:r>
      <w:r w:rsidRPr="00480E19">
        <w:rPr>
          <w:rFonts w:ascii="Times New Roman" w:eastAsia="Times New Roman" w:hAnsi="Times New Roman" w:cs="Times New Roman"/>
          <w:lang w:eastAsia="fr-FR"/>
        </w:rPr>
        <w:fldChar w:fldCharType="end"/>
      </w:r>
      <w:r w:rsidRPr="00480E19">
        <w:rPr>
          <w:rFonts w:ascii="Times New Roman" w:eastAsia="Times New Roman" w:hAnsi="Times New Roman" w:cs="Times New Roman"/>
          <w:lang w:eastAsia="fr-FR"/>
        </w:rPr>
        <w:t xml:space="preserve">. Drug use for </w:t>
      </w:r>
      <w:r w:rsidRPr="00480E19">
        <w:rPr>
          <w:rFonts w:ascii="Times New Roman" w:hAnsi="Times New Roman" w:cs="Times New Roman"/>
        </w:rPr>
        <w:t>BP was explicitly differentiated from use for other cardiovascular diseases</w:t>
      </w:r>
      <w:r w:rsidR="00030FB6">
        <w:rPr>
          <w:rFonts w:ascii="Times New Roman" w:hAnsi="Times New Roman" w:cs="Times New Roman"/>
        </w:rPr>
        <w:t xml:space="preserve"> </w:t>
      </w:r>
      <w:r w:rsidR="00030FB6">
        <w:rPr>
          <w:rFonts w:ascii="Times New Roman" w:hAnsi="Times New Roman" w:cs="Times New Roman"/>
        </w:rPr>
        <w:fldChar w:fldCharType="begin">
          <w:fldData xml:space="preserve">PEVuZE5vdGU+PENpdGU+PEF1dGhvcj5CcmluZGVsPC9BdXRob3I+PFllYXI+MjAwNjwvWWVhcj48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</w:fldData>
        </w:fldChar>
      </w:r>
      <w:r w:rsidR="00030FB6">
        <w:rPr>
          <w:rFonts w:ascii="Times New Roman" w:hAnsi="Times New Roman" w:cs="Times New Roman"/>
        </w:rPr>
        <w:instrText xml:space="preserve"> ADDIN EN.CITE </w:instrText>
      </w:r>
      <w:r w:rsidR="00030FB6">
        <w:rPr>
          <w:rFonts w:ascii="Times New Roman" w:hAnsi="Times New Roman" w:cs="Times New Roman"/>
        </w:rPr>
        <w:fldChar w:fldCharType="begin">
          <w:fldData xml:space="preserve">PEVuZE5vdGU+PENpdGU+PEF1dGhvcj5CcmluZGVsPC9BdXRob3I+PFllYXI+MjAwNjwvWWVhcj48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</w:fldData>
        </w:fldChar>
      </w:r>
      <w:r w:rsidR="00030FB6">
        <w:rPr>
          <w:rFonts w:ascii="Times New Roman" w:hAnsi="Times New Roman" w:cs="Times New Roman"/>
        </w:rPr>
        <w:instrText xml:space="preserve"> ADDIN EN.CITE.DATA </w:instrText>
      </w:r>
      <w:r w:rsidR="00030FB6">
        <w:rPr>
          <w:rFonts w:ascii="Times New Roman" w:hAnsi="Times New Roman" w:cs="Times New Roman"/>
        </w:rPr>
      </w:r>
      <w:r w:rsidR="00030FB6">
        <w:rPr>
          <w:rFonts w:ascii="Times New Roman" w:hAnsi="Times New Roman" w:cs="Times New Roman"/>
        </w:rPr>
        <w:fldChar w:fldCharType="end"/>
      </w:r>
      <w:r w:rsidR="00030FB6">
        <w:rPr>
          <w:rFonts w:ascii="Times New Roman" w:hAnsi="Times New Roman" w:cs="Times New Roman"/>
        </w:rPr>
      </w:r>
      <w:r w:rsidR="00030FB6">
        <w:rPr>
          <w:rFonts w:ascii="Times New Roman" w:hAnsi="Times New Roman" w:cs="Times New Roman"/>
        </w:rPr>
        <w:fldChar w:fldCharType="separate"/>
      </w:r>
      <w:r w:rsidR="00030FB6">
        <w:rPr>
          <w:rFonts w:ascii="Times New Roman" w:hAnsi="Times New Roman" w:cs="Times New Roman"/>
          <w:noProof/>
        </w:rPr>
        <w:t>(</w:t>
      </w:r>
      <w:hyperlink w:anchor="_ENREF_2" w:tooltip="Brindel, 2006 #12219" w:history="1">
        <w:r w:rsidR="00030FB6">
          <w:rPr>
            <w:rFonts w:ascii="Times New Roman" w:hAnsi="Times New Roman" w:cs="Times New Roman"/>
            <w:noProof/>
          </w:rPr>
          <w:t>Brindel</w:t>
        </w:r>
        <w:r w:rsidR="00030FB6" w:rsidRPr="00030FB6">
          <w:rPr>
            <w:rFonts w:ascii="Times New Roman" w:hAnsi="Times New Roman" w:cs="Times New Roman"/>
            <w:i/>
            <w:noProof/>
          </w:rPr>
          <w:t xml:space="preserve"> et al.</w:t>
        </w:r>
        <w:r w:rsidR="00030FB6">
          <w:rPr>
            <w:rFonts w:ascii="Times New Roman" w:hAnsi="Times New Roman" w:cs="Times New Roman"/>
            <w:noProof/>
          </w:rPr>
          <w:t>, 2006</w:t>
        </w:r>
      </w:hyperlink>
      <w:r w:rsidR="00030FB6">
        <w:rPr>
          <w:rFonts w:ascii="Times New Roman" w:hAnsi="Times New Roman" w:cs="Times New Roman"/>
          <w:noProof/>
        </w:rPr>
        <w:t>)</w:t>
      </w:r>
      <w:r w:rsidR="00030FB6">
        <w:rPr>
          <w:rFonts w:ascii="Times New Roman" w:hAnsi="Times New Roman" w:cs="Times New Roman"/>
        </w:rPr>
        <w:fldChar w:fldCharType="end"/>
      </w:r>
      <w:r w:rsidRPr="00480E19">
        <w:rPr>
          <w:rFonts w:ascii="Times New Roman" w:hAnsi="Times New Roman" w:cs="Times New Roman"/>
        </w:rPr>
        <w:t xml:space="preserve">. </w:t>
      </w:r>
      <w:r w:rsidR="002E779B" w:rsidRPr="00480E19">
        <w:rPr>
          <w:rFonts w:ascii="Times New Roman" w:hAnsi="Times New Roman" w:cs="Times New Roman"/>
        </w:rPr>
        <w:t>Psychotropic medication was recorded and included use of anti-depressants (serotonin reuptake inhibitors, tri- and tetra-</w:t>
      </w:r>
      <w:proofErr w:type="spellStart"/>
      <w:r w:rsidR="002E779B" w:rsidRPr="00480E19">
        <w:rPr>
          <w:rFonts w:ascii="Times New Roman" w:hAnsi="Times New Roman" w:cs="Times New Roman"/>
        </w:rPr>
        <w:t>cyclics</w:t>
      </w:r>
      <w:proofErr w:type="spellEnd"/>
      <w:r w:rsidR="002E779B" w:rsidRPr="00480E19">
        <w:rPr>
          <w:rFonts w:ascii="Times New Roman" w:hAnsi="Times New Roman" w:cs="Times New Roman"/>
        </w:rPr>
        <w:t xml:space="preserve">, monoamine oxidase inhibitors), psychostimulants, nootropics, </w:t>
      </w:r>
      <w:proofErr w:type="spellStart"/>
      <w:r w:rsidR="002E779B" w:rsidRPr="00480E19">
        <w:rPr>
          <w:rFonts w:ascii="Times New Roman" w:hAnsi="Times New Roman" w:cs="Times New Roman"/>
        </w:rPr>
        <w:t>psycholeptics</w:t>
      </w:r>
      <w:proofErr w:type="spellEnd"/>
      <w:r w:rsidR="002E779B" w:rsidRPr="00480E19">
        <w:rPr>
          <w:rFonts w:ascii="Times New Roman" w:hAnsi="Times New Roman" w:cs="Times New Roman"/>
        </w:rPr>
        <w:t xml:space="preserve"> and </w:t>
      </w:r>
      <w:proofErr w:type="spellStart"/>
      <w:r w:rsidR="002E779B" w:rsidRPr="00480E19">
        <w:rPr>
          <w:rFonts w:ascii="Times New Roman" w:hAnsi="Times New Roman" w:cs="Times New Roman"/>
        </w:rPr>
        <w:t>psychoanaleptics</w:t>
      </w:r>
      <w:proofErr w:type="spellEnd"/>
      <w:r w:rsidR="002E779B" w:rsidRPr="00480E19">
        <w:rPr>
          <w:rFonts w:ascii="Times New Roman" w:hAnsi="Times New Roman" w:cs="Times New Roman"/>
        </w:rPr>
        <w:t xml:space="preserve">. </w:t>
      </w:r>
    </w:p>
    <w:p w:rsidR="00494542" w:rsidRDefault="00494542">
      <w:pPr>
        <w:spacing w:after="200" w:line="276" w:lineRule="auto"/>
        <w:rPr>
          <w:rFonts w:ascii="Times New Roman" w:hAnsi="Times New Roman" w:cs="Times New Roman"/>
        </w:rPr>
      </w:pPr>
      <w:r>
        <w:rPr>
          <w:rFonts w:ascii="Times New Roman" w:hAnsi="Times New Roman" w:cs="Times New Roman"/>
        </w:rPr>
        <w:br w:type="page"/>
      </w:r>
    </w:p>
    <w:p w:rsidR="00494542" w:rsidRDefault="00494542" w:rsidP="00B16A5A">
      <w:pPr>
        <w:spacing w:after="200" w:line="276" w:lineRule="auto"/>
        <w:rPr>
          <w:rFonts w:ascii="Times New Roman" w:hAnsi="Times New Roman" w:cs="Times New Roman"/>
        </w:rPr>
        <w:sectPr w:rsidR="00494542" w:rsidSect="00B16A5A">
          <w:footerReference w:type="default" r:id="rId9"/>
          <w:pgSz w:w="11906" w:h="16838"/>
          <w:pgMar w:top="1417" w:right="1417" w:bottom="1417" w:left="1417" w:header="708" w:footer="708" w:gutter="0"/>
          <w:cols w:space="708"/>
          <w:docGrid w:linePitch="360"/>
        </w:sectPr>
      </w:pPr>
    </w:p>
    <w:p w:rsidR="002E779B" w:rsidRDefault="00750B1D" w:rsidP="00494542">
      <w:pPr>
        <w:spacing w:after="200" w:line="276" w:lineRule="auto"/>
        <w:jc w:val="center"/>
        <w:rPr>
          <w:rFonts w:ascii="Times New Roman" w:hAnsi="Times New Roman" w:cs="Times New Roman"/>
        </w:rPr>
      </w:pPr>
      <w:r>
        <w:rPr>
          <w:rFonts w:ascii="Times New Roman" w:hAnsi="Times New Roman"/>
          <w:noProof/>
          <w:sz w:val="24"/>
          <w:szCs w:val="24"/>
        </w:rPr>
        <w:lastRenderedPageBreak/>
        <w:drawing>
          <wp:inline distT="0" distB="0" distL="0" distR="0">
            <wp:extent cx="2926080" cy="2235623"/>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141" b="6534"/>
                    <a:stretch>
                      <a:fillRect/>
                    </a:stretch>
                  </pic:blipFill>
                  <pic:spPr bwMode="auto">
                    <a:xfrm>
                      <a:off x="0" y="0"/>
                      <a:ext cx="2933178" cy="2241046"/>
                    </a:xfrm>
                    <a:prstGeom prst="rect">
                      <a:avLst/>
                    </a:prstGeom>
                    <a:noFill/>
                    <a:ln>
                      <a:noFill/>
                    </a:ln>
                  </pic:spPr>
                </pic:pic>
              </a:graphicData>
            </a:graphic>
          </wp:inline>
        </w:drawing>
      </w:r>
    </w:p>
    <w:p w:rsidR="00494542" w:rsidRDefault="00750B1D" w:rsidP="00494542">
      <w:pPr>
        <w:spacing w:after="200" w:line="276" w:lineRule="auto"/>
        <w:jc w:val="center"/>
        <w:rPr>
          <w:rFonts w:ascii="Times New Roman" w:hAnsi="Times New Roman" w:cs="Times New Roman"/>
        </w:rPr>
      </w:pPr>
      <w:bookmarkStart w:id="0" w:name="_GoBack"/>
      <w:r>
        <w:rPr>
          <w:rFonts w:ascii="Times New Roman" w:hAnsi="Times New Roman"/>
          <w:noProof/>
          <w:sz w:val="24"/>
          <w:szCs w:val="24"/>
        </w:rPr>
        <w:drawing>
          <wp:inline distT="0" distB="0" distL="0" distR="0">
            <wp:extent cx="3006547" cy="2303097"/>
            <wp:effectExtent l="0" t="0" r="381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l="1274" b="6534"/>
                    <a:stretch>
                      <a:fillRect/>
                    </a:stretch>
                  </pic:blipFill>
                  <pic:spPr bwMode="auto">
                    <a:xfrm>
                      <a:off x="0" y="0"/>
                      <a:ext cx="3025901" cy="2317923"/>
                    </a:xfrm>
                    <a:prstGeom prst="rect">
                      <a:avLst/>
                    </a:prstGeom>
                    <a:noFill/>
                    <a:ln>
                      <a:noFill/>
                    </a:ln>
                  </pic:spPr>
                </pic:pic>
              </a:graphicData>
            </a:graphic>
          </wp:inline>
        </w:drawing>
      </w:r>
      <w:bookmarkEnd w:id="0"/>
    </w:p>
    <w:p w:rsidR="00494542" w:rsidRPr="00682D6F" w:rsidRDefault="00494542" w:rsidP="00494542">
      <w:pPr>
        <w:spacing w:after="0" w:line="240" w:lineRule="auto"/>
        <w:jc w:val="center"/>
        <w:rPr>
          <w:rFonts w:ascii="Times New Roman" w:hAnsi="Times New Roman" w:cs="Times New Roman"/>
          <w:b/>
        </w:rPr>
      </w:pPr>
      <w:proofErr w:type="spellStart"/>
      <w:r w:rsidRPr="00682D6F">
        <w:rPr>
          <w:rFonts w:ascii="Times New Roman" w:hAnsi="Times New Roman" w:cs="Times New Roman"/>
          <w:b/>
        </w:rPr>
        <w:t>eFig</w:t>
      </w:r>
      <w:proofErr w:type="spellEnd"/>
      <w:r w:rsidRPr="00682D6F">
        <w:rPr>
          <w:rFonts w:ascii="Times New Roman" w:hAnsi="Times New Roman" w:cs="Times New Roman"/>
          <w:b/>
        </w:rPr>
        <w:t xml:space="preserve"> 2. Mean blood pressure variability by depression group</w:t>
      </w:r>
    </w:p>
    <w:p w:rsidR="00494542" w:rsidRPr="00682D6F" w:rsidRDefault="00494542" w:rsidP="00494542">
      <w:pPr>
        <w:spacing w:after="0" w:line="240" w:lineRule="auto"/>
        <w:rPr>
          <w:rFonts w:ascii="Times New Roman" w:hAnsi="Times New Roman" w:cs="Times New Roman"/>
        </w:rPr>
      </w:pPr>
      <w:r w:rsidRPr="00682D6F">
        <w:rPr>
          <w:rFonts w:ascii="Times New Roman" w:hAnsi="Times New Roman" w:cs="Times New Roman"/>
        </w:rPr>
        <w:t xml:space="preserve">Box plot graph showing the mean and 95% CI for blood pressure variability. </w:t>
      </w:r>
    </w:p>
    <w:p w:rsidR="00494542" w:rsidRPr="00682D6F" w:rsidRDefault="00494542" w:rsidP="00494542">
      <w:pPr>
        <w:spacing w:after="0" w:line="240" w:lineRule="auto"/>
        <w:rPr>
          <w:rFonts w:ascii="Times New Roman" w:hAnsi="Times New Roman" w:cs="Times New Roman"/>
        </w:rPr>
      </w:pPr>
      <w:r w:rsidRPr="00682D6F">
        <w:rPr>
          <w:rFonts w:ascii="Times New Roman" w:hAnsi="Times New Roman" w:cs="Times New Roman"/>
        </w:rPr>
        <w:t>a. No depression disorder-symptomatic; b. LOD-symptomatic; c. EOD-symptomatic; d. LOD-asymptomatic; e. EOD-asymptomatic; d. No depression disorder-asymptomatic</w:t>
      </w:r>
    </w:p>
    <w:p w:rsidR="00494542" w:rsidRPr="00682D6F" w:rsidRDefault="00494542" w:rsidP="00494542">
      <w:pPr>
        <w:spacing w:after="0" w:line="240" w:lineRule="auto"/>
        <w:rPr>
          <w:rFonts w:ascii="Times New Roman" w:hAnsi="Times New Roman" w:cs="Times New Roman"/>
          <w:i/>
        </w:rPr>
        <w:sectPr w:rsidR="00494542" w:rsidRPr="00682D6F" w:rsidSect="00494542">
          <w:pgSz w:w="11906" w:h="16838"/>
          <w:pgMar w:top="1417" w:right="1417" w:bottom="1417" w:left="1417" w:header="708" w:footer="708" w:gutter="0"/>
          <w:cols w:space="708"/>
          <w:docGrid w:linePitch="360"/>
        </w:sectPr>
      </w:pPr>
      <w:r w:rsidRPr="00682D6F">
        <w:rPr>
          <w:rFonts w:ascii="Times New Roman" w:hAnsi="Times New Roman" w:cs="Times New Roman"/>
          <w:i/>
        </w:rPr>
        <w:t xml:space="preserve">BPV, blood pressure variability; CI, confidence interval; EOD, early onset depression; LOD, late onset depression; </w:t>
      </w:r>
    </w:p>
    <w:p w:rsidR="00567C34" w:rsidRPr="00480E19" w:rsidRDefault="008D3BDA" w:rsidP="001D6427">
      <w:pPr>
        <w:spacing w:after="200" w:line="276" w:lineRule="auto"/>
        <w:jc w:val="center"/>
        <w:rPr>
          <w:rFonts w:ascii="Times New Roman" w:hAnsi="Times New Roman" w:cs="Times New Roman"/>
          <w:b/>
        </w:rPr>
      </w:pPr>
      <w:r w:rsidRPr="00480E19">
        <w:rPr>
          <w:rFonts w:ascii="Times New Roman" w:hAnsi="Times New Roman" w:cs="Times New Roman"/>
          <w:b/>
        </w:rPr>
        <w:lastRenderedPageBreak/>
        <w:t>S</w:t>
      </w:r>
      <w:r w:rsidR="002E779B" w:rsidRPr="00480E19">
        <w:rPr>
          <w:rFonts w:ascii="Times New Roman" w:hAnsi="Times New Roman" w:cs="Times New Roman"/>
          <w:b/>
        </w:rPr>
        <w:t xml:space="preserve">upplement Table </w:t>
      </w:r>
      <w:r w:rsidR="00494542">
        <w:rPr>
          <w:rFonts w:ascii="Times New Roman" w:hAnsi="Times New Roman" w:cs="Times New Roman"/>
          <w:b/>
        </w:rPr>
        <w:t>1</w:t>
      </w:r>
      <w:r w:rsidR="00567C34" w:rsidRPr="00480E19">
        <w:rPr>
          <w:rFonts w:ascii="Times New Roman" w:hAnsi="Times New Roman" w:cs="Times New Roman"/>
          <w:b/>
        </w:rPr>
        <w:t xml:space="preserve">. Association between depression and diastolic blood pressure variability over 10 years (N = </w:t>
      </w:r>
      <w:r w:rsidR="00567C34" w:rsidRPr="00480E19">
        <w:rPr>
          <w:rFonts w:ascii="Times New Roman" w:hAnsi="Times New Roman" w:cs="Times New Roman"/>
          <w:b/>
          <w:bCs/>
        </w:rPr>
        <w:t>2</w:t>
      </w:r>
      <w:r w:rsidR="00335581" w:rsidRPr="00480E19">
        <w:rPr>
          <w:rFonts w:ascii="Times New Roman" w:hAnsi="Times New Roman" w:cs="Times New Roman"/>
          <w:b/>
          <w:bCs/>
        </w:rPr>
        <w:t>812</w:t>
      </w:r>
      <w:r w:rsidR="00567C34" w:rsidRPr="00480E19">
        <w:rPr>
          <w:rFonts w:ascii="Times New Roman" w:hAnsi="Times New Roman" w:cs="Times New Roman"/>
          <w:b/>
        </w:rPr>
        <w:t>)</w:t>
      </w:r>
    </w:p>
    <w:p w:rsidR="00567C34" w:rsidRPr="00480E19" w:rsidRDefault="00567C34" w:rsidP="00567C34">
      <w:pPr>
        <w:spacing w:line="240" w:lineRule="auto"/>
        <w:jc w:val="center"/>
        <w:rPr>
          <w:rFonts w:ascii="Times New Roman" w:hAnsi="Times New Roman" w:cs="Times New Roman"/>
          <w:b/>
        </w:rPr>
      </w:pPr>
    </w:p>
    <w:tbl>
      <w:tblPr>
        <w:tblStyle w:val="PlainTable11"/>
        <w:tblW w:w="13644" w:type="dxa"/>
        <w:jc w:val="center"/>
        <w:tblLayout w:type="fixed"/>
        <w:tblLook w:val="04A0" w:firstRow="1" w:lastRow="0" w:firstColumn="1" w:lastColumn="0" w:noHBand="0" w:noVBand="1"/>
      </w:tblPr>
      <w:tblGrid>
        <w:gridCol w:w="5601"/>
        <w:gridCol w:w="1686"/>
        <w:gridCol w:w="1417"/>
        <w:gridCol w:w="1377"/>
        <w:gridCol w:w="1175"/>
        <w:gridCol w:w="1176"/>
        <w:gridCol w:w="1212"/>
      </w:tblGrid>
      <w:tr w:rsidR="00567C34" w:rsidRPr="00480E19" w:rsidTr="00EF7D4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01" w:type="dxa"/>
            <w:tcBorders>
              <w:top w:val="single" w:sz="4" w:space="0" w:color="auto"/>
              <w:bottom w:val="single" w:sz="4" w:space="0" w:color="auto"/>
            </w:tcBorders>
          </w:tcPr>
          <w:p w:rsidR="00567C34" w:rsidRPr="00480E19" w:rsidRDefault="00567C34" w:rsidP="00D61555">
            <w:pPr>
              <w:spacing w:line="480" w:lineRule="auto"/>
              <w:rPr>
                <w:rFonts w:ascii="Times New Roman" w:hAnsi="Times New Roman" w:cs="Times New Roman"/>
                <w:b w:val="0"/>
              </w:rPr>
            </w:pPr>
          </w:p>
        </w:tc>
        <w:tc>
          <w:tcPr>
            <w:tcW w:w="3103" w:type="dxa"/>
            <w:gridSpan w:val="2"/>
            <w:tcBorders>
              <w:top w:val="single" w:sz="4" w:space="0" w:color="auto"/>
              <w:bottom w:val="single" w:sz="4" w:space="0" w:color="auto"/>
            </w:tcBorders>
            <w:hideMark/>
          </w:tcPr>
          <w:p w:rsidR="00567C34" w:rsidRPr="00480E19" w:rsidRDefault="00567C34" w:rsidP="00D6155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 xml:space="preserve">Step 1 </w:t>
            </w:r>
          </w:p>
          <w:p w:rsidR="00567C34" w:rsidRPr="00480E19" w:rsidRDefault="00567C34" w:rsidP="00D6155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 xml:space="preserve">Age, sex, education and mean systolic BP adjusted </w:t>
            </w:r>
          </w:p>
        </w:tc>
        <w:tc>
          <w:tcPr>
            <w:tcW w:w="1377" w:type="dxa"/>
            <w:tcBorders>
              <w:top w:val="single" w:sz="4" w:space="0" w:color="auto"/>
              <w:bottom w:val="single" w:sz="4" w:space="0" w:color="auto"/>
            </w:tcBorders>
          </w:tcPr>
          <w:p w:rsidR="00567C34" w:rsidRPr="00480E19" w:rsidRDefault="00567C34" w:rsidP="00D6155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2351" w:type="dxa"/>
            <w:gridSpan w:val="2"/>
            <w:tcBorders>
              <w:top w:val="single" w:sz="4" w:space="0" w:color="auto"/>
              <w:bottom w:val="single" w:sz="4" w:space="0" w:color="auto"/>
            </w:tcBorders>
            <w:hideMark/>
          </w:tcPr>
          <w:p w:rsidR="00567C34" w:rsidRPr="00480E19" w:rsidRDefault="00567C34" w:rsidP="00D6155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 xml:space="preserve">Step 2 </w:t>
            </w:r>
          </w:p>
          <w:p w:rsidR="00567C34" w:rsidRPr="00480E19" w:rsidRDefault="00567C34" w:rsidP="00D6155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 xml:space="preserve">+ </w:t>
            </w:r>
            <w:r w:rsidR="008D3BDA" w:rsidRPr="00480E19">
              <w:rPr>
                <w:rFonts w:ascii="Times New Roman" w:hAnsi="Times New Roman" w:cs="Times New Roman"/>
              </w:rPr>
              <w:t xml:space="preserve">additional </w:t>
            </w:r>
            <w:r w:rsidRPr="00480E19">
              <w:rPr>
                <w:rFonts w:ascii="Times New Roman" w:hAnsi="Times New Roman" w:cs="Times New Roman"/>
              </w:rPr>
              <w:t>covariates</w:t>
            </w:r>
          </w:p>
        </w:tc>
        <w:tc>
          <w:tcPr>
            <w:tcW w:w="1212" w:type="dxa"/>
            <w:tcBorders>
              <w:top w:val="single" w:sz="4" w:space="0" w:color="auto"/>
              <w:bottom w:val="single" w:sz="4" w:space="0" w:color="auto"/>
            </w:tcBorders>
          </w:tcPr>
          <w:p w:rsidR="00567C34" w:rsidRPr="00480E19" w:rsidRDefault="00567C34" w:rsidP="00D6155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r>
      <w:tr w:rsidR="00712D74" w:rsidRPr="00480E19" w:rsidTr="00EF7D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01" w:type="dxa"/>
          </w:tcPr>
          <w:p w:rsidR="00712D74" w:rsidRPr="00480E19" w:rsidRDefault="00712D74" w:rsidP="00D61555">
            <w:pPr>
              <w:spacing w:line="480" w:lineRule="auto"/>
              <w:rPr>
                <w:rFonts w:ascii="Times New Roman" w:hAnsi="Times New Roman" w:cs="Times New Roman"/>
              </w:rPr>
            </w:pPr>
            <w:r w:rsidRPr="00480E19">
              <w:rPr>
                <w:rFonts w:ascii="Times New Roman" w:hAnsi="Times New Roman" w:cs="Times New Roman"/>
              </w:rPr>
              <w:t xml:space="preserve">Depression onset </w:t>
            </w:r>
          </w:p>
        </w:tc>
        <w:tc>
          <w:tcPr>
            <w:tcW w:w="1686" w:type="dxa"/>
          </w:tcPr>
          <w:p w:rsidR="00712D74" w:rsidRPr="00E10E5F" w:rsidRDefault="00712D74" w:rsidP="00D61555">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10E5F">
              <w:rPr>
                <w:rFonts w:ascii="Times New Roman" w:hAnsi="Times New Roman" w:cs="Times New Roman"/>
                <w:b/>
              </w:rPr>
              <w:t>β</w:t>
            </w:r>
          </w:p>
        </w:tc>
        <w:tc>
          <w:tcPr>
            <w:tcW w:w="1417" w:type="dxa"/>
          </w:tcPr>
          <w:p w:rsidR="00712D74" w:rsidRPr="00E10E5F" w:rsidRDefault="00712D74" w:rsidP="00D61555">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10E5F">
              <w:rPr>
                <w:rFonts w:ascii="Times New Roman" w:hAnsi="Times New Roman" w:cs="Times New Roman"/>
                <w:b/>
              </w:rPr>
              <w:t>SE</w:t>
            </w:r>
          </w:p>
        </w:tc>
        <w:tc>
          <w:tcPr>
            <w:tcW w:w="1377" w:type="dxa"/>
          </w:tcPr>
          <w:p w:rsidR="00712D74" w:rsidRPr="00E10E5F" w:rsidRDefault="00712D74" w:rsidP="00D61555">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10E5F">
              <w:rPr>
                <w:rFonts w:ascii="Times New Roman" w:hAnsi="Times New Roman" w:cs="Times New Roman"/>
                <w:b/>
              </w:rPr>
              <w:t>P</w:t>
            </w:r>
          </w:p>
        </w:tc>
        <w:tc>
          <w:tcPr>
            <w:tcW w:w="1175" w:type="dxa"/>
          </w:tcPr>
          <w:p w:rsidR="00712D74" w:rsidRPr="00E10E5F" w:rsidRDefault="00712D74" w:rsidP="00D61555">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10E5F">
              <w:rPr>
                <w:rFonts w:ascii="Times New Roman" w:hAnsi="Times New Roman" w:cs="Times New Roman"/>
                <w:b/>
              </w:rPr>
              <w:t>β</w:t>
            </w:r>
          </w:p>
        </w:tc>
        <w:tc>
          <w:tcPr>
            <w:tcW w:w="1176" w:type="dxa"/>
          </w:tcPr>
          <w:p w:rsidR="00712D74" w:rsidRPr="00E10E5F" w:rsidRDefault="00712D74" w:rsidP="00D61555">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10E5F">
              <w:rPr>
                <w:rFonts w:ascii="Times New Roman" w:hAnsi="Times New Roman" w:cs="Times New Roman"/>
                <w:b/>
              </w:rPr>
              <w:t>SE</w:t>
            </w:r>
          </w:p>
        </w:tc>
        <w:tc>
          <w:tcPr>
            <w:tcW w:w="1212" w:type="dxa"/>
          </w:tcPr>
          <w:p w:rsidR="00712D74" w:rsidRPr="00E10E5F" w:rsidRDefault="00712D74" w:rsidP="00D61555">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10E5F">
              <w:rPr>
                <w:rFonts w:ascii="Times New Roman" w:hAnsi="Times New Roman" w:cs="Times New Roman"/>
                <w:b/>
              </w:rPr>
              <w:t>P</w:t>
            </w:r>
          </w:p>
        </w:tc>
      </w:tr>
      <w:tr w:rsidR="00712D74" w:rsidRPr="00480E19" w:rsidTr="00EF7D4B">
        <w:trPr>
          <w:jc w:val="center"/>
        </w:trPr>
        <w:tc>
          <w:tcPr>
            <w:cnfStyle w:val="001000000000" w:firstRow="0" w:lastRow="0" w:firstColumn="1" w:lastColumn="0" w:oddVBand="0" w:evenVBand="0" w:oddHBand="0" w:evenHBand="0" w:firstRowFirstColumn="0" w:firstRowLastColumn="0" w:lastRowFirstColumn="0" w:lastRowLastColumn="0"/>
            <w:tcW w:w="5601" w:type="dxa"/>
          </w:tcPr>
          <w:p w:rsidR="00712D74" w:rsidRPr="00480E19" w:rsidRDefault="00712D74" w:rsidP="00E15066">
            <w:pPr>
              <w:spacing w:line="480" w:lineRule="auto"/>
              <w:rPr>
                <w:rFonts w:ascii="Times New Roman" w:hAnsi="Times New Roman" w:cs="Times New Roman"/>
                <w:b w:val="0"/>
              </w:rPr>
            </w:pPr>
            <w:r w:rsidRPr="00480E19">
              <w:rPr>
                <w:rFonts w:ascii="Times New Roman" w:hAnsi="Times New Roman" w:cs="Times New Roman"/>
                <w:b w:val="0"/>
              </w:rPr>
              <w:t xml:space="preserve">Late onset depression, onset age &gt;60 years </w:t>
            </w:r>
          </w:p>
        </w:tc>
        <w:tc>
          <w:tcPr>
            <w:tcW w:w="1686" w:type="dxa"/>
          </w:tcPr>
          <w:p w:rsidR="00712D74" w:rsidRPr="00480E19" w:rsidRDefault="00712D74" w:rsidP="00E15066">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.01</w:t>
            </w:r>
          </w:p>
        </w:tc>
        <w:tc>
          <w:tcPr>
            <w:tcW w:w="1417" w:type="dxa"/>
          </w:tcPr>
          <w:p w:rsidR="00712D74" w:rsidRPr="00480E19" w:rsidRDefault="00712D74" w:rsidP="00E15066">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.03</w:t>
            </w:r>
          </w:p>
        </w:tc>
        <w:tc>
          <w:tcPr>
            <w:tcW w:w="1377" w:type="dxa"/>
          </w:tcPr>
          <w:p w:rsidR="00712D74" w:rsidRPr="00480E19" w:rsidRDefault="00712D74" w:rsidP="00E15066">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.97</w:t>
            </w:r>
          </w:p>
        </w:tc>
        <w:tc>
          <w:tcPr>
            <w:tcW w:w="1175" w:type="dxa"/>
          </w:tcPr>
          <w:p w:rsidR="00712D74" w:rsidRPr="00480E19" w:rsidRDefault="00712D74" w:rsidP="00E15066">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-.01</w:t>
            </w:r>
          </w:p>
        </w:tc>
        <w:tc>
          <w:tcPr>
            <w:tcW w:w="1176" w:type="dxa"/>
          </w:tcPr>
          <w:p w:rsidR="00712D74" w:rsidRPr="00480E19" w:rsidRDefault="00712D74" w:rsidP="00E15066">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.03</w:t>
            </w:r>
          </w:p>
        </w:tc>
        <w:tc>
          <w:tcPr>
            <w:tcW w:w="1212" w:type="dxa"/>
          </w:tcPr>
          <w:p w:rsidR="00712D74" w:rsidRPr="00480E19" w:rsidRDefault="00712D74" w:rsidP="00E15066">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.99</w:t>
            </w:r>
          </w:p>
        </w:tc>
      </w:tr>
      <w:tr w:rsidR="00712D74" w:rsidRPr="00480E19" w:rsidTr="00EF7D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01" w:type="dxa"/>
          </w:tcPr>
          <w:p w:rsidR="00712D74" w:rsidRPr="00480E19" w:rsidRDefault="00712D74" w:rsidP="00E15066">
            <w:pPr>
              <w:spacing w:line="480" w:lineRule="auto"/>
              <w:rPr>
                <w:rFonts w:ascii="Times New Roman" w:hAnsi="Times New Roman" w:cs="Times New Roman"/>
                <w:b w:val="0"/>
              </w:rPr>
            </w:pPr>
            <w:r w:rsidRPr="00480E19">
              <w:rPr>
                <w:rFonts w:ascii="Times New Roman" w:hAnsi="Times New Roman" w:cs="Times New Roman"/>
                <w:b w:val="0"/>
              </w:rPr>
              <w:t>Early onset depression, onset age &lt;60 years</w:t>
            </w:r>
          </w:p>
        </w:tc>
        <w:tc>
          <w:tcPr>
            <w:tcW w:w="1686" w:type="dxa"/>
          </w:tcPr>
          <w:p w:rsidR="00712D74" w:rsidRPr="00480E19" w:rsidRDefault="00712D74" w:rsidP="00E15066">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.03</w:t>
            </w:r>
          </w:p>
        </w:tc>
        <w:tc>
          <w:tcPr>
            <w:tcW w:w="1417" w:type="dxa"/>
          </w:tcPr>
          <w:p w:rsidR="00712D74" w:rsidRPr="00480E19" w:rsidRDefault="00712D74" w:rsidP="00E15066">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.04</w:t>
            </w:r>
          </w:p>
        </w:tc>
        <w:tc>
          <w:tcPr>
            <w:tcW w:w="1377" w:type="dxa"/>
          </w:tcPr>
          <w:p w:rsidR="00712D74" w:rsidRPr="00480E19" w:rsidRDefault="00712D74" w:rsidP="00E15066">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.57</w:t>
            </w:r>
          </w:p>
        </w:tc>
        <w:tc>
          <w:tcPr>
            <w:tcW w:w="1175" w:type="dxa"/>
          </w:tcPr>
          <w:p w:rsidR="00712D74" w:rsidRPr="00480E19" w:rsidRDefault="00712D74" w:rsidP="00E15066">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.02</w:t>
            </w:r>
          </w:p>
        </w:tc>
        <w:tc>
          <w:tcPr>
            <w:tcW w:w="1176" w:type="dxa"/>
          </w:tcPr>
          <w:p w:rsidR="00712D74" w:rsidRPr="00480E19" w:rsidRDefault="00712D74" w:rsidP="00E15066">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.04</w:t>
            </w:r>
          </w:p>
        </w:tc>
        <w:tc>
          <w:tcPr>
            <w:tcW w:w="1212" w:type="dxa"/>
          </w:tcPr>
          <w:p w:rsidR="00712D74" w:rsidRPr="00480E19" w:rsidRDefault="00712D74" w:rsidP="00E15066">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.72</w:t>
            </w:r>
          </w:p>
        </w:tc>
      </w:tr>
      <w:tr w:rsidR="00712D74" w:rsidRPr="00480E19" w:rsidTr="00EF7D4B">
        <w:trPr>
          <w:jc w:val="center"/>
        </w:trPr>
        <w:tc>
          <w:tcPr>
            <w:cnfStyle w:val="001000000000" w:firstRow="0" w:lastRow="0" w:firstColumn="1" w:lastColumn="0" w:oddVBand="0" w:evenVBand="0" w:oddHBand="0" w:evenHBand="0" w:firstRowFirstColumn="0" w:firstRowLastColumn="0" w:lastRowFirstColumn="0" w:lastRowLastColumn="0"/>
            <w:tcW w:w="5601" w:type="dxa"/>
          </w:tcPr>
          <w:p w:rsidR="00712D74" w:rsidRPr="00480E19" w:rsidRDefault="00712D74" w:rsidP="00E15066">
            <w:pPr>
              <w:spacing w:line="480" w:lineRule="auto"/>
              <w:rPr>
                <w:rFonts w:ascii="Times New Roman" w:hAnsi="Times New Roman" w:cs="Times New Roman"/>
                <w:b w:val="0"/>
              </w:rPr>
            </w:pPr>
            <w:r w:rsidRPr="00480E19">
              <w:rPr>
                <w:rFonts w:ascii="Times New Roman" w:hAnsi="Times New Roman" w:cs="Times New Roman"/>
              </w:rPr>
              <w:t>Symptomatic on CESD; ≥ 2 or more assessments</w:t>
            </w:r>
          </w:p>
        </w:tc>
        <w:tc>
          <w:tcPr>
            <w:tcW w:w="1686" w:type="dxa"/>
          </w:tcPr>
          <w:p w:rsidR="00712D74" w:rsidRPr="00480E19" w:rsidRDefault="00712D74" w:rsidP="00E15066">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p>
        </w:tc>
        <w:tc>
          <w:tcPr>
            <w:tcW w:w="1417" w:type="dxa"/>
          </w:tcPr>
          <w:p w:rsidR="00712D74" w:rsidRPr="00480E19" w:rsidRDefault="00712D74" w:rsidP="00E15066">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p>
        </w:tc>
        <w:tc>
          <w:tcPr>
            <w:tcW w:w="1377" w:type="dxa"/>
          </w:tcPr>
          <w:p w:rsidR="00712D74" w:rsidRPr="00480E19" w:rsidRDefault="00712D74" w:rsidP="00E15066">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p>
        </w:tc>
        <w:tc>
          <w:tcPr>
            <w:tcW w:w="1175" w:type="dxa"/>
          </w:tcPr>
          <w:p w:rsidR="00712D74" w:rsidRPr="00480E19" w:rsidRDefault="00712D74" w:rsidP="00E15066">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6" w:type="dxa"/>
          </w:tcPr>
          <w:p w:rsidR="00712D74" w:rsidRPr="00480E19" w:rsidRDefault="00712D74" w:rsidP="00E15066">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12" w:type="dxa"/>
          </w:tcPr>
          <w:p w:rsidR="00712D74" w:rsidRPr="00480E19" w:rsidRDefault="00712D74" w:rsidP="00E15066">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12D74" w:rsidRPr="00480E19" w:rsidTr="00EF7D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01" w:type="dxa"/>
          </w:tcPr>
          <w:p w:rsidR="00712D74" w:rsidRPr="00480E19" w:rsidRDefault="00712D74" w:rsidP="00E15066">
            <w:pPr>
              <w:spacing w:line="480" w:lineRule="auto"/>
              <w:rPr>
                <w:rFonts w:ascii="Times New Roman" w:hAnsi="Times New Roman" w:cs="Times New Roman"/>
              </w:rPr>
            </w:pPr>
            <w:r w:rsidRPr="00480E19">
              <w:rPr>
                <w:rFonts w:ascii="Times New Roman" w:hAnsi="Times New Roman" w:cs="Times New Roman"/>
                <w:b w:val="0"/>
              </w:rPr>
              <w:t>Late onset depression, onset age &gt;60 years</w:t>
            </w:r>
          </w:p>
        </w:tc>
        <w:tc>
          <w:tcPr>
            <w:tcW w:w="1686" w:type="dxa"/>
          </w:tcPr>
          <w:p w:rsidR="00712D74" w:rsidRPr="00480E19" w:rsidRDefault="00712D74" w:rsidP="00E15066">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.01</w:t>
            </w:r>
          </w:p>
        </w:tc>
        <w:tc>
          <w:tcPr>
            <w:tcW w:w="1417" w:type="dxa"/>
          </w:tcPr>
          <w:p w:rsidR="00712D74" w:rsidRPr="00480E19" w:rsidRDefault="00712D74" w:rsidP="00E15066">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.06</w:t>
            </w:r>
          </w:p>
        </w:tc>
        <w:tc>
          <w:tcPr>
            <w:tcW w:w="1377" w:type="dxa"/>
          </w:tcPr>
          <w:p w:rsidR="00712D74" w:rsidRPr="00480E19" w:rsidRDefault="00712D74" w:rsidP="00E15066">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.88</w:t>
            </w:r>
          </w:p>
        </w:tc>
        <w:tc>
          <w:tcPr>
            <w:tcW w:w="1175" w:type="dxa"/>
          </w:tcPr>
          <w:p w:rsidR="00712D74" w:rsidRPr="00480E19" w:rsidRDefault="00712D74" w:rsidP="00E15066">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.02</w:t>
            </w:r>
          </w:p>
        </w:tc>
        <w:tc>
          <w:tcPr>
            <w:tcW w:w="1176" w:type="dxa"/>
          </w:tcPr>
          <w:p w:rsidR="00712D74" w:rsidRPr="00480E19" w:rsidRDefault="00712D74" w:rsidP="00E15066">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.06</w:t>
            </w:r>
          </w:p>
        </w:tc>
        <w:tc>
          <w:tcPr>
            <w:tcW w:w="1212" w:type="dxa"/>
          </w:tcPr>
          <w:p w:rsidR="00712D74" w:rsidRPr="00480E19" w:rsidRDefault="00712D74" w:rsidP="00E15066">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.73</w:t>
            </w:r>
          </w:p>
        </w:tc>
      </w:tr>
      <w:tr w:rsidR="00712D74" w:rsidRPr="00480E19" w:rsidTr="00EF7D4B">
        <w:trPr>
          <w:jc w:val="center"/>
        </w:trPr>
        <w:tc>
          <w:tcPr>
            <w:cnfStyle w:val="001000000000" w:firstRow="0" w:lastRow="0" w:firstColumn="1" w:lastColumn="0" w:oddVBand="0" w:evenVBand="0" w:oddHBand="0" w:evenHBand="0" w:firstRowFirstColumn="0" w:firstRowLastColumn="0" w:lastRowFirstColumn="0" w:lastRowLastColumn="0"/>
            <w:tcW w:w="5601" w:type="dxa"/>
          </w:tcPr>
          <w:p w:rsidR="00712D74" w:rsidRPr="00480E19" w:rsidRDefault="00712D74" w:rsidP="00E15066">
            <w:pPr>
              <w:spacing w:line="480" w:lineRule="auto"/>
              <w:rPr>
                <w:rFonts w:ascii="Times New Roman" w:hAnsi="Times New Roman" w:cs="Times New Roman"/>
              </w:rPr>
            </w:pPr>
            <w:r w:rsidRPr="00480E19">
              <w:rPr>
                <w:rFonts w:ascii="Times New Roman" w:hAnsi="Times New Roman" w:cs="Times New Roman"/>
                <w:b w:val="0"/>
              </w:rPr>
              <w:t>Early onset depression, onset age &lt;60 years</w:t>
            </w:r>
          </w:p>
        </w:tc>
        <w:tc>
          <w:tcPr>
            <w:tcW w:w="1686" w:type="dxa"/>
          </w:tcPr>
          <w:p w:rsidR="00712D74" w:rsidRPr="00480E19" w:rsidRDefault="00712D74" w:rsidP="00E15066">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.08</w:t>
            </w:r>
          </w:p>
        </w:tc>
        <w:tc>
          <w:tcPr>
            <w:tcW w:w="1417" w:type="dxa"/>
          </w:tcPr>
          <w:p w:rsidR="00712D74" w:rsidRPr="00480E19" w:rsidRDefault="00712D74" w:rsidP="00E15066">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.08</w:t>
            </w:r>
          </w:p>
        </w:tc>
        <w:tc>
          <w:tcPr>
            <w:tcW w:w="1377" w:type="dxa"/>
          </w:tcPr>
          <w:p w:rsidR="00712D74" w:rsidRPr="00480E19" w:rsidRDefault="00712D74" w:rsidP="00E15066">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.28</w:t>
            </w:r>
          </w:p>
        </w:tc>
        <w:tc>
          <w:tcPr>
            <w:tcW w:w="1175" w:type="dxa"/>
          </w:tcPr>
          <w:p w:rsidR="00712D74" w:rsidRPr="00480E19" w:rsidRDefault="00712D74" w:rsidP="00E15066">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.06</w:t>
            </w:r>
          </w:p>
        </w:tc>
        <w:tc>
          <w:tcPr>
            <w:tcW w:w="1176" w:type="dxa"/>
          </w:tcPr>
          <w:p w:rsidR="00712D74" w:rsidRPr="00480E19" w:rsidRDefault="00712D74" w:rsidP="00E15066">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.08</w:t>
            </w:r>
          </w:p>
        </w:tc>
        <w:tc>
          <w:tcPr>
            <w:tcW w:w="1212" w:type="dxa"/>
          </w:tcPr>
          <w:p w:rsidR="00712D74" w:rsidRPr="00480E19" w:rsidRDefault="00712D74" w:rsidP="00E15066">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.45</w:t>
            </w:r>
          </w:p>
        </w:tc>
      </w:tr>
      <w:tr w:rsidR="00712D74" w:rsidRPr="00480E19" w:rsidTr="00EF7D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01" w:type="dxa"/>
          </w:tcPr>
          <w:p w:rsidR="00712D74" w:rsidRPr="00480E19" w:rsidRDefault="00712D74" w:rsidP="00E15066">
            <w:pPr>
              <w:spacing w:line="480" w:lineRule="auto"/>
              <w:rPr>
                <w:rFonts w:ascii="Times New Roman" w:hAnsi="Times New Roman" w:cs="Times New Roman"/>
                <w:b w:val="0"/>
              </w:rPr>
            </w:pPr>
            <w:r w:rsidRPr="00480E19">
              <w:rPr>
                <w:rFonts w:ascii="Times New Roman" w:hAnsi="Times New Roman" w:cs="Times New Roman"/>
                <w:b w:val="0"/>
              </w:rPr>
              <w:t xml:space="preserve">No depression disorder </w:t>
            </w:r>
          </w:p>
        </w:tc>
        <w:tc>
          <w:tcPr>
            <w:tcW w:w="1686" w:type="dxa"/>
          </w:tcPr>
          <w:p w:rsidR="00712D74" w:rsidRPr="00480E19" w:rsidRDefault="00712D74" w:rsidP="00E15066">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-.01</w:t>
            </w:r>
          </w:p>
        </w:tc>
        <w:tc>
          <w:tcPr>
            <w:tcW w:w="1417" w:type="dxa"/>
          </w:tcPr>
          <w:p w:rsidR="00712D74" w:rsidRPr="00480E19" w:rsidRDefault="00712D74" w:rsidP="00E15066">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.04</w:t>
            </w:r>
          </w:p>
        </w:tc>
        <w:tc>
          <w:tcPr>
            <w:tcW w:w="1377" w:type="dxa"/>
          </w:tcPr>
          <w:p w:rsidR="00712D74" w:rsidRPr="00480E19" w:rsidRDefault="00712D74" w:rsidP="00E15066">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.93</w:t>
            </w:r>
          </w:p>
        </w:tc>
        <w:tc>
          <w:tcPr>
            <w:tcW w:w="1175" w:type="dxa"/>
          </w:tcPr>
          <w:p w:rsidR="00712D74" w:rsidRPr="00480E19" w:rsidRDefault="00712D74" w:rsidP="00E15066">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.02</w:t>
            </w:r>
          </w:p>
        </w:tc>
        <w:tc>
          <w:tcPr>
            <w:tcW w:w="1176" w:type="dxa"/>
          </w:tcPr>
          <w:p w:rsidR="00712D74" w:rsidRPr="00480E19" w:rsidRDefault="00712D74" w:rsidP="00E15066">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.04</w:t>
            </w:r>
          </w:p>
        </w:tc>
        <w:tc>
          <w:tcPr>
            <w:tcW w:w="1212" w:type="dxa"/>
          </w:tcPr>
          <w:p w:rsidR="00712D74" w:rsidRPr="00480E19" w:rsidRDefault="00712D74" w:rsidP="00E15066">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.54</w:t>
            </w:r>
          </w:p>
        </w:tc>
      </w:tr>
      <w:tr w:rsidR="00712D74" w:rsidRPr="00480E19" w:rsidTr="00EF7D4B">
        <w:trPr>
          <w:jc w:val="center"/>
        </w:trPr>
        <w:tc>
          <w:tcPr>
            <w:cnfStyle w:val="001000000000" w:firstRow="0" w:lastRow="0" w:firstColumn="1" w:lastColumn="0" w:oddVBand="0" w:evenVBand="0" w:oddHBand="0" w:evenHBand="0" w:firstRowFirstColumn="0" w:firstRowLastColumn="0" w:lastRowFirstColumn="0" w:lastRowLastColumn="0"/>
            <w:tcW w:w="5601" w:type="dxa"/>
          </w:tcPr>
          <w:p w:rsidR="00712D74" w:rsidRPr="00480E19" w:rsidRDefault="00712D74" w:rsidP="00E15066">
            <w:pPr>
              <w:spacing w:line="480" w:lineRule="auto"/>
              <w:rPr>
                <w:rFonts w:ascii="Times New Roman" w:hAnsi="Times New Roman" w:cs="Times New Roman"/>
                <w:b w:val="0"/>
              </w:rPr>
            </w:pPr>
            <w:r w:rsidRPr="00480E19">
              <w:rPr>
                <w:rFonts w:ascii="Times New Roman" w:hAnsi="Times New Roman" w:cs="Times New Roman"/>
              </w:rPr>
              <w:t>Asymptomatic on CESD; ≤ 1 or less assessments</w:t>
            </w:r>
          </w:p>
        </w:tc>
        <w:tc>
          <w:tcPr>
            <w:tcW w:w="1686" w:type="dxa"/>
          </w:tcPr>
          <w:p w:rsidR="00712D74" w:rsidRPr="00480E19" w:rsidRDefault="00712D74" w:rsidP="00E15066">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p>
        </w:tc>
        <w:tc>
          <w:tcPr>
            <w:tcW w:w="1417" w:type="dxa"/>
          </w:tcPr>
          <w:p w:rsidR="00712D74" w:rsidRPr="00480E19" w:rsidRDefault="00712D74" w:rsidP="00E15066">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p>
        </w:tc>
        <w:tc>
          <w:tcPr>
            <w:tcW w:w="1377" w:type="dxa"/>
          </w:tcPr>
          <w:p w:rsidR="00712D74" w:rsidRPr="00480E19" w:rsidRDefault="00712D74" w:rsidP="00E15066">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p>
        </w:tc>
        <w:tc>
          <w:tcPr>
            <w:tcW w:w="1175" w:type="dxa"/>
          </w:tcPr>
          <w:p w:rsidR="00712D74" w:rsidRPr="00480E19" w:rsidRDefault="00712D74" w:rsidP="00E15066">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6" w:type="dxa"/>
          </w:tcPr>
          <w:p w:rsidR="00712D74" w:rsidRPr="00480E19" w:rsidRDefault="00712D74" w:rsidP="00E15066">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12" w:type="dxa"/>
          </w:tcPr>
          <w:p w:rsidR="00712D74" w:rsidRPr="00480E19" w:rsidRDefault="00712D74" w:rsidP="00E15066">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12D74" w:rsidRPr="00480E19" w:rsidTr="00EF7D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01" w:type="dxa"/>
          </w:tcPr>
          <w:p w:rsidR="00712D74" w:rsidRPr="00480E19" w:rsidRDefault="00712D74" w:rsidP="00E15066">
            <w:pPr>
              <w:spacing w:line="480" w:lineRule="auto"/>
              <w:rPr>
                <w:rFonts w:ascii="Times New Roman" w:hAnsi="Times New Roman" w:cs="Times New Roman"/>
              </w:rPr>
            </w:pPr>
            <w:r w:rsidRPr="00480E19">
              <w:rPr>
                <w:rFonts w:ascii="Times New Roman" w:hAnsi="Times New Roman" w:cs="Times New Roman"/>
                <w:b w:val="0"/>
              </w:rPr>
              <w:t>Late onset depression, onset age &gt;60 years</w:t>
            </w:r>
          </w:p>
        </w:tc>
        <w:tc>
          <w:tcPr>
            <w:tcW w:w="1686" w:type="dxa"/>
          </w:tcPr>
          <w:p w:rsidR="00712D74" w:rsidRPr="00480E19" w:rsidRDefault="00712D74" w:rsidP="00E15066">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-.01</w:t>
            </w:r>
          </w:p>
        </w:tc>
        <w:tc>
          <w:tcPr>
            <w:tcW w:w="1417" w:type="dxa"/>
          </w:tcPr>
          <w:p w:rsidR="00712D74" w:rsidRPr="00480E19" w:rsidRDefault="00712D74" w:rsidP="00E15066">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.05</w:t>
            </w:r>
          </w:p>
        </w:tc>
        <w:tc>
          <w:tcPr>
            <w:tcW w:w="1377" w:type="dxa"/>
          </w:tcPr>
          <w:p w:rsidR="00712D74" w:rsidRPr="00480E19" w:rsidRDefault="00712D74" w:rsidP="00E15066">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.87</w:t>
            </w:r>
          </w:p>
        </w:tc>
        <w:tc>
          <w:tcPr>
            <w:tcW w:w="1175" w:type="dxa"/>
          </w:tcPr>
          <w:p w:rsidR="00712D74" w:rsidRPr="00480E19" w:rsidRDefault="00712D74" w:rsidP="00E15066">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.02</w:t>
            </w:r>
          </w:p>
        </w:tc>
        <w:tc>
          <w:tcPr>
            <w:tcW w:w="1176" w:type="dxa"/>
          </w:tcPr>
          <w:p w:rsidR="00712D74" w:rsidRPr="00480E19" w:rsidRDefault="00712D74" w:rsidP="00E15066">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.05</w:t>
            </w:r>
          </w:p>
        </w:tc>
        <w:tc>
          <w:tcPr>
            <w:tcW w:w="1212" w:type="dxa"/>
          </w:tcPr>
          <w:p w:rsidR="00712D74" w:rsidRPr="00480E19" w:rsidRDefault="00712D74" w:rsidP="00E15066">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.70</w:t>
            </w:r>
          </w:p>
        </w:tc>
      </w:tr>
      <w:tr w:rsidR="00712D74" w:rsidRPr="00480E19" w:rsidTr="00EF7D4B">
        <w:trPr>
          <w:jc w:val="center"/>
        </w:trPr>
        <w:tc>
          <w:tcPr>
            <w:cnfStyle w:val="001000000000" w:firstRow="0" w:lastRow="0" w:firstColumn="1" w:lastColumn="0" w:oddVBand="0" w:evenVBand="0" w:oddHBand="0" w:evenHBand="0" w:firstRowFirstColumn="0" w:firstRowLastColumn="0" w:lastRowFirstColumn="0" w:lastRowLastColumn="0"/>
            <w:tcW w:w="5601" w:type="dxa"/>
          </w:tcPr>
          <w:p w:rsidR="00712D74" w:rsidRPr="00480E19" w:rsidRDefault="00712D74" w:rsidP="00E15066">
            <w:pPr>
              <w:spacing w:line="480" w:lineRule="auto"/>
              <w:rPr>
                <w:rFonts w:ascii="Times New Roman" w:hAnsi="Times New Roman" w:cs="Times New Roman"/>
              </w:rPr>
            </w:pPr>
            <w:r w:rsidRPr="00480E19">
              <w:rPr>
                <w:rFonts w:ascii="Times New Roman" w:hAnsi="Times New Roman" w:cs="Times New Roman"/>
                <w:b w:val="0"/>
              </w:rPr>
              <w:lastRenderedPageBreak/>
              <w:t>Early onset depression, onset age &lt;60 years</w:t>
            </w:r>
          </w:p>
        </w:tc>
        <w:tc>
          <w:tcPr>
            <w:tcW w:w="1686" w:type="dxa"/>
          </w:tcPr>
          <w:p w:rsidR="00712D74" w:rsidRPr="00480E19" w:rsidRDefault="00712D74" w:rsidP="00E15066">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-.02</w:t>
            </w:r>
          </w:p>
        </w:tc>
        <w:tc>
          <w:tcPr>
            <w:tcW w:w="1417" w:type="dxa"/>
          </w:tcPr>
          <w:p w:rsidR="00712D74" w:rsidRPr="00480E19" w:rsidRDefault="00712D74" w:rsidP="00E15066">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.07</w:t>
            </w:r>
          </w:p>
        </w:tc>
        <w:tc>
          <w:tcPr>
            <w:tcW w:w="1377" w:type="dxa"/>
          </w:tcPr>
          <w:p w:rsidR="00712D74" w:rsidRPr="00480E19" w:rsidRDefault="00712D74" w:rsidP="00E15066">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.78</w:t>
            </w:r>
          </w:p>
        </w:tc>
        <w:tc>
          <w:tcPr>
            <w:tcW w:w="1175" w:type="dxa"/>
          </w:tcPr>
          <w:p w:rsidR="00712D74" w:rsidRPr="00480E19" w:rsidRDefault="00712D74" w:rsidP="00E15066">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.06</w:t>
            </w:r>
          </w:p>
        </w:tc>
        <w:tc>
          <w:tcPr>
            <w:tcW w:w="1176" w:type="dxa"/>
          </w:tcPr>
          <w:p w:rsidR="00712D74" w:rsidRPr="00480E19" w:rsidRDefault="00712D74" w:rsidP="00E15066">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.08</w:t>
            </w:r>
          </w:p>
        </w:tc>
        <w:tc>
          <w:tcPr>
            <w:tcW w:w="1212" w:type="dxa"/>
          </w:tcPr>
          <w:p w:rsidR="00712D74" w:rsidRPr="00480E19" w:rsidRDefault="00712D74" w:rsidP="00E15066">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.45</w:t>
            </w:r>
          </w:p>
        </w:tc>
      </w:tr>
      <w:tr w:rsidR="00712D74" w:rsidRPr="00480E19" w:rsidTr="00EF7D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01" w:type="dxa"/>
          </w:tcPr>
          <w:p w:rsidR="00712D74" w:rsidRPr="00480E19" w:rsidRDefault="00712D74" w:rsidP="00E15066">
            <w:pPr>
              <w:spacing w:line="480" w:lineRule="auto"/>
              <w:rPr>
                <w:rFonts w:ascii="Times New Roman" w:hAnsi="Times New Roman" w:cs="Times New Roman"/>
                <w:b w:val="0"/>
              </w:rPr>
            </w:pPr>
            <w:r w:rsidRPr="00480E19">
              <w:rPr>
                <w:rFonts w:ascii="Times New Roman" w:hAnsi="Times New Roman" w:cs="Times New Roman"/>
                <w:b w:val="0"/>
              </w:rPr>
              <w:t xml:space="preserve">No depression </w:t>
            </w:r>
          </w:p>
        </w:tc>
        <w:tc>
          <w:tcPr>
            <w:tcW w:w="1686" w:type="dxa"/>
          </w:tcPr>
          <w:p w:rsidR="00712D74" w:rsidRPr="00480E19" w:rsidRDefault="00712D74" w:rsidP="00E150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Reference</w:t>
            </w:r>
          </w:p>
        </w:tc>
        <w:tc>
          <w:tcPr>
            <w:tcW w:w="1417" w:type="dxa"/>
          </w:tcPr>
          <w:p w:rsidR="00712D74" w:rsidRPr="00480E19" w:rsidRDefault="00712D74" w:rsidP="00E150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w:t>
            </w:r>
          </w:p>
        </w:tc>
        <w:tc>
          <w:tcPr>
            <w:tcW w:w="1377" w:type="dxa"/>
          </w:tcPr>
          <w:p w:rsidR="00712D74" w:rsidRPr="00480E19" w:rsidRDefault="00712D74" w:rsidP="00E15066">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480E19">
              <w:rPr>
                <w:rFonts w:ascii="Times New Roman" w:hAnsi="Times New Roman" w:cs="Times New Roman"/>
                <w:color w:val="000000"/>
              </w:rPr>
              <w:t>-</w:t>
            </w:r>
          </w:p>
        </w:tc>
        <w:tc>
          <w:tcPr>
            <w:tcW w:w="1175" w:type="dxa"/>
          </w:tcPr>
          <w:p w:rsidR="00712D74" w:rsidRPr="00480E19" w:rsidRDefault="00712D74" w:rsidP="00E150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Reference</w:t>
            </w:r>
          </w:p>
        </w:tc>
        <w:tc>
          <w:tcPr>
            <w:tcW w:w="1176" w:type="dxa"/>
          </w:tcPr>
          <w:p w:rsidR="00712D74" w:rsidRPr="00480E19" w:rsidRDefault="00712D74" w:rsidP="00E150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w:t>
            </w:r>
          </w:p>
        </w:tc>
        <w:tc>
          <w:tcPr>
            <w:tcW w:w="1212" w:type="dxa"/>
          </w:tcPr>
          <w:p w:rsidR="00712D74" w:rsidRPr="00480E19" w:rsidRDefault="00712D74" w:rsidP="00E15066">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480E19">
              <w:rPr>
                <w:rFonts w:ascii="Times New Roman" w:hAnsi="Times New Roman" w:cs="Times New Roman"/>
                <w:color w:val="000000"/>
              </w:rPr>
              <w:t>-</w:t>
            </w:r>
          </w:p>
        </w:tc>
      </w:tr>
    </w:tbl>
    <w:p w:rsidR="00567C34" w:rsidRPr="00480E19" w:rsidRDefault="00567C34" w:rsidP="00480E19">
      <w:pPr>
        <w:tabs>
          <w:tab w:val="left" w:pos="2540"/>
        </w:tabs>
        <w:spacing w:after="0" w:line="240" w:lineRule="auto"/>
        <w:rPr>
          <w:rFonts w:ascii="Times New Roman" w:hAnsi="Times New Roman" w:cs="Times New Roman"/>
          <w:i/>
        </w:rPr>
      </w:pPr>
      <w:r w:rsidRPr="00480E19">
        <w:rPr>
          <w:rFonts w:ascii="Times New Roman" w:hAnsi="Times New Roman" w:cs="Times New Roman"/>
          <w:i/>
        </w:rPr>
        <w:t xml:space="preserve">Any depression at baseline = current major depression or dysthymia </w:t>
      </w:r>
    </w:p>
    <w:p w:rsidR="00567C34" w:rsidRPr="00480E19" w:rsidRDefault="00567C34" w:rsidP="00480E19">
      <w:pPr>
        <w:tabs>
          <w:tab w:val="left" w:pos="2540"/>
        </w:tabs>
        <w:spacing w:after="0" w:line="240" w:lineRule="auto"/>
        <w:rPr>
          <w:rFonts w:ascii="Times New Roman" w:hAnsi="Times New Roman" w:cs="Times New Roman"/>
          <w:i/>
        </w:rPr>
      </w:pPr>
      <w:r w:rsidRPr="00480E19">
        <w:rPr>
          <w:rFonts w:ascii="Times New Roman" w:hAnsi="Times New Roman" w:cs="Times New Roman"/>
          <w:i/>
        </w:rPr>
        <w:t xml:space="preserve">BP, blood pressure; </w:t>
      </w:r>
    </w:p>
    <w:p w:rsidR="00567C34" w:rsidRPr="00480E19" w:rsidRDefault="00567C34" w:rsidP="00480E19">
      <w:pPr>
        <w:spacing w:after="0" w:line="240" w:lineRule="auto"/>
        <w:rPr>
          <w:rFonts w:ascii="Times New Roman" w:hAnsi="Times New Roman" w:cs="Times New Roman"/>
          <w:i/>
        </w:rPr>
      </w:pPr>
      <w:r w:rsidRPr="00480E19">
        <w:rPr>
          <w:rFonts w:ascii="Times New Roman" w:hAnsi="Times New Roman" w:cs="Times New Roman"/>
          <w:i/>
        </w:rPr>
        <w:t>Step 1 adjusted for age, sex, education and mean systolic blood pressure</w:t>
      </w:r>
    </w:p>
    <w:p w:rsidR="0035523C" w:rsidRPr="00480E19" w:rsidRDefault="00567C34" w:rsidP="00480E19">
      <w:pPr>
        <w:pStyle w:val="ListParagraph"/>
        <w:spacing w:after="0" w:line="240" w:lineRule="auto"/>
        <w:ind w:left="0"/>
        <w:rPr>
          <w:rFonts w:ascii="Times New Roman" w:hAnsi="Times New Roman" w:cs="Times New Roman"/>
          <w:i/>
        </w:rPr>
      </w:pPr>
      <w:r w:rsidRPr="00480E19">
        <w:rPr>
          <w:rFonts w:ascii="Times New Roman" w:hAnsi="Times New Roman" w:cs="Times New Roman"/>
          <w:i/>
        </w:rPr>
        <w:t xml:space="preserve">Step 2 additionally adjusted for </w:t>
      </w:r>
      <w:r w:rsidR="0035523C" w:rsidRPr="00480E19">
        <w:rPr>
          <w:rFonts w:ascii="Times New Roman" w:hAnsi="Times New Roman" w:cs="Times New Roman"/>
          <w:bCs/>
          <w:i/>
        </w:rPr>
        <w:t xml:space="preserve">antihypertensive drug use for hypertension, </w:t>
      </w:r>
      <w:r w:rsidR="001844DD" w:rsidRPr="00480E19">
        <w:rPr>
          <w:rFonts w:ascii="Times New Roman" w:hAnsi="Times New Roman" w:cs="Times New Roman"/>
          <w:bCs/>
          <w:i/>
        </w:rPr>
        <w:t>coronary heart disease</w:t>
      </w:r>
      <w:r w:rsidR="0035523C" w:rsidRPr="00480E19">
        <w:rPr>
          <w:rFonts w:ascii="Times New Roman" w:hAnsi="Times New Roman" w:cs="Times New Roman"/>
          <w:bCs/>
          <w:i/>
        </w:rPr>
        <w:t xml:space="preserve">, stroke, arrhythmia, </w:t>
      </w:r>
      <w:r w:rsidR="001844DD" w:rsidRPr="00480E19">
        <w:rPr>
          <w:rFonts w:ascii="Times New Roman" w:hAnsi="Times New Roman" w:cs="Times New Roman"/>
          <w:bCs/>
          <w:i/>
        </w:rPr>
        <w:t xml:space="preserve">chronic kidney disease, </w:t>
      </w:r>
      <w:r w:rsidR="0035523C" w:rsidRPr="00480E19">
        <w:rPr>
          <w:rFonts w:ascii="Times New Roman" w:hAnsi="Times New Roman" w:cs="Times New Roman"/>
          <w:bCs/>
          <w:i/>
        </w:rPr>
        <w:t xml:space="preserve">diabetes, </w:t>
      </w:r>
      <w:r w:rsidR="001844DD" w:rsidRPr="00480E19">
        <w:rPr>
          <w:rFonts w:ascii="Times New Roman" w:hAnsi="Times New Roman" w:cs="Times New Roman"/>
          <w:bCs/>
          <w:i/>
        </w:rPr>
        <w:t xml:space="preserve">body mass index, </w:t>
      </w:r>
      <w:r w:rsidR="0035523C" w:rsidRPr="00480E19">
        <w:rPr>
          <w:rFonts w:ascii="Times New Roman" w:hAnsi="Times New Roman" w:cs="Times New Roman"/>
          <w:i/>
        </w:rPr>
        <w:t xml:space="preserve">hypercholesterolemia, smoking status, alcohol intake, coffee consumption, </w:t>
      </w:r>
      <w:r w:rsidR="001844DD" w:rsidRPr="00480E19">
        <w:rPr>
          <w:rFonts w:ascii="Times New Roman" w:hAnsi="Times New Roman" w:cs="Times New Roman"/>
          <w:i/>
        </w:rPr>
        <w:t>apolipoprotein E ε4 allele</w:t>
      </w:r>
      <w:r w:rsidR="0035523C" w:rsidRPr="00480E19">
        <w:rPr>
          <w:rFonts w:ascii="Times New Roman" w:hAnsi="Times New Roman" w:cs="Times New Roman"/>
          <w:i/>
        </w:rPr>
        <w:t>, cancer, and psychotropic drugs.</w:t>
      </w:r>
    </w:p>
    <w:p w:rsidR="00567C34" w:rsidRPr="00480E19" w:rsidRDefault="00567C34" w:rsidP="00567C34">
      <w:pPr>
        <w:spacing w:after="0" w:line="480" w:lineRule="auto"/>
        <w:rPr>
          <w:rFonts w:ascii="Times New Roman" w:hAnsi="Times New Roman" w:cs="Times New Roman"/>
          <w:i/>
        </w:rPr>
      </w:pPr>
    </w:p>
    <w:p w:rsidR="00494542" w:rsidRDefault="00494542">
      <w:pPr>
        <w:spacing w:after="200" w:line="276" w:lineRule="auto"/>
        <w:rPr>
          <w:rFonts w:ascii="Times New Roman" w:hAnsi="Times New Roman" w:cs="Times New Roman"/>
        </w:rPr>
      </w:pPr>
      <w:r>
        <w:rPr>
          <w:rFonts w:ascii="Times New Roman" w:hAnsi="Times New Roman" w:cs="Times New Roman"/>
        </w:rPr>
        <w:br w:type="page"/>
      </w:r>
    </w:p>
    <w:p w:rsidR="00494542" w:rsidRDefault="00494542">
      <w:pPr>
        <w:spacing w:after="200" w:line="276" w:lineRule="auto"/>
        <w:rPr>
          <w:rFonts w:ascii="Times New Roman" w:hAnsi="Times New Roman" w:cs="Times New Roman"/>
        </w:rPr>
        <w:sectPr w:rsidR="00494542" w:rsidSect="00DC4395">
          <w:pgSz w:w="16838" w:h="11906" w:orient="landscape"/>
          <w:pgMar w:top="1417" w:right="1417" w:bottom="1417" w:left="1417" w:header="708" w:footer="708" w:gutter="0"/>
          <w:cols w:space="708"/>
          <w:docGrid w:linePitch="360"/>
        </w:sectPr>
      </w:pPr>
    </w:p>
    <w:p w:rsidR="00494542" w:rsidRPr="00682D6F" w:rsidRDefault="00494542" w:rsidP="00494542">
      <w:pPr>
        <w:spacing w:after="200" w:line="276" w:lineRule="auto"/>
        <w:jc w:val="center"/>
        <w:rPr>
          <w:rFonts w:ascii="Times New Roman" w:hAnsi="Times New Roman" w:cs="Times New Roman"/>
          <w:b/>
        </w:rPr>
      </w:pPr>
      <w:r w:rsidRPr="00682D6F">
        <w:rPr>
          <w:rFonts w:ascii="Times New Roman" w:hAnsi="Times New Roman" w:cs="Times New Roman"/>
          <w:b/>
        </w:rPr>
        <w:lastRenderedPageBreak/>
        <w:t xml:space="preserve">Supplement Table 2. Raw cognitive test scores at baseline in the depression groups (N = </w:t>
      </w:r>
      <w:r w:rsidRPr="00682D6F">
        <w:rPr>
          <w:rFonts w:ascii="Times New Roman" w:hAnsi="Times New Roman" w:cs="Times New Roman"/>
          <w:b/>
          <w:bCs/>
        </w:rPr>
        <w:t>2812</w:t>
      </w:r>
      <w:r w:rsidRPr="00682D6F">
        <w:rPr>
          <w:rFonts w:ascii="Times New Roman" w:hAnsi="Times New Roman" w:cs="Times New Roman"/>
          <w:b/>
        </w:rPr>
        <w:t>)</w:t>
      </w:r>
    </w:p>
    <w:tbl>
      <w:tblPr>
        <w:tblStyle w:val="PlainTable11"/>
        <w:tblW w:w="0" w:type="auto"/>
        <w:tblLook w:val="04A0" w:firstRow="1" w:lastRow="0" w:firstColumn="1" w:lastColumn="0" w:noHBand="0" w:noVBand="1"/>
      </w:tblPr>
      <w:tblGrid>
        <w:gridCol w:w="2317"/>
        <w:gridCol w:w="2041"/>
        <w:gridCol w:w="1843"/>
        <w:gridCol w:w="1983"/>
        <w:gridCol w:w="2125"/>
        <w:gridCol w:w="1842"/>
        <w:gridCol w:w="1843"/>
      </w:tblGrid>
      <w:tr w:rsidR="00682D6F" w:rsidRPr="00682D6F" w:rsidTr="00D615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tcBorders>
              <w:top w:val="single" w:sz="4" w:space="0" w:color="auto"/>
            </w:tcBorders>
          </w:tcPr>
          <w:p w:rsidR="00494542" w:rsidRPr="00682D6F" w:rsidRDefault="00494542" w:rsidP="00D61555">
            <w:pPr>
              <w:spacing w:line="480" w:lineRule="auto"/>
              <w:jc w:val="center"/>
              <w:rPr>
                <w:rFonts w:ascii="Times New Roman" w:hAnsi="Times New Roman" w:cs="Times New Roman"/>
              </w:rPr>
            </w:pPr>
          </w:p>
        </w:tc>
        <w:tc>
          <w:tcPr>
            <w:tcW w:w="3885" w:type="dxa"/>
            <w:gridSpan w:val="2"/>
            <w:tcBorders>
              <w:top w:val="single" w:sz="4" w:space="0" w:color="auto"/>
            </w:tcBorders>
          </w:tcPr>
          <w:p w:rsidR="00494542" w:rsidRPr="00682D6F" w:rsidRDefault="00494542" w:rsidP="00D6155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 xml:space="preserve">Late Onset Depression </w:t>
            </w:r>
          </w:p>
        </w:tc>
        <w:tc>
          <w:tcPr>
            <w:tcW w:w="4110" w:type="dxa"/>
            <w:gridSpan w:val="2"/>
            <w:tcBorders>
              <w:top w:val="single" w:sz="4" w:space="0" w:color="auto"/>
            </w:tcBorders>
          </w:tcPr>
          <w:p w:rsidR="00494542" w:rsidRPr="00682D6F" w:rsidRDefault="00494542" w:rsidP="00D6155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Early Onset Depression</w:t>
            </w:r>
          </w:p>
        </w:tc>
        <w:tc>
          <w:tcPr>
            <w:tcW w:w="3686" w:type="dxa"/>
            <w:gridSpan w:val="2"/>
            <w:tcBorders>
              <w:top w:val="single" w:sz="4" w:space="0" w:color="auto"/>
            </w:tcBorders>
          </w:tcPr>
          <w:p w:rsidR="00494542" w:rsidRPr="00682D6F" w:rsidRDefault="00494542" w:rsidP="00D6155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No Depression Disorder</w:t>
            </w:r>
          </w:p>
        </w:tc>
      </w:tr>
      <w:tr w:rsidR="00682D6F" w:rsidRPr="00682D6F" w:rsidTr="00D61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tcBorders>
              <w:bottom w:val="single" w:sz="4" w:space="0" w:color="auto"/>
            </w:tcBorders>
          </w:tcPr>
          <w:p w:rsidR="00494542" w:rsidRPr="00682D6F" w:rsidRDefault="00494542" w:rsidP="00D61555">
            <w:pPr>
              <w:spacing w:line="480" w:lineRule="auto"/>
              <w:jc w:val="center"/>
              <w:rPr>
                <w:rFonts w:ascii="Times New Roman" w:hAnsi="Times New Roman" w:cs="Times New Roman"/>
              </w:rPr>
            </w:pPr>
          </w:p>
        </w:tc>
        <w:tc>
          <w:tcPr>
            <w:tcW w:w="2042" w:type="dxa"/>
            <w:tcBorders>
              <w:bottom w:val="single" w:sz="4" w:space="0" w:color="auto"/>
            </w:tcBorders>
          </w:tcPr>
          <w:p w:rsidR="00494542" w:rsidRPr="00682D6F" w:rsidRDefault="00494542" w:rsidP="00D6155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82D6F">
              <w:rPr>
                <w:rFonts w:ascii="Times New Roman" w:hAnsi="Times New Roman" w:cs="Times New Roman"/>
                <w:b/>
              </w:rPr>
              <w:t xml:space="preserve">Symptomatic </w:t>
            </w:r>
          </w:p>
          <w:p w:rsidR="00494542" w:rsidRPr="00682D6F" w:rsidRDefault="00494542" w:rsidP="00D6155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82D6F">
              <w:rPr>
                <w:rFonts w:ascii="Times New Roman" w:hAnsi="Times New Roman" w:cs="Times New Roman"/>
                <w:b/>
              </w:rPr>
              <w:t>N = 105</w:t>
            </w:r>
          </w:p>
        </w:tc>
        <w:tc>
          <w:tcPr>
            <w:tcW w:w="1843" w:type="dxa"/>
            <w:tcBorders>
              <w:bottom w:val="single" w:sz="4" w:space="0" w:color="auto"/>
            </w:tcBorders>
          </w:tcPr>
          <w:p w:rsidR="00494542" w:rsidRPr="00682D6F" w:rsidRDefault="00494542" w:rsidP="00D6155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82D6F">
              <w:rPr>
                <w:rFonts w:ascii="Times New Roman" w:hAnsi="Times New Roman" w:cs="Times New Roman"/>
                <w:b/>
              </w:rPr>
              <w:t>Asymptomatic</w:t>
            </w:r>
          </w:p>
          <w:p w:rsidR="00494542" w:rsidRPr="00682D6F" w:rsidRDefault="00494542" w:rsidP="00D6155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82D6F">
              <w:rPr>
                <w:rFonts w:ascii="Times New Roman" w:hAnsi="Times New Roman" w:cs="Times New Roman"/>
                <w:b/>
              </w:rPr>
              <w:t>N = 200</w:t>
            </w:r>
          </w:p>
        </w:tc>
        <w:tc>
          <w:tcPr>
            <w:tcW w:w="1984" w:type="dxa"/>
            <w:tcBorders>
              <w:bottom w:val="single" w:sz="4" w:space="0" w:color="auto"/>
            </w:tcBorders>
          </w:tcPr>
          <w:p w:rsidR="00494542" w:rsidRPr="00682D6F" w:rsidRDefault="00494542" w:rsidP="00D6155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82D6F">
              <w:rPr>
                <w:rFonts w:ascii="Times New Roman" w:hAnsi="Times New Roman" w:cs="Times New Roman"/>
                <w:b/>
              </w:rPr>
              <w:t>Symptomatic</w:t>
            </w:r>
          </w:p>
          <w:p w:rsidR="00494542" w:rsidRPr="00682D6F" w:rsidRDefault="00494542" w:rsidP="00D6155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82D6F">
              <w:rPr>
                <w:rFonts w:ascii="Times New Roman" w:hAnsi="Times New Roman" w:cs="Times New Roman"/>
                <w:b/>
              </w:rPr>
              <w:t>N = 51</w:t>
            </w:r>
          </w:p>
        </w:tc>
        <w:tc>
          <w:tcPr>
            <w:tcW w:w="2126" w:type="dxa"/>
            <w:tcBorders>
              <w:bottom w:val="single" w:sz="4" w:space="0" w:color="auto"/>
            </w:tcBorders>
          </w:tcPr>
          <w:p w:rsidR="00494542" w:rsidRPr="00682D6F" w:rsidRDefault="00494542" w:rsidP="00D6155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82D6F">
              <w:rPr>
                <w:rFonts w:ascii="Times New Roman" w:hAnsi="Times New Roman" w:cs="Times New Roman"/>
                <w:b/>
              </w:rPr>
              <w:t>Asymptomatic</w:t>
            </w:r>
          </w:p>
          <w:p w:rsidR="00494542" w:rsidRPr="00682D6F" w:rsidRDefault="00494542" w:rsidP="00D6155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82D6F">
              <w:rPr>
                <w:rFonts w:ascii="Times New Roman" w:hAnsi="Times New Roman" w:cs="Times New Roman"/>
                <w:b/>
              </w:rPr>
              <w:t>N = 74</w:t>
            </w:r>
          </w:p>
        </w:tc>
        <w:tc>
          <w:tcPr>
            <w:tcW w:w="1843" w:type="dxa"/>
            <w:tcBorders>
              <w:bottom w:val="single" w:sz="4" w:space="0" w:color="auto"/>
            </w:tcBorders>
          </w:tcPr>
          <w:p w:rsidR="00494542" w:rsidRPr="00682D6F" w:rsidRDefault="00494542" w:rsidP="00D6155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82D6F">
              <w:rPr>
                <w:rFonts w:ascii="Times New Roman" w:hAnsi="Times New Roman" w:cs="Times New Roman"/>
                <w:b/>
              </w:rPr>
              <w:t>Symptomatic</w:t>
            </w:r>
          </w:p>
          <w:p w:rsidR="00494542" w:rsidRPr="00682D6F" w:rsidRDefault="00494542" w:rsidP="00D6155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82D6F">
              <w:rPr>
                <w:rFonts w:ascii="Times New Roman" w:hAnsi="Times New Roman" w:cs="Times New Roman"/>
                <w:b/>
              </w:rPr>
              <w:t>N = 190</w:t>
            </w:r>
          </w:p>
        </w:tc>
        <w:tc>
          <w:tcPr>
            <w:tcW w:w="1843" w:type="dxa"/>
            <w:tcBorders>
              <w:bottom w:val="single" w:sz="4" w:space="0" w:color="auto"/>
            </w:tcBorders>
          </w:tcPr>
          <w:p w:rsidR="00494542" w:rsidRPr="00682D6F" w:rsidRDefault="00494542" w:rsidP="00D6155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82D6F">
              <w:rPr>
                <w:rFonts w:ascii="Times New Roman" w:hAnsi="Times New Roman" w:cs="Times New Roman"/>
                <w:b/>
              </w:rPr>
              <w:t>Asymptomatic</w:t>
            </w:r>
          </w:p>
          <w:p w:rsidR="00494542" w:rsidRPr="00682D6F" w:rsidRDefault="00494542" w:rsidP="00D6155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82D6F">
              <w:rPr>
                <w:rFonts w:ascii="Times New Roman" w:hAnsi="Times New Roman" w:cs="Times New Roman"/>
                <w:b/>
              </w:rPr>
              <w:t>N = 2192</w:t>
            </w:r>
          </w:p>
        </w:tc>
      </w:tr>
      <w:tr w:rsidR="00682D6F" w:rsidRPr="00682D6F" w:rsidTr="00D61555">
        <w:tc>
          <w:tcPr>
            <w:cnfStyle w:val="001000000000" w:firstRow="0" w:lastRow="0" w:firstColumn="1" w:lastColumn="0" w:oddVBand="0" w:evenVBand="0" w:oddHBand="0" w:evenHBand="0" w:firstRowFirstColumn="0" w:firstRowLastColumn="0" w:lastRowFirstColumn="0" w:lastRowLastColumn="0"/>
            <w:tcW w:w="2319" w:type="dxa"/>
            <w:tcBorders>
              <w:top w:val="single" w:sz="4" w:space="0" w:color="auto"/>
            </w:tcBorders>
          </w:tcPr>
          <w:p w:rsidR="00784A6B" w:rsidRPr="00682D6F" w:rsidRDefault="00784A6B" w:rsidP="00FB288B">
            <w:pPr>
              <w:spacing w:line="480" w:lineRule="auto"/>
              <w:jc w:val="center"/>
              <w:rPr>
                <w:rFonts w:ascii="Times New Roman" w:hAnsi="Times New Roman" w:cs="Times New Roman"/>
                <w:b w:val="0"/>
              </w:rPr>
            </w:pPr>
            <w:r w:rsidRPr="00682D6F">
              <w:rPr>
                <w:rFonts w:ascii="Times New Roman" w:hAnsi="Times New Roman" w:cs="Times New Roman"/>
                <w:b w:val="0"/>
              </w:rPr>
              <w:t xml:space="preserve">IST, median </w:t>
            </w:r>
            <w:proofErr w:type="spellStart"/>
            <w:r w:rsidRPr="00682D6F">
              <w:rPr>
                <w:rFonts w:ascii="Times New Roman" w:hAnsi="Times New Roman" w:cs="Times New Roman"/>
                <w:b w:val="0"/>
              </w:rPr>
              <w:t>IQR</w:t>
            </w:r>
            <w:proofErr w:type="spellEnd"/>
            <w:r w:rsidRPr="00682D6F">
              <w:rPr>
                <w:rFonts w:ascii="Times New Roman" w:hAnsi="Times New Roman" w:cs="Times New Roman"/>
                <w:b w:val="0"/>
              </w:rPr>
              <w:t xml:space="preserve"> </w:t>
            </w:r>
          </w:p>
        </w:tc>
        <w:tc>
          <w:tcPr>
            <w:tcW w:w="2042" w:type="dxa"/>
            <w:tcBorders>
              <w:top w:val="single" w:sz="4" w:space="0" w:color="auto"/>
            </w:tcBorders>
          </w:tcPr>
          <w:p w:rsidR="00784A6B" w:rsidRPr="00682D6F" w:rsidRDefault="00784A6B" w:rsidP="00FB288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48 (40-55)</w:t>
            </w:r>
          </w:p>
        </w:tc>
        <w:tc>
          <w:tcPr>
            <w:tcW w:w="1843" w:type="dxa"/>
            <w:tcBorders>
              <w:top w:val="single" w:sz="4" w:space="0" w:color="auto"/>
            </w:tcBorders>
          </w:tcPr>
          <w:p w:rsidR="00784A6B" w:rsidRPr="00682D6F" w:rsidRDefault="00784A6B" w:rsidP="00FB288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49 (43-58)</w:t>
            </w:r>
          </w:p>
        </w:tc>
        <w:tc>
          <w:tcPr>
            <w:tcW w:w="1984" w:type="dxa"/>
            <w:tcBorders>
              <w:top w:val="single" w:sz="4" w:space="0" w:color="auto"/>
            </w:tcBorders>
          </w:tcPr>
          <w:p w:rsidR="00784A6B" w:rsidRPr="00682D6F" w:rsidRDefault="00784A6B" w:rsidP="00FB288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47 (41-57)</w:t>
            </w:r>
          </w:p>
        </w:tc>
        <w:tc>
          <w:tcPr>
            <w:tcW w:w="2126" w:type="dxa"/>
            <w:tcBorders>
              <w:top w:val="single" w:sz="4" w:space="0" w:color="auto"/>
            </w:tcBorders>
          </w:tcPr>
          <w:p w:rsidR="00784A6B" w:rsidRPr="00682D6F" w:rsidRDefault="00784A6B" w:rsidP="00FB288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50 (44-57)</w:t>
            </w:r>
          </w:p>
        </w:tc>
        <w:tc>
          <w:tcPr>
            <w:tcW w:w="1843" w:type="dxa"/>
            <w:tcBorders>
              <w:top w:val="single" w:sz="4" w:space="0" w:color="auto"/>
            </w:tcBorders>
          </w:tcPr>
          <w:p w:rsidR="00784A6B" w:rsidRPr="00682D6F" w:rsidRDefault="00784A6B" w:rsidP="00FB288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48 (40-55)</w:t>
            </w:r>
          </w:p>
        </w:tc>
        <w:tc>
          <w:tcPr>
            <w:tcW w:w="1843" w:type="dxa"/>
            <w:tcBorders>
              <w:top w:val="single" w:sz="4" w:space="0" w:color="auto"/>
            </w:tcBorders>
          </w:tcPr>
          <w:p w:rsidR="00784A6B" w:rsidRPr="00682D6F" w:rsidRDefault="00784A6B" w:rsidP="00FB288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51 (44-58)</w:t>
            </w:r>
          </w:p>
        </w:tc>
      </w:tr>
      <w:tr w:rsidR="00682D6F" w:rsidRPr="00682D6F" w:rsidTr="00D61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tcPr>
          <w:p w:rsidR="00784A6B" w:rsidRPr="00682D6F" w:rsidRDefault="00784A6B" w:rsidP="00FB288B">
            <w:pPr>
              <w:spacing w:line="480" w:lineRule="auto"/>
              <w:jc w:val="center"/>
              <w:rPr>
                <w:rFonts w:ascii="Times New Roman" w:hAnsi="Times New Roman" w:cs="Times New Roman"/>
                <w:b w:val="0"/>
              </w:rPr>
            </w:pPr>
            <w:proofErr w:type="spellStart"/>
            <w:r w:rsidRPr="00682D6F">
              <w:rPr>
                <w:rFonts w:ascii="Times New Roman" w:hAnsi="Times New Roman" w:cs="Times New Roman"/>
                <w:b w:val="0"/>
              </w:rPr>
              <w:t>BVRT</w:t>
            </w:r>
            <w:proofErr w:type="spellEnd"/>
            <w:r w:rsidRPr="00682D6F">
              <w:rPr>
                <w:rFonts w:ascii="Times New Roman" w:hAnsi="Times New Roman" w:cs="Times New Roman"/>
                <w:b w:val="0"/>
              </w:rPr>
              <w:t xml:space="preserve">, median </w:t>
            </w:r>
            <w:proofErr w:type="spellStart"/>
            <w:r w:rsidRPr="00682D6F">
              <w:rPr>
                <w:rFonts w:ascii="Times New Roman" w:hAnsi="Times New Roman" w:cs="Times New Roman"/>
                <w:b w:val="0"/>
              </w:rPr>
              <w:t>IQR</w:t>
            </w:r>
            <w:proofErr w:type="spellEnd"/>
          </w:p>
        </w:tc>
        <w:tc>
          <w:tcPr>
            <w:tcW w:w="2042" w:type="dxa"/>
          </w:tcPr>
          <w:p w:rsidR="00784A6B" w:rsidRPr="00682D6F" w:rsidRDefault="00784A6B" w:rsidP="00FB288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11 (10-13)</w:t>
            </w:r>
          </w:p>
        </w:tc>
        <w:tc>
          <w:tcPr>
            <w:tcW w:w="1843" w:type="dxa"/>
          </w:tcPr>
          <w:p w:rsidR="00784A6B" w:rsidRPr="00682D6F" w:rsidRDefault="00784A6B" w:rsidP="00FB288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12 (10-13)</w:t>
            </w:r>
          </w:p>
        </w:tc>
        <w:tc>
          <w:tcPr>
            <w:tcW w:w="1984" w:type="dxa"/>
          </w:tcPr>
          <w:p w:rsidR="00784A6B" w:rsidRPr="00682D6F" w:rsidRDefault="00784A6B" w:rsidP="00FB288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12 (10-13)</w:t>
            </w:r>
          </w:p>
        </w:tc>
        <w:tc>
          <w:tcPr>
            <w:tcW w:w="2126" w:type="dxa"/>
          </w:tcPr>
          <w:p w:rsidR="00784A6B" w:rsidRPr="00682D6F" w:rsidRDefault="00784A6B" w:rsidP="00FB288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12 (10-13)</w:t>
            </w:r>
          </w:p>
        </w:tc>
        <w:tc>
          <w:tcPr>
            <w:tcW w:w="1843" w:type="dxa"/>
          </w:tcPr>
          <w:p w:rsidR="00784A6B" w:rsidRPr="00682D6F" w:rsidRDefault="00784A6B" w:rsidP="00FB288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11 (10-13)</w:t>
            </w:r>
          </w:p>
        </w:tc>
        <w:tc>
          <w:tcPr>
            <w:tcW w:w="1843" w:type="dxa"/>
          </w:tcPr>
          <w:p w:rsidR="00784A6B" w:rsidRPr="00682D6F" w:rsidRDefault="00784A6B" w:rsidP="00FB288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12 (11-13)</w:t>
            </w:r>
          </w:p>
        </w:tc>
      </w:tr>
      <w:tr w:rsidR="00682D6F" w:rsidRPr="00682D6F" w:rsidTr="00D61555">
        <w:tc>
          <w:tcPr>
            <w:cnfStyle w:val="001000000000" w:firstRow="0" w:lastRow="0" w:firstColumn="1" w:lastColumn="0" w:oddVBand="0" w:evenVBand="0" w:oddHBand="0" w:evenHBand="0" w:firstRowFirstColumn="0" w:firstRowLastColumn="0" w:lastRowFirstColumn="0" w:lastRowLastColumn="0"/>
            <w:tcW w:w="2319" w:type="dxa"/>
          </w:tcPr>
          <w:p w:rsidR="00784A6B" w:rsidRPr="00682D6F" w:rsidRDefault="00784A6B" w:rsidP="00FB288B">
            <w:pPr>
              <w:spacing w:line="480" w:lineRule="auto"/>
              <w:jc w:val="center"/>
              <w:rPr>
                <w:rFonts w:ascii="Times New Roman" w:hAnsi="Times New Roman" w:cs="Times New Roman"/>
                <w:b w:val="0"/>
              </w:rPr>
            </w:pPr>
            <w:proofErr w:type="spellStart"/>
            <w:r w:rsidRPr="00682D6F">
              <w:rPr>
                <w:rFonts w:ascii="Times New Roman" w:hAnsi="Times New Roman" w:cs="Times New Roman"/>
                <w:b w:val="0"/>
              </w:rPr>
              <w:t>MMSE</w:t>
            </w:r>
            <w:proofErr w:type="spellEnd"/>
            <w:r w:rsidRPr="00682D6F">
              <w:rPr>
                <w:rFonts w:ascii="Times New Roman" w:hAnsi="Times New Roman" w:cs="Times New Roman"/>
                <w:b w:val="0"/>
              </w:rPr>
              <w:t xml:space="preserve">, median </w:t>
            </w:r>
            <w:proofErr w:type="spellStart"/>
            <w:r w:rsidRPr="00682D6F">
              <w:rPr>
                <w:rFonts w:ascii="Times New Roman" w:hAnsi="Times New Roman" w:cs="Times New Roman"/>
                <w:b w:val="0"/>
              </w:rPr>
              <w:t>IQR</w:t>
            </w:r>
            <w:proofErr w:type="spellEnd"/>
          </w:p>
        </w:tc>
        <w:tc>
          <w:tcPr>
            <w:tcW w:w="2042" w:type="dxa"/>
          </w:tcPr>
          <w:p w:rsidR="00784A6B" w:rsidRPr="00682D6F" w:rsidRDefault="00784A6B" w:rsidP="00FB288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27 (26-28)</w:t>
            </w:r>
          </w:p>
        </w:tc>
        <w:tc>
          <w:tcPr>
            <w:tcW w:w="1843" w:type="dxa"/>
          </w:tcPr>
          <w:p w:rsidR="00784A6B" w:rsidRPr="00682D6F" w:rsidRDefault="00784A6B" w:rsidP="00FB288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28 (27-29)</w:t>
            </w:r>
          </w:p>
        </w:tc>
        <w:tc>
          <w:tcPr>
            <w:tcW w:w="1984" w:type="dxa"/>
          </w:tcPr>
          <w:p w:rsidR="00784A6B" w:rsidRPr="00682D6F" w:rsidRDefault="00784A6B" w:rsidP="00FB288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28 (26-29)</w:t>
            </w:r>
          </w:p>
        </w:tc>
        <w:tc>
          <w:tcPr>
            <w:tcW w:w="2126" w:type="dxa"/>
          </w:tcPr>
          <w:p w:rsidR="00784A6B" w:rsidRPr="00682D6F" w:rsidRDefault="00784A6B" w:rsidP="00FB288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28 (27-29)</w:t>
            </w:r>
          </w:p>
        </w:tc>
        <w:tc>
          <w:tcPr>
            <w:tcW w:w="1843" w:type="dxa"/>
          </w:tcPr>
          <w:p w:rsidR="00784A6B" w:rsidRPr="00682D6F" w:rsidRDefault="00784A6B" w:rsidP="00FB288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28 (26-29)</w:t>
            </w:r>
          </w:p>
        </w:tc>
        <w:tc>
          <w:tcPr>
            <w:tcW w:w="1843" w:type="dxa"/>
          </w:tcPr>
          <w:p w:rsidR="00784A6B" w:rsidRPr="00682D6F" w:rsidRDefault="00784A6B" w:rsidP="00FB288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28 (27-29)</w:t>
            </w:r>
          </w:p>
        </w:tc>
      </w:tr>
      <w:tr w:rsidR="00682D6F" w:rsidRPr="00682D6F" w:rsidTr="00D61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tcPr>
          <w:p w:rsidR="00784A6B" w:rsidRPr="00682D6F" w:rsidRDefault="00784A6B" w:rsidP="00D61555">
            <w:pPr>
              <w:spacing w:line="480" w:lineRule="auto"/>
              <w:jc w:val="center"/>
              <w:rPr>
                <w:rFonts w:ascii="Times New Roman" w:hAnsi="Times New Roman" w:cs="Times New Roman"/>
                <w:b w:val="0"/>
              </w:rPr>
            </w:pPr>
            <w:r w:rsidRPr="00682D6F">
              <w:rPr>
                <w:rFonts w:ascii="Times New Roman" w:hAnsi="Times New Roman" w:cs="Times New Roman"/>
                <w:b w:val="0"/>
              </w:rPr>
              <w:t xml:space="preserve">TMT-A, median </w:t>
            </w:r>
            <w:proofErr w:type="spellStart"/>
            <w:r w:rsidRPr="00682D6F">
              <w:rPr>
                <w:rFonts w:ascii="Times New Roman" w:hAnsi="Times New Roman" w:cs="Times New Roman"/>
                <w:b w:val="0"/>
              </w:rPr>
              <w:t>IQR</w:t>
            </w:r>
            <w:proofErr w:type="spellEnd"/>
          </w:p>
        </w:tc>
        <w:tc>
          <w:tcPr>
            <w:tcW w:w="2042" w:type="dxa"/>
          </w:tcPr>
          <w:p w:rsidR="00784A6B" w:rsidRPr="00682D6F" w:rsidRDefault="00784A6B" w:rsidP="00D6155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50 (44-55)</w:t>
            </w:r>
          </w:p>
        </w:tc>
        <w:tc>
          <w:tcPr>
            <w:tcW w:w="1843" w:type="dxa"/>
          </w:tcPr>
          <w:p w:rsidR="00784A6B" w:rsidRPr="00682D6F" w:rsidRDefault="00784A6B" w:rsidP="00D6155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47 (41-55)</w:t>
            </w:r>
          </w:p>
        </w:tc>
        <w:tc>
          <w:tcPr>
            <w:tcW w:w="1984" w:type="dxa"/>
          </w:tcPr>
          <w:p w:rsidR="00784A6B" w:rsidRPr="00682D6F" w:rsidRDefault="00784A6B" w:rsidP="00D6155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46 (41-52)</w:t>
            </w:r>
          </w:p>
        </w:tc>
        <w:tc>
          <w:tcPr>
            <w:tcW w:w="2126" w:type="dxa"/>
          </w:tcPr>
          <w:p w:rsidR="00784A6B" w:rsidRPr="00682D6F" w:rsidRDefault="00784A6B" w:rsidP="00D6155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49 (44-57)</w:t>
            </w:r>
          </w:p>
        </w:tc>
        <w:tc>
          <w:tcPr>
            <w:tcW w:w="1843" w:type="dxa"/>
          </w:tcPr>
          <w:p w:rsidR="00784A6B" w:rsidRPr="00682D6F" w:rsidRDefault="00784A6B" w:rsidP="00D6155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50 (45-55)</w:t>
            </w:r>
          </w:p>
        </w:tc>
        <w:tc>
          <w:tcPr>
            <w:tcW w:w="1843" w:type="dxa"/>
          </w:tcPr>
          <w:p w:rsidR="00784A6B" w:rsidRPr="00682D6F" w:rsidRDefault="00784A6B" w:rsidP="00D6155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46 (41-52)</w:t>
            </w:r>
          </w:p>
        </w:tc>
      </w:tr>
      <w:tr w:rsidR="00682D6F" w:rsidRPr="00682D6F" w:rsidTr="00D61555">
        <w:tc>
          <w:tcPr>
            <w:cnfStyle w:val="001000000000" w:firstRow="0" w:lastRow="0" w:firstColumn="1" w:lastColumn="0" w:oddVBand="0" w:evenVBand="0" w:oddHBand="0" w:evenHBand="0" w:firstRowFirstColumn="0" w:firstRowLastColumn="0" w:lastRowFirstColumn="0" w:lastRowLastColumn="0"/>
            <w:tcW w:w="2319" w:type="dxa"/>
          </w:tcPr>
          <w:p w:rsidR="00784A6B" w:rsidRPr="00682D6F" w:rsidRDefault="00784A6B" w:rsidP="00D61555">
            <w:pPr>
              <w:spacing w:line="480" w:lineRule="auto"/>
              <w:jc w:val="center"/>
              <w:rPr>
                <w:rFonts w:ascii="Times New Roman" w:hAnsi="Times New Roman" w:cs="Times New Roman"/>
                <w:b w:val="0"/>
              </w:rPr>
            </w:pPr>
            <w:r w:rsidRPr="00682D6F">
              <w:rPr>
                <w:rFonts w:ascii="Times New Roman" w:hAnsi="Times New Roman" w:cs="Times New Roman"/>
                <w:b w:val="0"/>
              </w:rPr>
              <w:t xml:space="preserve">TMT B/A, median </w:t>
            </w:r>
            <w:proofErr w:type="spellStart"/>
            <w:r w:rsidRPr="00682D6F">
              <w:rPr>
                <w:rFonts w:ascii="Times New Roman" w:hAnsi="Times New Roman" w:cs="Times New Roman"/>
                <w:b w:val="0"/>
              </w:rPr>
              <w:t>IQR</w:t>
            </w:r>
            <w:proofErr w:type="spellEnd"/>
          </w:p>
        </w:tc>
        <w:tc>
          <w:tcPr>
            <w:tcW w:w="2042" w:type="dxa"/>
          </w:tcPr>
          <w:p w:rsidR="00784A6B" w:rsidRPr="00682D6F" w:rsidRDefault="00784A6B" w:rsidP="00D6155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1.92 (1.49-2.42)</w:t>
            </w:r>
          </w:p>
        </w:tc>
        <w:tc>
          <w:tcPr>
            <w:tcW w:w="1843" w:type="dxa"/>
          </w:tcPr>
          <w:p w:rsidR="00784A6B" w:rsidRPr="00682D6F" w:rsidRDefault="00784A6B" w:rsidP="00D6155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1.95 (1.59-2.40)</w:t>
            </w:r>
          </w:p>
        </w:tc>
        <w:tc>
          <w:tcPr>
            <w:tcW w:w="1984" w:type="dxa"/>
          </w:tcPr>
          <w:p w:rsidR="00784A6B" w:rsidRPr="00682D6F" w:rsidRDefault="00784A6B" w:rsidP="00D6155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1.82 (1.37-2.15)</w:t>
            </w:r>
          </w:p>
        </w:tc>
        <w:tc>
          <w:tcPr>
            <w:tcW w:w="2126" w:type="dxa"/>
          </w:tcPr>
          <w:p w:rsidR="00784A6B" w:rsidRPr="00682D6F" w:rsidRDefault="00784A6B" w:rsidP="00D6155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1.82 (1.40-2.34)</w:t>
            </w:r>
          </w:p>
        </w:tc>
        <w:tc>
          <w:tcPr>
            <w:tcW w:w="1843" w:type="dxa"/>
          </w:tcPr>
          <w:p w:rsidR="00784A6B" w:rsidRPr="00682D6F" w:rsidRDefault="00784A6B" w:rsidP="00D6155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1.92 (1.49-2.37)</w:t>
            </w:r>
          </w:p>
        </w:tc>
        <w:tc>
          <w:tcPr>
            <w:tcW w:w="1843" w:type="dxa"/>
          </w:tcPr>
          <w:p w:rsidR="00784A6B" w:rsidRPr="00682D6F" w:rsidRDefault="00784A6B" w:rsidP="00D6155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1.90 (1.54-2.41)</w:t>
            </w:r>
          </w:p>
        </w:tc>
      </w:tr>
      <w:tr w:rsidR="00682D6F" w:rsidRPr="00682D6F" w:rsidTr="00D61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tcPr>
          <w:p w:rsidR="00784A6B" w:rsidRPr="00682D6F" w:rsidRDefault="00784A6B" w:rsidP="00FB288B">
            <w:pPr>
              <w:spacing w:line="480" w:lineRule="auto"/>
              <w:jc w:val="center"/>
              <w:rPr>
                <w:rFonts w:ascii="Times New Roman" w:hAnsi="Times New Roman" w:cs="Times New Roman"/>
                <w:b w:val="0"/>
              </w:rPr>
            </w:pPr>
            <w:proofErr w:type="spellStart"/>
            <w:r w:rsidRPr="00682D6F">
              <w:rPr>
                <w:rFonts w:ascii="Times New Roman" w:hAnsi="Times New Roman" w:cs="Times New Roman"/>
                <w:b w:val="0"/>
              </w:rPr>
              <w:t>FTT</w:t>
            </w:r>
            <w:proofErr w:type="spellEnd"/>
            <w:r w:rsidRPr="00682D6F">
              <w:rPr>
                <w:rFonts w:ascii="Times New Roman" w:hAnsi="Times New Roman" w:cs="Times New Roman"/>
                <w:b w:val="0"/>
              </w:rPr>
              <w:t xml:space="preserve">, median </w:t>
            </w:r>
            <w:proofErr w:type="spellStart"/>
            <w:r w:rsidRPr="00682D6F">
              <w:rPr>
                <w:rFonts w:ascii="Times New Roman" w:hAnsi="Times New Roman" w:cs="Times New Roman"/>
                <w:b w:val="0"/>
              </w:rPr>
              <w:t>IQR</w:t>
            </w:r>
            <w:proofErr w:type="spellEnd"/>
          </w:p>
        </w:tc>
        <w:tc>
          <w:tcPr>
            <w:tcW w:w="2042" w:type="dxa"/>
          </w:tcPr>
          <w:p w:rsidR="00784A6B" w:rsidRPr="00682D6F" w:rsidRDefault="00784A6B" w:rsidP="00FB288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40 (34-48)</w:t>
            </w:r>
          </w:p>
        </w:tc>
        <w:tc>
          <w:tcPr>
            <w:tcW w:w="1843" w:type="dxa"/>
          </w:tcPr>
          <w:p w:rsidR="00784A6B" w:rsidRPr="00682D6F" w:rsidRDefault="00784A6B" w:rsidP="00FB288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43 (37-49)</w:t>
            </w:r>
          </w:p>
        </w:tc>
        <w:tc>
          <w:tcPr>
            <w:tcW w:w="1984" w:type="dxa"/>
          </w:tcPr>
          <w:p w:rsidR="00784A6B" w:rsidRPr="00682D6F" w:rsidRDefault="00784A6B" w:rsidP="00FB288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40 (35-47)</w:t>
            </w:r>
          </w:p>
        </w:tc>
        <w:tc>
          <w:tcPr>
            <w:tcW w:w="2126" w:type="dxa"/>
          </w:tcPr>
          <w:p w:rsidR="00784A6B" w:rsidRPr="00682D6F" w:rsidRDefault="00784A6B" w:rsidP="00FB288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44 (37-52)</w:t>
            </w:r>
          </w:p>
        </w:tc>
        <w:tc>
          <w:tcPr>
            <w:tcW w:w="1843" w:type="dxa"/>
          </w:tcPr>
          <w:p w:rsidR="00784A6B" w:rsidRPr="00682D6F" w:rsidRDefault="00784A6B" w:rsidP="00FB288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45 (36-52)</w:t>
            </w:r>
          </w:p>
        </w:tc>
        <w:tc>
          <w:tcPr>
            <w:tcW w:w="1843" w:type="dxa"/>
          </w:tcPr>
          <w:p w:rsidR="00784A6B" w:rsidRPr="00682D6F" w:rsidRDefault="00784A6B" w:rsidP="00FB288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45 (38-52)</w:t>
            </w:r>
          </w:p>
        </w:tc>
      </w:tr>
    </w:tbl>
    <w:p w:rsidR="00494542" w:rsidRPr="00682D6F" w:rsidRDefault="00494542" w:rsidP="00494542">
      <w:pPr>
        <w:spacing w:after="0" w:line="240" w:lineRule="auto"/>
        <w:rPr>
          <w:rFonts w:ascii="Times New Roman" w:hAnsi="Times New Roman" w:cs="Times New Roman"/>
          <w:i/>
        </w:rPr>
      </w:pPr>
      <w:proofErr w:type="spellStart"/>
      <w:r w:rsidRPr="00682D6F">
        <w:rPr>
          <w:rFonts w:ascii="Times New Roman" w:hAnsi="Times New Roman" w:cs="Times New Roman"/>
          <w:i/>
        </w:rPr>
        <w:t>BVRT</w:t>
      </w:r>
      <w:proofErr w:type="spellEnd"/>
      <w:r w:rsidRPr="00682D6F">
        <w:rPr>
          <w:rFonts w:ascii="Times New Roman" w:hAnsi="Times New Roman" w:cs="Times New Roman"/>
          <w:i/>
        </w:rPr>
        <w:t>, Benton Visual Retention Test; FTT, finger tapping test; IST, Isaac’s Set Test; IQR, interquartile range; MMSE, Mini Mental State Examination; TMT-A, Trail Making Test-Part A; TMT-B, Trail Making Test Part B; TMT B/A, ratio of time to complete Trail Making Test Part B divided by time to complete Trail Making Test Part A.</w:t>
      </w:r>
    </w:p>
    <w:p w:rsidR="00494542" w:rsidRPr="00682D6F" w:rsidRDefault="00494542" w:rsidP="00494542">
      <w:pPr>
        <w:spacing w:after="0" w:line="240" w:lineRule="auto"/>
        <w:rPr>
          <w:rFonts w:ascii="Times New Roman" w:hAnsi="Times New Roman" w:cs="Times New Roman"/>
          <w:i/>
        </w:rPr>
      </w:pPr>
      <w:r w:rsidRPr="00682D6F">
        <w:rPr>
          <w:rFonts w:ascii="Times New Roman" w:hAnsi="Times New Roman" w:cs="Times New Roman"/>
          <w:i/>
        </w:rPr>
        <w:t xml:space="preserve">Baseline scores shown for each of the cognitive tests. FTT was first administered in wave 4 (7 years follow-up). </w:t>
      </w:r>
    </w:p>
    <w:p w:rsidR="00DC4395" w:rsidRDefault="00DC4395">
      <w:pPr>
        <w:spacing w:after="200" w:line="276" w:lineRule="auto"/>
        <w:rPr>
          <w:rFonts w:ascii="Times New Roman" w:hAnsi="Times New Roman" w:cs="Times New Roman"/>
        </w:rPr>
      </w:pPr>
    </w:p>
    <w:p w:rsidR="00480E19" w:rsidRPr="00480E19" w:rsidRDefault="00480E19">
      <w:pPr>
        <w:spacing w:after="200" w:line="276" w:lineRule="auto"/>
        <w:rPr>
          <w:rFonts w:ascii="Times New Roman" w:hAnsi="Times New Roman" w:cs="Times New Roman"/>
          <w:b/>
        </w:rPr>
        <w:sectPr w:rsidR="00480E19" w:rsidRPr="00480E19" w:rsidSect="007546A3">
          <w:pgSz w:w="16838" w:h="11906" w:orient="landscape"/>
          <w:pgMar w:top="1417" w:right="1417" w:bottom="1417" w:left="1417" w:header="708" w:footer="708" w:gutter="0"/>
          <w:cols w:space="708"/>
          <w:docGrid w:linePitch="360"/>
        </w:sectPr>
      </w:pPr>
    </w:p>
    <w:p w:rsidR="006B53D1" w:rsidRPr="00480E19" w:rsidRDefault="002E779B" w:rsidP="006B53D1">
      <w:pPr>
        <w:tabs>
          <w:tab w:val="left" w:pos="2540"/>
        </w:tabs>
        <w:jc w:val="center"/>
        <w:rPr>
          <w:rFonts w:ascii="Times New Roman" w:hAnsi="Times New Roman" w:cs="Times New Roman"/>
          <w:b/>
        </w:rPr>
      </w:pPr>
      <w:r w:rsidRPr="00480E19">
        <w:rPr>
          <w:rFonts w:ascii="Times New Roman" w:hAnsi="Times New Roman" w:cs="Times New Roman"/>
          <w:b/>
        </w:rPr>
        <w:lastRenderedPageBreak/>
        <w:t xml:space="preserve">Supplement Table </w:t>
      </w:r>
      <w:r w:rsidR="007546A3">
        <w:rPr>
          <w:rFonts w:ascii="Times New Roman" w:hAnsi="Times New Roman" w:cs="Times New Roman"/>
          <w:b/>
        </w:rPr>
        <w:t>3</w:t>
      </w:r>
      <w:r w:rsidR="006B53D1" w:rsidRPr="00480E19">
        <w:rPr>
          <w:rFonts w:ascii="Times New Roman" w:hAnsi="Times New Roman" w:cs="Times New Roman"/>
          <w:b/>
        </w:rPr>
        <w:t>. Association between depression onset and diastolic blood pressure variability with cognitive function over 10 year follow-up (N = 28</w:t>
      </w:r>
      <w:r w:rsidR="00472AF3" w:rsidRPr="00480E19">
        <w:rPr>
          <w:rFonts w:ascii="Times New Roman" w:hAnsi="Times New Roman" w:cs="Times New Roman"/>
          <w:b/>
        </w:rPr>
        <w:t>12</w:t>
      </w:r>
      <w:r w:rsidR="006B53D1" w:rsidRPr="00480E19">
        <w:rPr>
          <w:rFonts w:ascii="Times New Roman" w:hAnsi="Times New Roman" w:cs="Times New Roman"/>
          <w:b/>
        </w:rPr>
        <w:t>)</w:t>
      </w:r>
    </w:p>
    <w:tbl>
      <w:tblPr>
        <w:tblStyle w:val="PlainTable11"/>
        <w:tblW w:w="14368" w:type="dxa"/>
        <w:jc w:val="center"/>
        <w:tblLayout w:type="fixed"/>
        <w:tblLook w:val="04A0" w:firstRow="1" w:lastRow="0" w:firstColumn="1" w:lastColumn="0" w:noHBand="0" w:noVBand="1"/>
      </w:tblPr>
      <w:tblGrid>
        <w:gridCol w:w="1755"/>
        <w:gridCol w:w="1426"/>
        <w:gridCol w:w="586"/>
        <w:gridCol w:w="1320"/>
        <w:gridCol w:w="587"/>
        <w:gridCol w:w="1216"/>
        <w:gridCol w:w="674"/>
        <w:gridCol w:w="1539"/>
        <w:gridCol w:w="729"/>
        <w:gridCol w:w="1417"/>
        <w:gridCol w:w="851"/>
        <w:gridCol w:w="1417"/>
        <w:gridCol w:w="851"/>
      </w:tblGrid>
      <w:tr w:rsidR="00304088" w:rsidRPr="00480E19" w:rsidTr="0030408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5" w:type="dxa"/>
          </w:tcPr>
          <w:p w:rsidR="00304088" w:rsidRPr="00480E19" w:rsidRDefault="00304088" w:rsidP="00D61555">
            <w:pPr>
              <w:spacing w:line="480" w:lineRule="auto"/>
              <w:rPr>
                <w:rFonts w:ascii="Times New Roman" w:hAnsi="Times New Roman" w:cs="Times New Roman"/>
                <w:color w:val="FF0000"/>
              </w:rPr>
            </w:pPr>
          </w:p>
        </w:tc>
        <w:tc>
          <w:tcPr>
            <w:tcW w:w="1426" w:type="dxa"/>
          </w:tcPr>
          <w:p w:rsidR="00304088" w:rsidRPr="00480E19" w:rsidRDefault="00304088" w:rsidP="00D6155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 xml:space="preserve">IST </w:t>
            </w:r>
          </w:p>
          <w:p w:rsidR="00304088" w:rsidRPr="00480E19" w:rsidRDefault="00304088" w:rsidP="00D6155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Slope (95% CI)</w:t>
            </w:r>
          </w:p>
        </w:tc>
        <w:tc>
          <w:tcPr>
            <w:tcW w:w="586" w:type="dxa"/>
          </w:tcPr>
          <w:p w:rsidR="00304088" w:rsidRPr="00480E19" w:rsidRDefault="00304088" w:rsidP="00D6155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P</w:t>
            </w:r>
          </w:p>
        </w:tc>
        <w:tc>
          <w:tcPr>
            <w:tcW w:w="1320" w:type="dxa"/>
          </w:tcPr>
          <w:p w:rsidR="00304088" w:rsidRPr="00480E19" w:rsidRDefault="00304088" w:rsidP="00D6155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BVRT</w:t>
            </w:r>
          </w:p>
          <w:p w:rsidR="00304088" w:rsidRPr="00480E19" w:rsidRDefault="00304088" w:rsidP="00D6155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Slope (95% CI)</w:t>
            </w:r>
          </w:p>
        </w:tc>
        <w:tc>
          <w:tcPr>
            <w:tcW w:w="587" w:type="dxa"/>
          </w:tcPr>
          <w:p w:rsidR="00304088" w:rsidRPr="00480E19" w:rsidRDefault="00304088" w:rsidP="00D6155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P</w:t>
            </w:r>
          </w:p>
        </w:tc>
        <w:tc>
          <w:tcPr>
            <w:tcW w:w="1216" w:type="dxa"/>
          </w:tcPr>
          <w:p w:rsidR="00304088" w:rsidRPr="00480E19" w:rsidRDefault="00304088" w:rsidP="00D6155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 xml:space="preserve">MMSE </w:t>
            </w:r>
          </w:p>
          <w:p w:rsidR="00304088" w:rsidRPr="00480E19" w:rsidRDefault="00304088" w:rsidP="00D6155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Slope (95% CI)</w:t>
            </w:r>
          </w:p>
        </w:tc>
        <w:tc>
          <w:tcPr>
            <w:tcW w:w="674" w:type="dxa"/>
          </w:tcPr>
          <w:p w:rsidR="00304088" w:rsidRPr="00480E19" w:rsidRDefault="00304088" w:rsidP="00D6155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P</w:t>
            </w:r>
          </w:p>
        </w:tc>
        <w:tc>
          <w:tcPr>
            <w:tcW w:w="1539" w:type="dxa"/>
          </w:tcPr>
          <w:p w:rsidR="00304088" w:rsidRPr="00682D6F" w:rsidRDefault="00304088" w:rsidP="00304088">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 xml:space="preserve">TMT A </w:t>
            </w:r>
          </w:p>
          <w:p w:rsidR="00304088" w:rsidRPr="00682D6F" w:rsidRDefault="00304088" w:rsidP="00304088">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Slope (95% CI)</w:t>
            </w:r>
          </w:p>
        </w:tc>
        <w:tc>
          <w:tcPr>
            <w:tcW w:w="729" w:type="dxa"/>
          </w:tcPr>
          <w:p w:rsidR="00304088" w:rsidRPr="00682D6F" w:rsidRDefault="00304088" w:rsidP="00D6155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P</w:t>
            </w:r>
          </w:p>
        </w:tc>
        <w:tc>
          <w:tcPr>
            <w:tcW w:w="1417" w:type="dxa"/>
          </w:tcPr>
          <w:p w:rsidR="00304088" w:rsidRPr="00682D6F" w:rsidRDefault="00304088" w:rsidP="00D6155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 xml:space="preserve">TMTB/A </w:t>
            </w:r>
          </w:p>
          <w:p w:rsidR="00304088" w:rsidRPr="00682D6F" w:rsidRDefault="00304088" w:rsidP="00D6155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Slope (95% CI)</w:t>
            </w:r>
          </w:p>
        </w:tc>
        <w:tc>
          <w:tcPr>
            <w:tcW w:w="851" w:type="dxa"/>
          </w:tcPr>
          <w:p w:rsidR="00304088" w:rsidRPr="00682D6F" w:rsidRDefault="00304088" w:rsidP="00D6155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P</w:t>
            </w:r>
          </w:p>
        </w:tc>
        <w:tc>
          <w:tcPr>
            <w:tcW w:w="1417" w:type="dxa"/>
          </w:tcPr>
          <w:p w:rsidR="00304088" w:rsidRPr="00682D6F" w:rsidRDefault="00304088" w:rsidP="00D6155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 xml:space="preserve">FTT </w:t>
            </w:r>
          </w:p>
          <w:p w:rsidR="00304088" w:rsidRPr="00682D6F" w:rsidRDefault="00304088" w:rsidP="00D6155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Slope (95% CI)</w:t>
            </w:r>
          </w:p>
        </w:tc>
        <w:tc>
          <w:tcPr>
            <w:tcW w:w="851" w:type="dxa"/>
          </w:tcPr>
          <w:p w:rsidR="00304088" w:rsidRPr="00682D6F" w:rsidRDefault="00304088" w:rsidP="00D6155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P</w:t>
            </w:r>
          </w:p>
        </w:tc>
      </w:tr>
      <w:tr w:rsidR="00304088" w:rsidRPr="00480E19" w:rsidTr="003040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5" w:type="dxa"/>
          </w:tcPr>
          <w:p w:rsidR="00304088" w:rsidRPr="00480E19" w:rsidRDefault="00304088" w:rsidP="00D61555">
            <w:pPr>
              <w:spacing w:line="480" w:lineRule="auto"/>
              <w:rPr>
                <w:rFonts w:ascii="Times New Roman" w:hAnsi="Times New Roman" w:cs="Times New Roman"/>
                <w:b w:val="0"/>
              </w:rPr>
            </w:pPr>
            <w:r w:rsidRPr="00480E19">
              <w:rPr>
                <w:rFonts w:ascii="Times New Roman" w:hAnsi="Times New Roman" w:cs="Times New Roman"/>
              </w:rPr>
              <w:t>Symptomatic on CESD; ≥ 2 or more assessments</w:t>
            </w:r>
          </w:p>
        </w:tc>
        <w:tc>
          <w:tcPr>
            <w:tcW w:w="1426" w:type="dxa"/>
          </w:tcPr>
          <w:p w:rsidR="00304088" w:rsidRPr="00480E19" w:rsidRDefault="00304088" w:rsidP="00D6155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86" w:type="dxa"/>
          </w:tcPr>
          <w:p w:rsidR="00304088" w:rsidRPr="00480E19" w:rsidRDefault="00304088" w:rsidP="00D6155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20" w:type="dxa"/>
          </w:tcPr>
          <w:p w:rsidR="00304088" w:rsidRPr="00480E19" w:rsidRDefault="00304088" w:rsidP="00D6155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p>
        </w:tc>
        <w:tc>
          <w:tcPr>
            <w:tcW w:w="587" w:type="dxa"/>
          </w:tcPr>
          <w:p w:rsidR="00304088" w:rsidRPr="00480E19" w:rsidRDefault="00304088" w:rsidP="00D6155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p>
        </w:tc>
        <w:tc>
          <w:tcPr>
            <w:tcW w:w="1216" w:type="dxa"/>
          </w:tcPr>
          <w:p w:rsidR="00304088" w:rsidRPr="00480E19" w:rsidRDefault="00304088" w:rsidP="00D6155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p>
        </w:tc>
        <w:tc>
          <w:tcPr>
            <w:tcW w:w="674" w:type="dxa"/>
          </w:tcPr>
          <w:p w:rsidR="00304088" w:rsidRPr="00480E19" w:rsidRDefault="00304088" w:rsidP="00D6155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p>
        </w:tc>
        <w:tc>
          <w:tcPr>
            <w:tcW w:w="1539" w:type="dxa"/>
          </w:tcPr>
          <w:p w:rsidR="00304088" w:rsidRPr="00682D6F" w:rsidRDefault="00304088" w:rsidP="00D6155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29" w:type="dxa"/>
          </w:tcPr>
          <w:p w:rsidR="00304088" w:rsidRPr="00682D6F" w:rsidRDefault="00304088" w:rsidP="00D6155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17" w:type="dxa"/>
          </w:tcPr>
          <w:p w:rsidR="00304088" w:rsidRPr="00682D6F" w:rsidRDefault="00304088" w:rsidP="00D6155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1" w:type="dxa"/>
          </w:tcPr>
          <w:p w:rsidR="00304088" w:rsidRPr="00682D6F" w:rsidRDefault="00304088" w:rsidP="00D6155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17" w:type="dxa"/>
          </w:tcPr>
          <w:p w:rsidR="00304088" w:rsidRPr="00682D6F" w:rsidRDefault="00304088" w:rsidP="00D6155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1" w:type="dxa"/>
          </w:tcPr>
          <w:p w:rsidR="00304088" w:rsidRPr="00682D6F" w:rsidRDefault="00304088" w:rsidP="00D6155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304088" w:rsidRPr="00480E19" w:rsidTr="00304088">
        <w:trPr>
          <w:jc w:val="center"/>
        </w:trPr>
        <w:tc>
          <w:tcPr>
            <w:cnfStyle w:val="001000000000" w:firstRow="0" w:lastRow="0" w:firstColumn="1" w:lastColumn="0" w:oddVBand="0" w:evenVBand="0" w:oddHBand="0" w:evenHBand="0" w:firstRowFirstColumn="0" w:firstRowLastColumn="0" w:lastRowFirstColumn="0" w:lastRowLastColumn="0"/>
            <w:tcW w:w="1755" w:type="dxa"/>
          </w:tcPr>
          <w:p w:rsidR="00304088" w:rsidRPr="00480E19" w:rsidRDefault="00304088" w:rsidP="001A5E21">
            <w:pPr>
              <w:spacing w:line="480" w:lineRule="auto"/>
              <w:rPr>
                <w:rFonts w:ascii="Times New Roman" w:hAnsi="Times New Roman" w:cs="Times New Roman"/>
                <w:b w:val="0"/>
              </w:rPr>
            </w:pPr>
            <w:r w:rsidRPr="00480E19">
              <w:rPr>
                <w:rFonts w:ascii="Times New Roman" w:hAnsi="Times New Roman" w:cs="Times New Roman"/>
                <w:b w:val="0"/>
              </w:rPr>
              <w:t>Late onset depression</w:t>
            </w:r>
          </w:p>
        </w:tc>
        <w:tc>
          <w:tcPr>
            <w:tcW w:w="1426" w:type="dxa"/>
          </w:tcPr>
          <w:p w:rsidR="00304088" w:rsidRPr="00480E19" w:rsidRDefault="00304088" w:rsidP="0015028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-2.32 (-4.41 to -.24)</w:t>
            </w:r>
          </w:p>
        </w:tc>
        <w:tc>
          <w:tcPr>
            <w:tcW w:w="586" w:type="dxa"/>
          </w:tcPr>
          <w:p w:rsidR="00304088" w:rsidRPr="00480E19" w:rsidRDefault="00304088" w:rsidP="001A5E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.029*</w:t>
            </w:r>
          </w:p>
        </w:tc>
        <w:tc>
          <w:tcPr>
            <w:tcW w:w="1320" w:type="dxa"/>
          </w:tcPr>
          <w:p w:rsidR="00304088" w:rsidRPr="00480E19" w:rsidRDefault="00304088" w:rsidP="001A5E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-.43 (-.83 to -.02)</w:t>
            </w:r>
          </w:p>
        </w:tc>
        <w:tc>
          <w:tcPr>
            <w:tcW w:w="587" w:type="dxa"/>
          </w:tcPr>
          <w:p w:rsidR="00304088" w:rsidRPr="00480E19" w:rsidRDefault="00304088" w:rsidP="001A5E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.041*</w:t>
            </w:r>
          </w:p>
        </w:tc>
        <w:tc>
          <w:tcPr>
            <w:tcW w:w="1216" w:type="dxa"/>
          </w:tcPr>
          <w:p w:rsidR="00304088" w:rsidRPr="00480E19" w:rsidRDefault="00304088" w:rsidP="001A5E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-.32 (-.69 to .05)</w:t>
            </w:r>
          </w:p>
        </w:tc>
        <w:tc>
          <w:tcPr>
            <w:tcW w:w="674" w:type="dxa"/>
          </w:tcPr>
          <w:p w:rsidR="00304088" w:rsidRPr="00480E19" w:rsidRDefault="00304088" w:rsidP="001A5E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.093</w:t>
            </w:r>
          </w:p>
        </w:tc>
        <w:tc>
          <w:tcPr>
            <w:tcW w:w="1539" w:type="dxa"/>
          </w:tcPr>
          <w:p w:rsidR="00304088" w:rsidRPr="00682D6F" w:rsidRDefault="00304088" w:rsidP="00D6155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-1.32 (-3.47 to .83)</w:t>
            </w:r>
          </w:p>
        </w:tc>
        <w:tc>
          <w:tcPr>
            <w:tcW w:w="729" w:type="dxa"/>
          </w:tcPr>
          <w:p w:rsidR="00304088" w:rsidRPr="00682D6F" w:rsidRDefault="00304088" w:rsidP="00D6155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.23</w:t>
            </w:r>
          </w:p>
        </w:tc>
        <w:tc>
          <w:tcPr>
            <w:tcW w:w="1417" w:type="dxa"/>
          </w:tcPr>
          <w:p w:rsidR="00304088" w:rsidRPr="00682D6F" w:rsidRDefault="00304088" w:rsidP="001A5E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.05 (-.09 to .18)</w:t>
            </w:r>
          </w:p>
        </w:tc>
        <w:tc>
          <w:tcPr>
            <w:tcW w:w="851" w:type="dxa"/>
          </w:tcPr>
          <w:p w:rsidR="00304088" w:rsidRPr="00682D6F" w:rsidRDefault="00304088" w:rsidP="001A5E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.52</w:t>
            </w:r>
          </w:p>
        </w:tc>
        <w:tc>
          <w:tcPr>
            <w:tcW w:w="1417" w:type="dxa"/>
          </w:tcPr>
          <w:p w:rsidR="00304088" w:rsidRPr="00682D6F" w:rsidRDefault="00304088" w:rsidP="001B27E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-1.91 (-4.22 to .40)</w:t>
            </w:r>
          </w:p>
        </w:tc>
        <w:tc>
          <w:tcPr>
            <w:tcW w:w="851" w:type="dxa"/>
          </w:tcPr>
          <w:p w:rsidR="00304088" w:rsidRPr="00682D6F" w:rsidRDefault="00304088" w:rsidP="001A5E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.10</w:t>
            </w:r>
          </w:p>
        </w:tc>
      </w:tr>
      <w:tr w:rsidR="00304088" w:rsidRPr="00480E19" w:rsidTr="003040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5" w:type="dxa"/>
          </w:tcPr>
          <w:p w:rsidR="00304088" w:rsidRPr="00480E19" w:rsidRDefault="00304088" w:rsidP="001A5E21">
            <w:pPr>
              <w:spacing w:line="480" w:lineRule="auto"/>
              <w:rPr>
                <w:rFonts w:ascii="Times New Roman" w:hAnsi="Times New Roman" w:cs="Times New Roman"/>
                <w:b w:val="0"/>
              </w:rPr>
            </w:pPr>
            <w:r w:rsidRPr="00480E19">
              <w:rPr>
                <w:rFonts w:ascii="Times New Roman" w:hAnsi="Times New Roman" w:cs="Times New Roman"/>
                <w:b w:val="0"/>
              </w:rPr>
              <w:t>Early onset depression</w:t>
            </w:r>
          </w:p>
        </w:tc>
        <w:tc>
          <w:tcPr>
            <w:tcW w:w="1426" w:type="dxa"/>
          </w:tcPr>
          <w:p w:rsidR="00304088" w:rsidRPr="00480E19" w:rsidRDefault="00304088" w:rsidP="001A5E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-1.87 (-4.27 to .52)</w:t>
            </w:r>
          </w:p>
        </w:tc>
        <w:tc>
          <w:tcPr>
            <w:tcW w:w="586" w:type="dxa"/>
          </w:tcPr>
          <w:p w:rsidR="00304088" w:rsidRPr="00480E19" w:rsidRDefault="00304088" w:rsidP="001A5E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.13</w:t>
            </w:r>
          </w:p>
        </w:tc>
        <w:tc>
          <w:tcPr>
            <w:tcW w:w="1320" w:type="dxa"/>
          </w:tcPr>
          <w:p w:rsidR="00304088" w:rsidRPr="00480E19" w:rsidRDefault="00304088" w:rsidP="001A5E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-.01 (-.45 to .43)</w:t>
            </w:r>
          </w:p>
        </w:tc>
        <w:tc>
          <w:tcPr>
            <w:tcW w:w="587" w:type="dxa"/>
          </w:tcPr>
          <w:p w:rsidR="00304088" w:rsidRPr="00480E19" w:rsidRDefault="00304088" w:rsidP="001A5E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.97</w:t>
            </w:r>
          </w:p>
        </w:tc>
        <w:tc>
          <w:tcPr>
            <w:tcW w:w="1216" w:type="dxa"/>
          </w:tcPr>
          <w:p w:rsidR="00304088" w:rsidRPr="00480E19" w:rsidRDefault="00304088" w:rsidP="001A5E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-.09 (-.59 to .42)</w:t>
            </w:r>
          </w:p>
        </w:tc>
        <w:tc>
          <w:tcPr>
            <w:tcW w:w="674" w:type="dxa"/>
          </w:tcPr>
          <w:p w:rsidR="00304088" w:rsidRPr="00480E19" w:rsidRDefault="00304088" w:rsidP="001A5E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.74</w:t>
            </w:r>
          </w:p>
        </w:tc>
        <w:tc>
          <w:tcPr>
            <w:tcW w:w="1539" w:type="dxa"/>
          </w:tcPr>
          <w:p w:rsidR="00304088" w:rsidRPr="00682D6F" w:rsidRDefault="00304088" w:rsidP="001A5E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-1.14 (-4.32 to 2.04)</w:t>
            </w:r>
          </w:p>
        </w:tc>
        <w:tc>
          <w:tcPr>
            <w:tcW w:w="729" w:type="dxa"/>
          </w:tcPr>
          <w:p w:rsidR="00304088" w:rsidRPr="00682D6F" w:rsidRDefault="00304088" w:rsidP="001A5E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.48</w:t>
            </w:r>
          </w:p>
        </w:tc>
        <w:tc>
          <w:tcPr>
            <w:tcW w:w="1417" w:type="dxa"/>
          </w:tcPr>
          <w:p w:rsidR="00304088" w:rsidRPr="00682D6F" w:rsidRDefault="00304088" w:rsidP="001A5E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.14 (-.03 to .31)</w:t>
            </w:r>
          </w:p>
        </w:tc>
        <w:tc>
          <w:tcPr>
            <w:tcW w:w="851" w:type="dxa"/>
          </w:tcPr>
          <w:p w:rsidR="00304088" w:rsidRPr="00682D6F" w:rsidRDefault="00304088" w:rsidP="001A5E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.10</w:t>
            </w:r>
          </w:p>
        </w:tc>
        <w:tc>
          <w:tcPr>
            <w:tcW w:w="1417" w:type="dxa"/>
          </w:tcPr>
          <w:p w:rsidR="00304088" w:rsidRPr="00682D6F" w:rsidRDefault="00304088" w:rsidP="001B27E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8.45 (-11.37 to 28.28)</w:t>
            </w:r>
          </w:p>
        </w:tc>
        <w:tc>
          <w:tcPr>
            <w:tcW w:w="851" w:type="dxa"/>
          </w:tcPr>
          <w:p w:rsidR="00304088" w:rsidRPr="00682D6F" w:rsidRDefault="00304088" w:rsidP="001B27E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.40</w:t>
            </w:r>
          </w:p>
        </w:tc>
      </w:tr>
      <w:tr w:rsidR="00304088" w:rsidRPr="00480E19" w:rsidTr="00304088">
        <w:trPr>
          <w:jc w:val="center"/>
        </w:trPr>
        <w:tc>
          <w:tcPr>
            <w:cnfStyle w:val="001000000000" w:firstRow="0" w:lastRow="0" w:firstColumn="1" w:lastColumn="0" w:oddVBand="0" w:evenVBand="0" w:oddHBand="0" w:evenHBand="0" w:firstRowFirstColumn="0" w:firstRowLastColumn="0" w:lastRowFirstColumn="0" w:lastRowLastColumn="0"/>
            <w:tcW w:w="1755" w:type="dxa"/>
          </w:tcPr>
          <w:p w:rsidR="00304088" w:rsidRPr="00480E19" w:rsidRDefault="00304088" w:rsidP="001A5E21">
            <w:pPr>
              <w:spacing w:line="480" w:lineRule="auto"/>
              <w:rPr>
                <w:rFonts w:ascii="Times New Roman" w:hAnsi="Times New Roman" w:cs="Times New Roman"/>
                <w:b w:val="0"/>
              </w:rPr>
            </w:pPr>
            <w:r w:rsidRPr="00480E19">
              <w:rPr>
                <w:rFonts w:ascii="Times New Roman" w:hAnsi="Times New Roman" w:cs="Times New Roman"/>
                <w:b w:val="0"/>
              </w:rPr>
              <w:t xml:space="preserve">No depression disorder </w:t>
            </w:r>
          </w:p>
        </w:tc>
        <w:tc>
          <w:tcPr>
            <w:tcW w:w="1426" w:type="dxa"/>
          </w:tcPr>
          <w:p w:rsidR="00304088" w:rsidRPr="00480E19" w:rsidRDefault="00304088" w:rsidP="001A5E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-1.70 (-3.56 to .16)</w:t>
            </w:r>
          </w:p>
        </w:tc>
        <w:tc>
          <w:tcPr>
            <w:tcW w:w="586" w:type="dxa"/>
          </w:tcPr>
          <w:p w:rsidR="00304088" w:rsidRPr="00480E19" w:rsidRDefault="00304088" w:rsidP="001A5E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.074</w:t>
            </w:r>
          </w:p>
        </w:tc>
        <w:tc>
          <w:tcPr>
            <w:tcW w:w="1320" w:type="dxa"/>
          </w:tcPr>
          <w:p w:rsidR="00304088" w:rsidRPr="00480E19" w:rsidRDefault="00304088" w:rsidP="001A5E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-.33 (-.64 to -.03)</w:t>
            </w:r>
          </w:p>
        </w:tc>
        <w:tc>
          <w:tcPr>
            <w:tcW w:w="587" w:type="dxa"/>
          </w:tcPr>
          <w:p w:rsidR="00304088" w:rsidRPr="00480E19" w:rsidRDefault="00304088" w:rsidP="001A5E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.034*</w:t>
            </w:r>
          </w:p>
        </w:tc>
        <w:tc>
          <w:tcPr>
            <w:tcW w:w="1216" w:type="dxa"/>
          </w:tcPr>
          <w:p w:rsidR="00304088" w:rsidRPr="00480E19" w:rsidRDefault="00304088" w:rsidP="001A5E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-.24 (-.56 to .09)</w:t>
            </w:r>
          </w:p>
        </w:tc>
        <w:tc>
          <w:tcPr>
            <w:tcW w:w="674" w:type="dxa"/>
          </w:tcPr>
          <w:p w:rsidR="00304088" w:rsidRPr="00480E19" w:rsidRDefault="00304088" w:rsidP="001A5E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.16</w:t>
            </w:r>
          </w:p>
        </w:tc>
        <w:tc>
          <w:tcPr>
            <w:tcW w:w="1539" w:type="dxa"/>
          </w:tcPr>
          <w:p w:rsidR="00304088" w:rsidRPr="00682D6F" w:rsidRDefault="00304088" w:rsidP="001A5E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-.39 (-2.03 to 1.26)</w:t>
            </w:r>
          </w:p>
        </w:tc>
        <w:tc>
          <w:tcPr>
            <w:tcW w:w="729" w:type="dxa"/>
          </w:tcPr>
          <w:p w:rsidR="00304088" w:rsidRPr="00682D6F" w:rsidRDefault="00C45F6F" w:rsidP="001A5E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.64</w:t>
            </w:r>
          </w:p>
        </w:tc>
        <w:tc>
          <w:tcPr>
            <w:tcW w:w="1417" w:type="dxa"/>
          </w:tcPr>
          <w:p w:rsidR="00304088" w:rsidRPr="00682D6F" w:rsidRDefault="00304088" w:rsidP="001A5E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.05 (-.07 to .17)</w:t>
            </w:r>
          </w:p>
        </w:tc>
        <w:tc>
          <w:tcPr>
            <w:tcW w:w="851" w:type="dxa"/>
          </w:tcPr>
          <w:p w:rsidR="00304088" w:rsidRPr="00682D6F" w:rsidRDefault="00304088" w:rsidP="001A5E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.45</w:t>
            </w:r>
          </w:p>
        </w:tc>
        <w:tc>
          <w:tcPr>
            <w:tcW w:w="1417" w:type="dxa"/>
          </w:tcPr>
          <w:p w:rsidR="00304088" w:rsidRPr="00682D6F" w:rsidRDefault="00304088" w:rsidP="001B27E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2.53 (-3.57 to 8.62)</w:t>
            </w:r>
          </w:p>
        </w:tc>
        <w:tc>
          <w:tcPr>
            <w:tcW w:w="851" w:type="dxa"/>
          </w:tcPr>
          <w:p w:rsidR="00304088" w:rsidRPr="00682D6F" w:rsidRDefault="00304088" w:rsidP="001B27E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.42</w:t>
            </w:r>
          </w:p>
        </w:tc>
      </w:tr>
      <w:tr w:rsidR="00304088" w:rsidRPr="00480E19" w:rsidTr="003040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5" w:type="dxa"/>
          </w:tcPr>
          <w:p w:rsidR="00304088" w:rsidRPr="00480E19" w:rsidRDefault="00304088" w:rsidP="001A5E21">
            <w:pPr>
              <w:spacing w:line="480" w:lineRule="auto"/>
              <w:rPr>
                <w:rFonts w:ascii="Times New Roman" w:hAnsi="Times New Roman" w:cs="Times New Roman"/>
                <w:b w:val="0"/>
              </w:rPr>
            </w:pPr>
            <w:r w:rsidRPr="00480E19">
              <w:rPr>
                <w:rFonts w:ascii="Times New Roman" w:hAnsi="Times New Roman" w:cs="Times New Roman"/>
              </w:rPr>
              <w:lastRenderedPageBreak/>
              <w:t>Asymptomatic on CESD; ≤ 1 or less assessments</w:t>
            </w:r>
          </w:p>
        </w:tc>
        <w:tc>
          <w:tcPr>
            <w:tcW w:w="1426" w:type="dxa"/>
          </w:tcPr>
          <w:p w:rsidR="00304088" w:rsidRPr="00480E19" w:rsidRDefault="00304088" w:rsidP="001A5E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86" w:type="dxa"/>
          </w:tcPr>
          <w:p w:rsidR="00304088" w:rsidRPr="00480E19" w:rsidRDefault="00304088" w:rsidP="001A5E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20" w:type="dxa"/>
          </w:tcPr>
          <w:p w:rsidR="00304088" w:rsidRPr="00480E19" w:rsidRDefault="00304088" w:rsidP="001A5E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p>
        </w:tc>
        <w:tc>
          <w:tcPr>
            <w:tcW w:w="587" w:type="dxa"/>
          </w:tcPr>
          <w:p w:rsidR="00304088" w:rsidRPr="00480E19" w:rsidRDefault="00304088" w:rsidP="001A5E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p>
        </w:tc>
        <w:tc>
          <w:tcPr>
            <w:tcW w:w="1216" w:type="dxa"/>
          </w:tcPr>
          <w:p w:rsidR="00304088" w:rsidRPr="00480E19" w:rsidRDefault="00304088" w:rsidP="001A5E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p>
        </w:tc>
        <w:tc>
          <w:tcPr>
            <w:tcW w:w="674" w:type="dxa"/>
          </w:tcPr>
          <w:p w:rsidR="00304088" w:rsidRPr="00480E19" w:rsidRDefault="00304088" w:rsidP="001A5E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p>
        </w:tc>
        <w:tc>
          <w:tcPr>
            <w:tcW w:w="1539" w:type="dxa"/>
          </w:tcPr>
          <w:p w:rsidR="00304088" w:rsidRPr="00480E19" w:rsidRDefault="00304088" w:rsidP="001A5E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p>
        </w:tc>
        <w:tc>
          <w:tcPr>
            <w:tcW w:w="729" w:type="dxa"/>
          </w:tcPr>
          <w:p w:rsidR="00304088" w:rsidRPr="00480E19" w:rsidRDefault="00304088" w:rsidP="001A5E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p>
        </w:tc>
        <w:tc>
          <w:tcPr>
            <w:tcW w:w="1417" w:type="dxa"/>
          </w:tcPr>
          <w:p w:rsidR="00304088" w:rsidRPr="00480E19" w:rsidRDefault="00304088" w:rsidP="001A5E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1" w:type="dxa"/>
          </w:tcPr>
          <w:p w:rsidR="00304088" w:rsidRPr="00480E19" w:rsidRDefault="00304088" w:rsidP="001A5E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17" w:type="dxa"/>
          </w:tcPr>
          <w:p w:rsidR="00304088" w:rsidRPr="00480E19" w:rsidRDefault="00304088" w:rsidP="001A5E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p>
        </w:tc>
        <w:tc>
          <w:tcPr>
            <w:tcW w:w="851" w:type="dxa"/>
          </w:tcPr>
          <w:p w:rsidR="00304088" w:rsidRPr="00480E19" w:rsidRDefault="00304088" w:rsidP="001A5E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rPr>
            </w:pPr>
          </w:p>
        </w:tc>
      </w:tr>
      <w:tr w:rsidR="00304088" w:rsidRPr="00480E19" w:rsidTr="00304088">
        <w:trPr>
          <w:jc w:val="center"/>
        </w:trPr>
        <w:tc>
          <w:tcPr>
            <w:cnfStyle w:val="001000000000" w:firstRow="0" w:lastRow="0" w:firstColumn="1" w:lastColumn="0" w:oddVBand="0" w:evenVBand="0" w:oddHBand="0" w:evenHBand="0" w:firstRowFirstColumn="0" w:firstRowLastColumn="0" w:lastRowFirstColumn="0" w:lastRowLastColumn="0"/>
            <w:tcW w:w="1755" w:type="dxa"/>
          </w:tcPr>
          <w:p w:rsidR="00304088" w:rsidRPr="00480E19" w:rsidRDefault="00304088" w:rsidP="001A5E21">
            <w:pPr>
              <w:spacing w:line="480" w:lineRule="auto"/>
              <w:rPr>
                <w:rFonts w:ascii="Times New Roman" w:hAnsi="Times New Roman" w:cs="Times New Roman"/>
                <w:b w:val="0"/>
                <w:highlight w:val="yellow"/>
              </w:rPr>
            </w:pPr>
            <w:r w:rsidRPr="00480E19">
              <w:rPr>
                <w:rFonts w:ascii="Times New Roman" w:hAnsi="Times New Roman" w:cs="Times New Roman"/>
                <w:b w:val="0"/>
              </w:rPr>
              <w:t>Late onset depression</w:t>
            </w:r>
          </w:p>
        </w:tc>
        <w:tc>
          <w:tcPr>
            <w:tcW w:w="1426" w:type="dxa"/>
          </w:tcPr>
          <w:p w:rsidR="00304088" w:rsidRPr="00480E19" w:rsidRDefault="00304088" w:rsidP="001A5E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.09 (-1.20 to 1.37)</w:t>
            </w:r>
          </w:p>
        </w:tc>
        <w:tc>
          <w:tcPr>
            <w:tcW w:w="586" w:type="dxa"/>
          </w:tcPr>
          <w:p w:rsidR="00304088" w:rsidRPr="00480E19" w:rsidRDefault="00304088" w:rsidP="001A5E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.90</w:t>
            </w:r>
          </w:p>
        </w:tc>
        <w:tc>
          <w:tcPr>
            <w:tcW w:w="1320" w:type="dxa"/>
          </w:tcPr>
          <w:p w:rsidR="00304088" w:rsidRPr="00480E19" w:rsidRDefault="00304088" w:rsidP="00F821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-.03 (-.24 to .19)</w:t>
            </w:r>
          </w:p>
        </w:tc>
        <w:tc>
          <w:tcPr>
            <w:tcW w:w="587" w:type="dxa"/>
          </w:tcPr>
          <w:p w:rsidR="00304088" w:rsidRPr="00480E19" w:rsidRDefault="00304088" w:rsidP="001A5E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.81</w:t>
            </w:r>
          </w:p>
        </w:tc>
        <w:tc>
          <w:tcPr>
            <w:tcW w:w="1216" w:type="dxa"/>
          </w:tcPr>
          <w:p w:rsidR="00304088" w:rsidRPr="00480E19" w:rsidRDefault="00304088" w:rsidP="001A5E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-.03 (-.25 to .20)</w:t>
            </w:r>
          </w:p>
        </w:tc>
        <w:tc>
          <w:tcPr>
            <w:tcW w:w="674" w:type="dxa"/>
          </w:tcPr>
          <w:p w:rsidR="00304088" w:rsidRPr="00480E19" w:rsidRDefault="00304088" w:rsidP="001A5E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.81</w:t>
            </w:r>
          </w:p>
        </w:tc>
        <w:tc>
          <w:tcPr>
            <w:tcW w:w="1539" w:type="dxa"/>
          </w:tcPr>
          <w:p w:rsidR="00304088" w:rsidRPr="00682D6F" w:rsidRDefault="00C45F6F" w:rsidP="001A5E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.46 (-.85 to 1.77)</w:t>
            </w:r>
          </w:p>
        </w:tc>
        <w:tc>
          <w:tcPr>
            <w:tcW w:w="729" w:type="dxa"/>
          </w:tcPr>
          <w:p w:rsidR="00304088" w:rsidRPr="00682D6F" w:rsidRDefault="00C45F6F" w:rsidP="001A5E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.49</w:t>
            </w:r>
          </w:p>
        </w:tc>
        <w:tc>
          <w:tcPr>
            <w:tcW w:w="1417" w:type="dxa"/>
          </w:tcPr>
          <w:p w:rsidR="00304088" w:rsidRPr="00682D6F" w:rsidRDefault="00304088" w:rsidP="001A5E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.05 (-.03 to .12)</w:t>
            </w:r>
          </w:p>
        </w:tc>
        <w:tc>
          <w:tcPr>
            <w:tcW w:w="851" w:type="dxa"/>
          </w:tcPr>
          <w:p w:rsidR="00304088" w:rsidRPr="00682D6F" w:rsidRDefault="00304088" w:rsidP="001A5E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.21</w:t>
            </w:r>
          </w:p>
        </w:tc>
        <w:tc>
          <w:tcPr>
            <w:tcW w:w="1417" w:type="dxa"/>
          </w:tcPr>
          <w:p w:rsidR="00304088" w:rsidRPr="00682D6F" w:rsidRDefault="00304088" w:rsidP="001B27E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-.14 (-1.65 to 1.37)</w:t>
            </w:r>
          </w:p>
        </w:tc>
        <w:tc>
          <w:tcPr>
            <w:tcW w:w="851" w:type="dxa"/>
          </w:tcPr>
          <w:p w:rsidR="00304088" w:rsidRPr="00682D6F" w:rsidRDefault="00304088" w:rsidP="001B27E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.86</w:t>
            </w:r>
          </w:p>
        </w:tc>
      </w:tr>
      <w:tr w:rsidR="00304088" w:rsidRPr="00480E19" w:rsidTr="003040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5" w:type="dxa"/>
          </w:tcPr>
          <w:p w:rsidR="00304088" w:rsidRPr="00480E19" w:rsidRDefault="00304088" w:rsidP="001A5E21">
            <w:pPr>
              <w:spacing w:line="480" w:lineRule="auto"/>
              <w:rPr>
                <w:rFonts w:ascii="Times New Roman" w:hAnsi="Times New Roman" w:cs="Times New Roman"/>
                <w:b w:val="0"/>
                <w:highlight w:val="yellow"/>
              </w:rPr>
            </w:pPr>
            <w:r w:rsidRPr="00480E19">
              <w:rPr>
                <w:rFonts w:ascii="Times New Roman" w:hAnsi="Times New Roman" w:cs="Times New Roman"/>
                <w:b w:val="0"/>
              </w:rPr>
              <w:t>Early onset depression</w:t>
            </w:r>
          </w:p>
        </w:tc>
        <w:tc>
          <w:tcPr>
            <w:tcW w:w="1426" w:type="dxa"/>
          </w:tcPr>
          <w:p w:rsidR="00304088" w:rsidRPr="00480E19" w:rsidRDefault="00304088" w:rsidP="001A5E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.74 (-1.42 to 2.90)</w:t>
            </w:r>
          </w:p>
        </w:tc>
        <w:tc>
          <w:tcPr>
            <w:tcW w:w="586" w:type="dxa"/>
          </w:tcPr>
          <w:p w:rsidR="00304088" w:rsidRPr="00480E19" w:rsidRDefault="00304088" w:rsidP="001A5E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.50</w:t>
            </w:r>
          </w:p>
        </w:tc>
        <w:tc>
          <w:tcPr>
            <w:tcW w:w="1320" w:type="dxa"/>
          </w:tcPr>
          <w:p w:rsidR="00304088" w:rsidRPr="00480E19" w:rsidRDefault="00304088" w:rsidP="001A5E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.18 (-.18 to .54)</w:t>
            </w:r>
          </w:p>
        </w:tc>
        <w:tc>
          <w:tcPr>
            <w:tcW w:w="587" w:type="dxa"/>
          </w:tcPr>
          <w:p w:rsidR="00304088" w:rsidRPr="00480E19" w:rsidRDefault="00304088" w:rsidP="001A5E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.33</w:t>
            </w:r>
          </w:p>
        </w:tc>
        <w:tc>
          <w:tcPr>
            <w:tcW w:w="1216" w:type="dxa"/>
          </w:tcPr>
          <w:p w:rsidR="00304088" w:rsidRPr="00480E19" w:rsidRDefault="00304088" w:rsidP="001A5E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.04 (-.31 to .39)</w:t>
            </w:r>
          </w:p>
        </w:tc>
        <w:tc>
          <w:tcPr>
            <w:tcW w:w="674" w:type="dxa"/>
          </w:tcPr>
          <w:p w:rsidR="00304088" w:rsidRPr="00480E19" w:rsidRDefault="00304088" w:rsidP="001A5E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.83</w:t>
            </w:r>
          </w:p>
        </w:tc>
        <w:tc>
          <w:tcPr>
            <w:tcW w:w="1539" w:type="dxa"/>
          </w:tcPr>
          <w:p w:rsidR="00304088" w:rsidRPr="00682D6F" w:rsidRDefault="00C45F6F" w:rsidP="001A5E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2.31 (.48 to 4.14)</w:t>
            </w:r>
          </w:p>
        </w:tc>
        <w:tc>
          <w:tcPr>
            <w:tcW w:w="729" w:type="dxa"/>
          </w:tcPr>
          <w:p w:rsidR="00304088" w:rsidRPr="00682D6F" w:rsidRDefault="00C45F6F" w:rsidP="001A5E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.014*</w:t>
            </w:r>
          </w:p>
        </w:tc>
        <w:tc>
          <w:tcPr>
            <w:tcW w:w="1417" w:type="dxa"/>
          </w:tcPr>
          <w:p w:rsidR="00304088" w:rsidRPr="00682D6F" w:rsidRDefault="00304088" w:rsidP="001A5E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-.05 (-.20 to .11)</w:t>
            </w:r>
          </w:p>
        </w:tc>
        <w:tc>
          <w:tcPr>
            <w:tcW w:w="851" w:type="dxa"/>
          </w:tcPr>
          <w:p w:rsidR="00304088" w:rsidRPr="00682D6F" w:rsidRDefault="00304088" w:rsidP="001A5E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.55</w:t>
            </w:r>
          </w:p>
        </w:tc>
        <w:tc>
          <w:tcPr>
            <w:tcW w:w="1417" w:type="dxa"/>
          </w:tcPr>
          <w:p w:rsidR="00304088" w:rsidRPr="00682D6F" w:rsidRDefault="00304088" w:rsidP="001323F2">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1.16 (-1.56 to 3.89)</w:t>
            </w:r>
          </w:p>
        </w:tc>
        <w:tc>
          <w:tcPr>
            <w:tcW w:w="851" w:type="dxa"/>
          </w:tcPr>
          <w:p w:rsidR="00304088" w:rsidRPr="00682D6F" w:rsidRDefault="00304088" w:rsidP="001323F2">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.40</w:t>
            </w:r>
          </w:p>
        </w:tc>
      </w:tr>
      <w:tr w:rsidR="00C45F6F" w:rsidRPr="00480E19" w:rsidTr="00304088">
        <w:trPr>
          <w:jc w:val="center"/>
        </w:trPr>
        <w:tc>
          <w:tcPr>
            <w:cnfStyle w:val="001000000000" w:firstRow="0" w:lastRow="0" w:firstColumn="1" w:lastColumn="0" w:oddVBand="0" w:evenVBand="0" w:oddHBand="0" w:evenHBand="0" w:firstRowFirstColumn="0" w:firstRowLastColumn="0" w:lastRowFirstColumn="0" w:lastRowLastColumn="0"/>
            <w:tcW w:w="1755" w:type="dxa"/>
          </w:tcPr>
          <w:p w:rsidR="00C45F6F" w:rsidRPr="00480E19" w:rsidRDefault="00C45F6F" w:rsidP="001A5E21">
            <w:pPr>
              <w:spacing w:line="480" w:lineRule="auto"/>
              <w:rPr>
                <w:rFonts w:ascii="Times New Roman" w:hAnsi="Times New Roman" w:cs="Times New Roman"/>
                <w:b w:val="0"/>
              </w:rPr>
            </w:pPr>
            <w:r w:rsidRPr="00480E19">
              <w:rPr>
                <w:rFonts w:ascii="Times New Roman" w:hAnsi="Times New Roman" w:cs="Times New Roman"/>
                <w:b w:val="0"/>
              </w:rPr>
              <w:t xml:space="preserve">No depression history </w:t>
            </w:r>
          </w:p>
        </w:tc>
        <w:tc>
          <w:tcPr>
            <w:tcW w:w="1426" w:type="dxa"/>
          </w:tcPr>
          <w:p w:rsidR="00C45F6F" w:rsidRPr="00480E19" w:rsidRDefault="00C45F6F" w:rsidP="001A5E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Reference</w:t>
            </w:r>
          </w:p>
        </w:tc>
        <w:tc>
          <w:tcPr>
            <w:tcW w:w="586" w:type="dxa"/>
          </w:tcPr>
          <w:p w:rsidR="00C45F6F" w:rsidRPr="00480E19" w:rsidRDefault="00C45F6F" w:rsidP="001A5E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w:t>
            </w:r>
          </w:p>
        </w:tc>
        <w:tc>
          <w:tcPr>
            <w:tcW w:w="1320" w:type="dxa"/>
          </w:tcPr>
          <w:p w:rsidR="00C45F6F" w:rsidRPr="00480E19" w:rsidRDefault="00C45F6F" w:rsidP="001A5E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Reference</w:t>
            </w:r>
          </w:p>
        </w:tc>
        <w:tc>
          <w:tcPr>
            <w:tcW w:w="587" w:type="dxa"/>
          </w:tcPr>
          <w:p w:rsidR="00C45F6F" w:rsidRPr="00480E19" w:rsidRDefault="00C45F6F" w:rsidP="001A5E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w:t>
            </w:r>
          </w:p>
        </w:tc>
        <w:tc>
          <w:tcPr>
            <w:tcW w:w="1216" w:type="dxa"/>
          </w:tcPr>
          <w:p w:rsidR="00C45F6F" w:rsidRPr="00480E19" w:rsidRDefault="00C45F6F" w:rsidP="001A5E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Reference</w:t>
            </w:r>
          </w:p>
        </w:tc>
        <w:tc>
          <w:tcPr>
            <w:tcW w:w="674" w:type="dxa"/>
          </w:tcPr>
          <w:p w:rsidR="00C45F6F" w:rsidRPr="00480E19" w:rsidRDefault="00C45F6F" w:rsidP="001A5E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w:t>
            </w:r>
          </w:p>
        </w:tc>
        <w:tc>
          <w:tcPr>
            <w:tcW w:w="1539" w:type="dxa"/>
          </w:tcPr>
          <w:p w:rsidR="00C45F6F" w:rsidRPr="00682D6F" w:rsidRDefault="00C45F6F" w:rsidP="00D6155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Reference</w:t>
            </w:r>
          </w:p>
        </w:tc>
        <w:tc>
          <w:tcPr>
            <w:tcW w:w="729" w:type="dxa"/>
          </w:tcPr>
          <w:p w:rsidR="00C45F6F" w:rsidRPr="00682D6F" w:rsidRDefault="00C45F6F" w:rsidP="00D6155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w:t>
            </w:r>
          </w:p>
        </w:tc>
        <w:tc>
          <w:tcPr>
            <w:tcW w:w="1417" w:type="dxa"/>
          </w:tcPr>
          <w:p w:rsidR="00C45F6F" w:rsidRPr="00682D6F" w:rsidRDefault="00C45F6F" w:rsidP="001A5E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Reference</w:t>
            </w:r>
          </w:p>
        </w:tc>
        <w:tc>
          <w:tcPr>
            <w:tcW w:w="851" w:type="dxa"/>
          </w:tcPr>
          <w:p w:rsidR="00C45F6F" w:rsidRPr="00682D6F" w:rsidRDefault="00C45F6F" w:rsidP="001A5E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w:t>
            </w:r>
          </w:p>
        </w:tc>
        <w:tc>
          <w:tcPr>
            <w:tcW w:w="1417" w:type="dxa"/>
          </w:tcPr>
          <w:p w:rsidR="00C45F6F" w:rsidRPr="00682D6F" w:rsidRDefault="00C45F6F" w:rsidP="001A5E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Reference</w:t>
            </w:r>
          </w:p>
        </w:tc>
        <w:tc>
          <w:tcPr>
            <w:tcW w:w="851" w:type="dxa"/>
          </w:tcPr>
          <w:p w:rsidR="00C45F6F" w:rsidRPr="00682D6F" w:rsidRDefault="00C45F6F" w:rsidP="001A5E2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w:t>
            </w:r>
          </w:p>
        </w:tc>
      </w:tr>
      <w:tr w:rsidR="00C45F6F" w:rsidRPr="00480E19" w:rsidTr="003040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5" w:type="dxa"/>
          </w:tcPr>
          <w:p w:rsidR="00C45F6F" w:rsidRPr="00480E19" w:rsidRDefault="00C45F6F" w:rsidP="001A5E21">
            <w:pPr>
              <w:spacing w:line="480" w:lineRule="auto"/>
              <w:rPr>
                <w:rFonts w:ascii="Times New Roman" w:hAnsi="Times New Roman" w:cs="Times New Roman"/>
                <w:b w:val="0"/>
              </w:rPr>
            </w:pPr>
            <w:r w:rsidRPr="00480E19">
              <w:rPr>
                <w:rFonts w:ascii="Times New Roman" w:hAnsi="Times New Roman" w:cs="Times New Roman"/>
                <w:b w:val="0"/>
              </w:rPr>
              <w:t>Diastolic BPV (log)</w:t>
            </w:r>
          </w:p>
        </w:tc>
        <w:tc>
          <w:tcPr>
            <w:tcW w:w="1426" w:type="dxa"/>
          </w:tcPr>
          <w:p w:rsidR="00C45F6F" w:rsidRPr="00480E19" w:rsidRDefault="00C45F6F" w:rsidP="001A5E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-.54 (-1.27 to .19)</w:t>
            </w:r>
          </w:p>
        </w:tc>
        <w:tc>
          <w:tcPr>
            <w:tcW w:w="586" w:type="dxa"/>
          </w:tcPr>
          <w:p w:rsidR="00C45F6F" w:rsidRPr="00480E19" w:rsidRDefault="00C45F6F" w:rsidP="001A5E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.15</w:t>
            </w:r>
          </w:p>
        </w:tc>
        <w:tc>
          <w:tcPr>
            <w:tcW w:w="1320" w:type="dxa"/>
          </w:tcPr>
          <w:p w:rsidR="00C45F6F" w:rsidRPr="00480E19" w:rsidRDefault="00C45F6F" w:rsidP="0030691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-.18 (-.29 to -.07)</w:t>
            </w:r>
          </w:p>
        </w:tc>
        <w:tc>
          <w:tcPr>
            <w:tcW w:w="587" w:type="dxa"/>
          </w:tcPr>
          <w:p w:rsidR="00C45F6F" w:rsidRPr="00480E19" w:rsidRDefault="00C45F6F" w:rsidP="001A5E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.001**</w:t>
            </w:r>
          </w:p>
        </w:tc>
        <w:tc>
          <w:tcPr>
            <w:tcW w:w="1216" w:type="dxa"/>
          </w:tcPr>
          <w:p w:rsidR="00C45F6F" w:rsidRPr="00480E19" w:rsidRDefault="00C45F6F" w:rsidP="001A5E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-.12 (-.24 to -.01)</w:t>
            </w:r>
          </w:p>
        </w:tc>
        <w:tc>
          <w:tcPr>
            <w:tcW w:w="674" w:type="dxa"/>
          </w:tcPr>
          <w:p w:rsidR="00C45F6F" w:rsidRPr="00480E19" w:rsidRDefault="00C45F6F" w:rsidP="001A5E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0E19">
              <w:rPr>
                <w:rFonts w:ascii="Times New Roman" w:hAnsi="Times New Roman" w:cs="Times New Roman"/>
              </w:rPr>
              <w:t>.039*</w:t>
            </w:r>
          </w:p>
        </w:tc>
        <w:tc>
          <w:tcPr>
            <w:tcW w:w="1539" w:type="dxa"/>
          </w:tcPr>
          <w:p w:rsidR="00C45F6F" w:rsidRPr="00682D6F" w:rsidRDefault="00C45F6F" w:rsidP="0030408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-.82 (-1.57 to -.07)</w:t>
            </w:r>
          </w:p>
        </w:tc>
        <w:tc>
          <w:tcPr>
            <w:tcW w:w="729" w:type="dxa"/>
          </w:tcPr>
          <w:p w:rsidR="00C45F6F" w:rsidRPr="00682D6F" w:rsidRDefault="00C45F6F" w:rsidP="0030408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.014*</w:t>
            </w:r>
          </w:p>
        </w:tc>
        <w:tc>
          <w:tcPr>
            <w:tcW w:w="1417" w:type="dxa"/>
          </w:tcPr>
          <w:p w:rsidR="00C45F6F" w:rsidRPr="00682D6F" w:rsidRDefault="00C45F6F" w:rsidP="001A5E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-.03 (-.07 to .02)</w:t>
            </w:r>
          </w:p>
        </w:tc>
        <w:tc>
          <w:tcPr>
            <w:tcW w:w="851" w:type="dxa"/>
          </w:tcPr>
          <w:p w:rsidR="00C45F6F" w:rsidRPr="00682D6F" w:rsidRDefault="00C45F6F" w:rsidP="001A5E21">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.29</w:t>
            </w:r>
          </w:p>
        </w:tc>
        <w:tc>
          <w:tcPr>
            <w:tcW w:w="1417" w:type="dxa"/>
          </w:tcPr>
          <w:p w:rsidR="00C45F6F" w:rsidRPr="00682D6F" w:rsidRDefault="00C45F6F" w:rsidP="001323F2">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-.59 (-1.62 to .44)</w:t>
            </w:r>
          </w:p>
        </w:tc>
        <w:tc>
          <w:tcPr>
            <w:tcW w:w="851" w:type="dxa"/>
          </w:tcPr>
          <w:p w:rsidR="00C45F6F" w:rsidRPr="00682D6F" w:rsidRDefault="00C45F6F" w:rsidP="001323F2">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2D6F">
              <w:rPr>
                <w:rFonts w:ascii="Times New Roman" w:hAnsi="Times New Roman" w:cs="Times New Roman"/>
              </w:rPr>
              <w:t>.26</w:t>
            </w:r>
          </w:p>
        </w:tc>
      </w:tr>
    </w:tbl>
    <w:p w:rsidR="006B53D1" w:rsidRPr="00480E19" w:rsidRDefault="006B53D1" w:rsidP="00480E19">
      <w:pPr>
        <w:spacing w:after="0" w:line="360" w:lineRule="auto"/>
        <w:rPr>
          <w:rFonts w:ascii="Times New Roman" w:hAnsi="Times New Roman" w:cs="Times New Roman"/>
          <w:i/>
        </w:rPr>
      </w:pPr>
      <w:r w:rsidRPr="00480E19">
        <w:rPr>
          <w:rFonts w:ascii="Times New Roman" w:hAnsi="Times New Roman" w:cs="Times New Roman"/>
          <w:i/>
        </w:rPr>
        <w:t>BPV, blood pressure variability; BVRT, Benton Visual Retention Test; EOD, early onset depression; FTT, Finger Tapping Test; IST, Isaac’s Set Test; LOD, late onset depression; MMSE, Mini Mental State Examination; TMTB, Trail Making Test Part B;</w:t>
      </w:r>
    </w:p>
    <w:p w:rsidR="005128A4" w:rsidRPr="00480E19" w:rsidRDefault="005128A4">
      <w:pPr>
        <w:rPr>
          <w:rFonts w:ascii="Times New Roman" w:hAnsi="Times New Roman" w:cs="Times New Roman"/>
        </w:rPr>
      </w:pPr>
    </w:p>
    <w:p w:rsidR="00DC4395" w:rsidRPr="00480E19" w:rsidRDefault="00041497">
      <w:pPr>
        <w:spacing w:after="200" w:line="276" w:lineRule="auto"/>
        <w:rPr>
          <w:rFonts w:ascii="Times New Roman" w:hAnsi="Times New Roman" w:cs="Times New Roman"/>
          <w:b/>
          <w:color w:val="191919"/>
          <w:shd w:val="clear" w:color="auto" w:fill="FFFFFF"/>
        </w:rPr>
        <w:sectPr w:rsidR="00DC4395" w:rsidRPr="00480E19" w:rsidSect="00DC4395">
          <w:pgSz w:w="16838" w:h="11906" w:orient="landscape"/>
          <w:pgMar w:top="1417" w:right="1417" w:bottom="1417" w:left="1417" w:header="708" w:footer="708" w:gutter="0"/>
          <w:cols w:space="708"/>
          <w:docGrid w:linePitch="360"/>
        </w:sectPr>
      </w:pPr>
      <w:r w:rsidRPr="00480E19">
        <w:rPr>
          <w:rFonts w:ascii="Times New Roman" w:hAnsi="Times New Roman" w:cs="Times New Roman"/>
          <w:b/>
          <w:color w:val="191919"/>
          <w:shd w:val="clear" w:color="auto" w:fill="FFFFFF"/>
        </w:rPr>
        <w:br w:type="page"/>
      </w:r>
    </w:p>
    <w:p w:rsidR="00494542" w:rsidRDefault="00D61555" w:rsidP="00D61555">
      <w:pPr>
        <w:jc w:val="center"/>
        <w:rPr>
          <w:rFonts w:ascii="Times New Roman" w:hAnsi="Times New Roman" w:cs="Times New Roman"/>
          <w:b/>
          <w:color w:val="191919"/>
          <w:shd w:val="clear" w:color="auto" w:fill="FFFFFF"/>
        </w:rPr>
      </w:pPr>
      <w:r>
        <w:rPr>
          <w:rFonts w:ascii="Times New Roman" w:hAnsi="Times New Roman" w:cs="Times New Roman"/>
          <w:noProof/>
          <w:sz w:val="24"/>
          <w:szCs w:val="24"/>
          <w:lang w:val="fr-FR" w:eastAsia="fr-FR"/>
        </w:rPr>
        <w:lastRenderedPageBreak/>
        <w:drawing>
          <wp:inline distT="0" distB="0" distL="0" distR="0">
            <wp:extent cx="2940050" cy="235585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0050" cy="2355850"/>
                    </a:xfrm>
                    <a:prstGeom prst="rect">
                      <a:avLst/>
                    </a:prstGeom>
                    <a:noFill/>
                    <a:ln>
                      <a:noFill/>
                    </a:ln>
                  </pic:spPr>
                </pic:pic>
              </a:graphicData>
            </a:graphic>
          </wp:inline>
        </w:drawing>
      </w:r>
    </w:p>
    <w:p w:rsidR="00D61555" w:rsidRDefault="00D61555" w:rsidP="00D61555">
      <w:pPr>
        <w:jc w:val="center"/>
        <w:rPr>
          <w:rFonts w:ascii="Times New Roman" w:hAnsi="Times New Roman" w:cs="Times New Roman"/>
          <w:b/>
          <w:color w:val="191919"/>
          <w:shd w:val="clear" w:color="auto" w:fill="FFFFFF"/>
        </w:rPr>
      </w:pPr>
      <w:r>
        <w:rPr>
          <w:rFonts w:ascii="Times New Roman" w:hAnsi="Times New Roman" w:cs="Times New Roman"/>
          <w:noProof/>
          <w:sz w:val="24"/>
          <w:szCs w:val="24"/>
          <w:lang w:val="fr-FR" w:eastAsia="fr-FR"/>
        </w:rPr>
        <w:drawing>
          <wp:inline distT="0" distB="0" distL="0" distR="0">
            <wp:extent cx="2921000" cy="2336800"/>
            <wp:effectExtent l="0" t="0" r="0"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4228" cy="2339382"/>
                    </a:xfrm>
                    <a:prstGeom prst="rect">
                      <a:avLst/>
                    </a:prstGeom>
                    <a:noFill/>
                    <a:ln>
                      <a:noFill/>
                    </a:ln>
                  </pic:spPr>
                </pic:pic>
              </a:graphicData>
            </a:graphic>
          </wp:inline>
        </w:drawing>
      </w:r>
    </w:p>
    <w:p w:rsidR="00D61555" w:rsidRDefault="00D61555" w:rsidP="00D61555">
      <w:pPr>
        <w:jc w:val="center"/>
        <w:rPr>
          <w:rFonts w:ascii="Times New Roman" w:hAnsi="Times New Roman" w:cs="Times New Roman"/>
          <w:b/>
          <w:color w:val="191919"/>
          <w:shd w:val="clear" w:color="auto" w:fill="FFFFFF"/>
        </w:rPr>
      </w:pPr>
      <w:r>
        <w:rPr>
          <w:rFonts w:ascii="Times New Roman" w:hAnsi="Times New Roman" w:cs="Times New Roman"/>
          <w:noProof/>
          <w:sz w:val="24"/>
          <w:szCs w:val="24"/>
          <w:lang w:val="fr-FR" w:eastAsia="fr-FR"/>
        </w:rPr>
        <w:drawing>
          <wp:inline distT="0" distB="0" distL="0" distR="0">
            <wp:extent cx="2997200" cy="24003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7200" cy="2400300"/>
                    </a:xfrm>
                    <a:prstGeom prst="rect">
                      <a:avLst/>
                    </a:prstGeom>
                    <a:noFill/>
                    <a:ln>
                      <a:noFill/>
                    </a:ln>
                  </pic:spPr>
                </pic:pic>
              </a:graphicData>
            </a:graphic>
          </wp:inline>
        </w:drawing>
      </w:r>
    </w:p>
    <w:p w:rsidR="00D61555" w:rsidRPr="00682D6F" w:rsidRDefault="00D61555" w:rsidP="00D61555">
      <w:pPr>
        <w:spacing w:after="0" w:line="240" w:lineRule="auto"/>
        <w:jc w:val="center"/>
        <w:rPr>
          <w:rFonts w:ascii="Times New Roman" w:hAnsi="Times New Roman" w:cs="Times New Roman"/>
          <w:b/>
        </w:rPr>
      </w:pPr>
      <w:proofErr w:type="spellStart"/>
      <w:r w:rsidRPr="00682D6F">
        <w:rPr>
          <w:rFonts w:ascii="Times New Roman" w:hAnsi="Times New Roman" w:cs="Times New Roman"/>
          <w:b/>
        </w:rPr>
        <w:t>eFig</w:t>
      </w:r>
      <w:proofErr w:type="spellEnd"/>
      <w:r w:rsidRPr="00682D6F">
        <w:rPr>
          <w:rFonts w:ascii="Times New Roman" w:hAnsi="Times New Roman" w:cs="Times New Roman"/>
          <w:b/>
        </w:rPr>
        <w:t xml:space="preserve"> 3. Scatterplot of systolic blood pressure variability and WMH volume  </w:t>
      </w:r>
    </w:p>
    <w:p w:rsidR="00D61555" w:rsidRPr="00682D6F" w:rsidRDefault="00D61555" w:rsidP="00D61555">
      <w:pPr>
        <w:spacing w:after="0" w:line="240" w:lineRule="auto"/>
        <w:rPr>
          <w:rFonts w:ascii="Times New Roman" w:hAnsi="Times New Roman" w:cs="Times New Roman"/>
        </w:rPr>
      </w:pPr>
      <w:r w:rsidRPr="00682D6F">
        <w:rPr>
          <w:rFonts w:ascii="Times New Roman" w:hAnsi="Times New Roman" w:cs="Times New Roman"/>
        </w:rPr>
        <w:t>Scatterplot showing systolic BPV in % (x-axis) and log WMH volume in cm</w:t>
      </w:r>
      <w:r w:rsidRPr="00682D6F">
        <w:rPr>
          <w:rFonts w:ascii="Times New Roman" w:hAnsi="Times New Roman" w:cs="Times New Roman"/>
          <w:vertAlign w:val="superscript"/>
        </w:rPr>
        <w:t xml:space="preserve">3 </w:t>
      </w:r>
      <w:r w:rsidRPr="00682D6F">
        <w:rPr>
          <w:rFonts w:ascii="Times New Roman" w:hAnsi="Times New Roman" w:cs="Times New Roman"/>
        </w:rPr>
        <w:t xml:space="preserve">(y-axis) for total, deep and periventricular WMH </w:t>
      </w:r>
    </w:p>
    <w:p w:rsidR="00D61555" w:rsidRPr="00682D6F" w:rsidRDefault="00D61555" w:rsidP="00D61555">
      <w:pPr>
        <w:spacing w:after="0" w:line="240" w:lineRule="auto"/>
        <w:rPr>
          <w:rFonts w:ascii="Times New Roman" w:hAnsi="Times New Roman" w:cs="Times New Roman"/>
          <w:i/>
        </w:rPr>
      </w:pPr>
      <w:r w:rsidRPr="00682D6F">
        <w:rPr>
          <w:rFonts w:ascii="Times New Roman" w:hAnsi="Times New Roman" w:cs="Times New Roman"/>
          <w:i/>
        </w:rPr>
        <w:t xml:space="preserve">BPV, blood pressure variability; </w:t>
      </w:r>
      <w:proofErr w:type="spellStart"/>
      <w:r w:rsidRPr="00682D6F">
        <w:rPr>
          <w:rFonts w:ascii="Times New Roman" w:hAnsi="Times New Roman" w:cs="Times New Roman"/>
          <w:i/>
        </w:rPr>
        <w:t>DWMH</w:t>
      </w:r>
      <w:proofErr w:type="spellEnd"/>
      <w:r w:rsidRPr="00682D6F">
        <w:rPr>
          <w:rFonts w:ascii="Times New Roman" w:hAnsi="Times New Roman" w:cs="Times New Roman"/>
          <w:i/>
        </w:rPr>
        <w:t xml:space="preserve">, deep white </w:t>
      </w:r>
      <w:proofErr w:type="spellStart"/>
      <w:r w:rsidRPr="00682D6F">
        <w:rPr>
          <w:rFonts w:ascii="Times New Roman" w:hAnsi="Times New Roman" w:cs="Times New Roman"/>
          <w:i/>
        </w:rPr>
        <w:t>matter</w:t>
      </w:r>
      <w:proofErr w:type="spellEnd"/>
      <w:r w:rsidRPr="00682D6F">
        <w:rPr>
          <w:rFonts w:ascii="Times New Roman" w:hAnsi="Times New Roman" w:cs="Times New Roman"/>
          <w:i/>
        </w:rPr>
        <w:t xml:space="preserve"> hyperintensities; </w:t>
      </w:r>
      <w:proofErr w:type="spellStart"/>
      <w:r w:rsidRPr="00682D6F">
        <w:rPr>
          <w:rFonts w:ascii="Times New Roman" w:hAnsi="Times New Roman" w:cs="Times New Roman"/>
          <w:i/>
        </w:rPr>
        <w:t>PWMH</w:t>
      </w:r>
      <w:proofErr w:type="spellEnd"/>
      <w:r w:rsidRPr="00682D6F">
        <w:rPr>
          <w:rFonts w:ascii="Times New Roman" w:hAnsi="Times New Roman" w:cs="Times New Roman"/>
          <w:i/>
        </w:rPr>
        <w:t xml:space="preserve">, periventricular white </w:t>
      </w:r>
      <w:proofErr w:type="spellStart"/>
      <w:r w:rsidRPr="00682D6F">
        <w:rPr>
          <w:rFonts w:ascii="Times New Roman" w:hAnsi="Times New Roman" w:cs="Times New Roman"/>
          <w:i/>
        </w:rPr>
        <w:t>matter</w:t>
      </w:r>
      <w:proofErr w:type="spellEnd"/>
      <w:r w:rsidRPr="00682D6F">
        <w:rPr>
          <w:rFonts w:ascii="Times New Roman" w:hAnsi="Times New Roman" w:cs="Times New Roman"/>
          <w:i/>
        </w:rPr>
        <w:t xml:space="preserve"> hyperintensities; </w:t>
      </w:r>
      <w:proofErr w:type="spellStart"/>
      <w:r w:rsidRPr="00682D6F">
        <w:rPr>
          <w:rFonts w:ascii="Times New Roman" w:hAnsi="Times New Roman" w:cs="Times New Roman"/>
          <w:i/>
        </w:rPr>
        <w:t>WMH</w:t>
      </w:r>
      <w:proofErr w:type="spellEnd"/>
      <w:r w:rsidRPr="00682D6F">
        <w:rPr>
          <w:rFonts w:ascii="Times New Roman" w:hAnsi="Times New Roman" w:cs="Times New Roman"/>
          <w:i/>
        </w:rPr>
        <w:t xml:space="preserve">, white </w:t>
      </w:r>
      <w:proofErr w:type="spellStart"/>
      <w:r w:rsidRPr="00682D6F">
        <w:rPr>
          <w:rFonts w:ascii="Times New Roman" w:hAnsi="Times New Roman" w:cs="Times New Roman"/>
          <w:i/>
        </w:rPr>
        <w:t>matter</w:t>
      </w:r>
      <w:proofErr w:type="spellEnd"/>
      <w:r w:rsidRPr="00682D6F">
        <w:rPr>
          <w:rFonts w:ascii="Times New Roman" w:hAnsi="Times New Roman" w:cs="Times New Roman"/>
          <w:i/>
        </w:rPr>
        <w:t xml:space="preserve"> hyperintensities;</w:t>
      </w:r>
    </w:p>
    <w:p w:rsidR="00D61555" w:rsidRDefault="00D61555">
      <w:pPr>
        <w:spacing w:after="200" w:line="276" w:lineRule="auto"/>
        <w:rPr>
          <w:rFonts w:ascii="Times New Roman" w:hAnsi="Times New Roman" w:cs="Times New Roman"/>
          <w:i/>
          <w:color w:val="FF0000"/>
        </w:rPr>
      </w:pPr>
      <w:r>
        <w:rPr>
          <w:rFonts w:ascii="Times New Roman" w:hAnsi="Times New Roman" w:cs="Times New Roman"/>
          <w:i/>
          <w:color w:val="FF0000"/>
        </w:rPr>
        <w:br w:type="page"/>
      </w:r>
    </w:p>
    <w:p w:rsidR="00D61555" w:rsidRDefault="00D61555" w:rsidP="00D61555">
      <w:pPr>
        <w:spacing w:after="0" w:line="240" w:lineRule="auto"/>
        <w:jc w:val="center"/>
        <w:rPr>
          <w:rFonts w:ascii="Times New Roman" w:hAnsi="Times New Roman" w:cs="Times New Roman"/>
          <w:b/>
          <w:color w:val="FF0000"/>
        </w:rPr>
      </w:pPr>
      <w:r>
        <w:rPr>
          <w:rFonts w:ascii="Times New Roman" w:hAnsi="Times New Roman" w:cs="Times New Roman"/>
          <w:noProof/>
          <w:sz w:val="24"/>
          <w:szCs w:val="24"/>
          <w:lang w:val="fr-FR" w:eastAsia="fr-FR"/>
        </w:rPr>
        <w:lastRenderedPageBreak/>
        <w:drawing>
          <wp:inline distT="0" distB="0" distL="0" distR="0">
            <wp:extent cx="3238500" cy="2589502"/>
            <wp:effectExtent l="0" t="0" r="0" b="190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0" cy="2589502"/>
                    </a:xfrm>
                    <a:prstGeom prst="rect">
                      <a:avLst/>
                    </a:prstGeom>
                    <a:noFill/>
                    <a:ln>
                      <a:noFill/>
                    </a:ln>
                  </pic:spPr>
                </pic:pic>
              </a:graphicData>
            </a:graphic>
          </wp:inline>
        </w:drawing>
      </w:r>
    </w:p>
    <w:p w:rsidR="00D61555" w:rsidRDefault="00D61555" w:rsidP="00D61555">
      <w:pPr>
        <w:spacing w:after="0" w:line="240" w:lineRule="auto"/>
        <w:jc w:val="center"/>
        <w:rPr>
          <w:rFonts w:ascii="Times New Roman" w:hAnsi="Times New Roman" w:cs="Times New Roman"/>
          <w:b/>
          <w:color w:val="FF0000"/>
        </w:rPr>
      </w:pPr>
      <w:r>
        <w:rPr>
          <w:rFonts w:ascii="Times New Roman" w:hAnsi="Times New Roman" w:cs="Times New Roman"/>
          <w:noProof/>
          <w:sz w:val="24"/>
          <w:szCs w:val="24"/>
          <w:lang w:val="fr-FR" w:eastAsia="fr-FR"/>
        </w:rPr>
        <w:drawing>
          <wp:inline distT="0" distB="0" distL="0" distR="0">
            <wp:extent cx="3269411" cy="2623821"/>
            <wp:effectExtent l="0" t="0" r="7620" b="508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78619" cy="2631211"/>
                    </a:xfrm>
                    <a:prstGeom prst="rect">
                      <a:avLst/>
                    </a:prstGeom>
                    <a:noFill/>
                    <a:ln>
                      <a:noFill/>
                    </a:ln>
                  </pic:spPr>
                </pic:pic>
              </a:graphicData>
            </a:graphic>
          </wp:inline>
        </w:drawing>
      </w:r>
    </w:p>
    <w:p w:rsidR="00D61555" w:rsidRDefault="00D61555" w:rsidP="00D61555">
      <w:pPr>
        <w:spacing w:after="0" w:line="240" w:lineRule="auto"/>
        <w:jc w:val="center"/>
        <w:rPr>
          <w:rFonts w:ascii="Times New Roman" w:hAnsi="Times New Roman" w:cs="Times New Roman"/>
          <w:b/>
          <w:color w:val="FF0000"/>
        </w:rPr>
      </w:pPr>
      <w:r>
        <w:rPr>
          <w:rFonts w:ascii="Times New Roman" w:hAnsi="Times New Roman" w:cs="Times New Roman"/>
          <w:noProof/>
          <w:sz w:val="24"/>
          <w:szCs w:val="24"/>
          <w:lang w:val="fr-FR" w:eastAsia="fr-FR"/>
        </w:rPr>
        <w:drawing>
          <wp:inline distT="0" distB="0" distL="0" distR="0">
            <wp:extent cx="3355975" cy="269113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55975" cy="2691130"/>
                    </a:xfrm>
                    <a:prstGeom prst="rect">
                      <a:avLst/>
                    </a:prstGeom>
                    <a:noFill/>
                    <a:ln>
                      <a:noFill/>
                    </a:ln>
                  </pic:spPr>
                </pic:pic>
              </a:graphicData>
            </a:graphic>
          </wp:inline>
        </w:drawing>
      </w:r>
    </w:p>
    <w:p w:rsidR="00D61555" w:rsidRDefault="00D61555" w:rsidP="00D61555">
      <w:pPr>
        <w:spacing w:after="0" w:line="240" w:lineRule="auto"/>
        <w:jc w:val="center"/>
        <w:rPr>
          <w:rFonts w:ascii="Times New Roman" w:hAnsi="Times New Roman" w:cs="Times New Roman"/>
          <w:b/>
          <w:color w:val="FF0000"/>
        </w:rPr>
      </w:pPr>
    </w:p>
    <w:p w:rsidR="00D61555" w:rsidRPr="00682D6F" w:rsidRDefault="00D61555" w:rsidP="00D61555">
      <w:pPr>
        <w:spacing w:after="0" w:line="240" w:lineRule="auto"/>
        <w:jc w:val="center"/>
        <w:rPr>
          <w:rFonts w:ascii="Times New Roman" w:hAnsi="Times New Roman" w:cs="Times New Roman"/>
          <w:b/>
        </w:rPr>
      </w:pPr>
      <w:proofErr w:type="spellStart"/>
      <w:r w:rsidRPr="00682D6F">
        <w:rPr>
          <w:rFonts w:ascii="Times New Roman" w:hAnsi="Times New Roman" w:cs="Times New Roman"/>
          <w:b/>
        </w:rPr>
        <w:t>eFig</w:t>
      </w:r>
      <w:proofErr w:type="spellEnd"/>
      <w:r w:rsidRPr="00682D6F">
        <w:rPr>
          <w:rFonts w:ascii="Times New Roman" w:hAnsi="Times New Roman" w:cs="Times New Roman"/>
          <w:b/>
        </w:rPr>
        <w:t xml:space="preserve"> 4. Scatterplot of diastolic blood pressure variability and WMH volume  </w:t>
      </w:r>
    </w:p>
    <w:p w:rsidR="00D61555" w:rsidRPr="00682D6F" w:rsidRDefault="00D61555" w:rsidP="00D61555">
      <w:pPr>
        <w:spacing w:after="0" w:line="240" w:lineRule="auto"/>
        <w:rPr>
          <w:rFonts w:ascii="Times New Roman" w:hAnsi="Times New Roman" w:cs="Times New Roman"/>
        </w:rPr>
      </w:pPr>
      <w:r w:rsidRPr="00682D6F">
        <w:rPr>
          <w:rFonts w:ascii="Times New Roman" w:hAnsi="Times New Roman" w:cs="Times New Roman"/>
        </w:rPr>
        <w:t>Scatterplot showing diastolic BPV in % (x-axis) and log WMH volume in cm</w:t>
      </w:r>
      <w:r w:rsidRPr="00682D6F">
        <w:rPr>
          <w:rFonts w:ascii="Times New Roman" w:hAnsi="Times New Roman" w:cs="Times New Roman"/>
          <w:vertAlign w:val="superscript"/>
        </w:rPr>
        <w:t xml:space="preserve">3 </w:t>
      </w:r>
      <w:r w:rsidRPr="00682D6F">
        <w:rPr>
          <w:rFonts w:ascii="Times New Roman" w:hAnsi="Times New Roman" w:cs="Times New Roman"/>
        </w:rPr>
        <w:t xml:space="preserve">(y-axis) for total, deep and periventricular WMH </w:t>
      </w:r>
    </w:p>
    <w:p w:rsidR="005A0529" w:rsidRPr="00682D6F" w:rsidRDefault="00D61555" w:rsidP="00D61555">
      <w:pPr>
        <w:spacing w:after="0" w:line="240" w:lineRule="auto"/>
        <w:rPr>
          <w:rFonts w:ascii="Times New Roman" w:hAnsi="Times New Roman" w:cs="Times New Roman"/>
          <w:i/>
        </w:rPr>
      </w:pPr>
      <w:r w:rsidRPr="00682D6F">
        <w:rPr>
          <w:rFonts w:ascii="Times New Roman" w:hAnsi="Times New Roman" w:cs="Times New Roman"/>
          <w:i/>
        </w:rPr>
        <w:t xml:space="preserve">BPV, blood pressure variability; </w:t>
      </w:r>
      <w:proofErr w:type="spellStart"/>
      <w:r w:rsidRPr="00682D6F">
        <w:rPr>
          <w:rFonts w:ascii="Times New Roman" w:hAnsi="Times New Roman" w:cs="Times New Roman"/>
          <w:i/>
        </w:rPr>
        <w:t>DWMH</w:t>
      </w:r>
      <w:proofErr w:type="spellEnd"/>
      <w:r w:rsidRPr="00682D6F">
        <w:rPr>
          <w:rFonts w:ascii="Times New Roman" w:hAnsi="Times New Roman" w:cs="Times New Roman"/>
          <w:i/>
        </w:rPr>
        <w:t xml:space="preserve">, deep white </w:t>
      </w:r>
      <w:proofErr w:type="spellStart"/>
      <w:r w:rsidRPr="00682D6F">
        <w:rPr>
          <w:rFonts w:ascii="Times New Roman" w:hAnsi="Times New Roman" w:cs="Times New Roman"/>
          <w:i/>
        </w:rPr>
        <w:t>matter</w:t>
      </w:r>
      <w:proofErr w:type="spellEnd"/>
      <w:r w:rsidRPr="00682D6F">
        <w:rPr>
          <w:rFonts w:ascii="Times New Roman" w:hAnsi="Times New Roman" w:cs="Times New Roman"/>
          <w:i/>
        </w:rPr>
        <w:t xml:space="preserve"> hyperintensities; </w:t>
      </w:r>
      <w:proofErr w:type="spellStart"/>
      <w:r w:rsidRPr="00682D6F">
        <w:rPr>
          <w:rFonts w:ascii="Times New Roman" w:hAnsi="Times New Roman" w:cs="Times New Roman"/>
          <w:i/>
        </w:rPr>
        <w:t>PWMH</w:t>
      </w:r>
      <w:proofErr w:type="spellEnd"/>
      <w:r w:rsidRPr="00682D6F">
        <w:rPr>
          <w:rFonts w:ascii="Times New Roman" w:hAnsi="Times New Roman" w:cs="Times New Roman"/>
          <w:i/>
        </w:rPr>
        <w:t xml:space="preserve">, periventricular white </w:t>
      </w:r>
      <w:proofErr w:type="spellStart"/>
      <w:r w:rsidRPr="00682D6F">
        <w:rPr>
          <w:rFonts w:ascii="Times New Roman" w:hAnsi="Times New Roman" w:cs="Times New Roman"/>
          <w:i/>
        </w:rPr>
        <w:t>matter</w:t>
      </w:r>
      <w:proofErr w:type="spellEnd"/>
      <w:r w:rsidRPr="00682D6F">
        <w:rPr>
          <w:rFonts w:ascii="Times New Roman" w:hAnsi="Times New Roman" w:cs="Times New Roman"/>
          <w:i/>
        </w:rPr>
        <w:t xml:space="preserve"> hyperintensities; </w:t>
      </w:r>
      <w:proofErr w:type="spellStart"/>
      <w:r w:rsidRPr="00682D6F">
        <w:rPr>
          <w:rFonts w:ascii="Times New Roman" w:hAnsi="Times New Roman" w:cs="Times New Roman"/>
          <w:i/>
        </w:rPr>
        <w:t>WMH</w:t>
      </w:r>
      <w:proofErr w:type="spellEnd"/>
      <w:r w:rsidRPr="00682D6F">
        <w:rPr>
          <w:rFonts w:ascii="Times New Roman" w:hAnsi="Times New Roman" w:cs="Times New Roman"/>
          <w:i/>
        </w:rPr>
        <w:t xml:space="preserve">, white </w:t>
      </w:r>
      <w:proofErr w:type="spellStart"/>
      <w:r w:rsidRPr="00682D6F">
        <w:rPr>
          <w:rFonts w:ascii="Times New Roman" w:hAnsi="Times New Roman" w:cs="Times New Roman"/>
          <w:i/>
        </w:rPr>
        <w:t>matter</w:t>
      </w:r>
      <w:proofErr w:type="spellEnd"/>
      <w:r w:rsidRPr="00682D6F">
        <w:rPr>
          <w:rFonts w:ascii="Times New Roman" w:hAnsi="Times New Roman" w:cs="Times New Roman"/>
          <w:i/>
        </w:rPr>
        <w:t xml:space="preserve"> hyperintensities;</w:t>
      </w:r>
    </w:p>
    <w:p w:rsidR="005128A4" w:rsidRPr="00480E19" w:rsidRDefault="007768AD">
      <w:pPr>
        <w:rPr>
          <w:rFonts w:ascii="Times New Roman" w:hAnsi="Times New Roman" w:cs="Times New Roman"/>
          <w:b/>
        </w:rPr>
      </w:pPr>
      <w:r w:rsidRPr="00480E19">
        <w:rPr>
          <w:rFonts w:ascii="Times New Roman" w:hAnsi="Times New Roman" w:cs="Times New Roman"/>
          <w:b/>
          <w:color w:val="191919"/>
          <w:shd w:val="clear" w:color="auto" w:fill="FFFFFF"/>
        </w:rPr>
        <w:lastRenderedPageBreak/>
        <w:t>SUPPLEMENTAL MATERIAL REFER</w:t>
      </w:r>
      <w:r w:rsidR="0035737E" w:rsidRPr="00480E19">
        <w:rPr>
          <w:rFonts w:ascii="Times New Roman" w:hAnsi="Times New Roman" w:cs="Times New Roman"/>
          <w:b/>
          <w:color w:val="191919"/>
          <w:shd w:val="clear" w:color="auto" w:fill="FFFFFF"/>
        </w:rPr>
        <w:t>E</w:t>
      </w:r>
      <w:r w:rsidRPr="00480E19">
        <w:rPr>
          <w:rFonts w:ascii="Times New Roman" w:hAnsi="Times New Roman" w:cs="Times New Roman"/>
          <w:b/>
          <w:color w:val="191919"/>
          <w:shd w:val="clear" w:color="auto" w:fill="FFFFFF"/>
        </w:rPr>
        <w:t>NCES</w:t>
      </w:r>
    </w:p>
    <w:p w:rsidR="00030FB6" w:rsidRDefault="005128A4" w:rsidP="00030FB6">
      <w:pPr>
        <w:spacing w:after="0" w:line="240" w:lineRule="auto"/>
        <w:rPr>
          <w:rFonts w:ascii="Times New Roman" w:hAnsi="Times New Roman" w:cs="Times New Roman"/>
          <w:noProof/>
        </w:rPr>
      </w:pPr>
      <w:r w:rsidRPr="007768AD">
        <w:rPr>
          <w:rFonts w:ascii="Times New Roman" w:hAnsi="Times New Roman" w:cs="Times New Roman"/>
        </w:rPr>
        <w:fldChar w:fldCharType="begin"/>
      </w:r>
      <w:r w:rsidRPr="007768AD">
        <w:rPr>
          <w:rFonts w:ascii="Times New Roman" w:hAnsi="Times New Roman" w:cs="Times New Roman"/>
        </w:rPr>
        <w:instrText xml:space="preserve"> ADDIN EN.REFLIST </w:instrText>
      </w:r>
      <w:r w:rsidRPr="007768AD">
        <w:rPr>
          <w:rFonts w:ascii="Times New Roman" w:hAnsi="Times New Roman" w:cs="Times New Roman"/>
        </w:rPr>
        <w:fldChar w:fldCharType="separate"/>
      </w:r>
      <w:bookmarkStart w:id="1" w:name="_ENREF_1"/>
      <w:r w:rsidR="00030FB6" w:rsidRPr="00030FB6">
        <w:rPr>
          <w:rFonts w:ascii="Times New Roman" w:hAnsi="Times New Roman" w:cs="Times New Roman"/>
          <w:b/>
          <w:noProof/>
        </w:rPr>
        <w:t xml:space="preserve">Alpérovitch, A, Kurth, T, Bertrand, M, Ancelin, M-L, Helmer, C, Debette, STzourio, C </w:t>
      </w:r>
      <w:r w:rsidR="00030FB6">
        <w:rPr>
          <w:rFonts w:ascii="Times New Roman" w:hAnsi="Times New Roman" w:cs="Times New Roman"/>
          <w:noProof/>
        </w:rPr>
        <w:t xml:space="preserve">(2015). Primary prevention with lipid lowering drugs and long term risk of vascular events in older people: population based cohort study. </w:t>
      </w:r>
      <w:r w:rsidR="00030FB6" w:rsidRPr="00030FB6">
        <w:rPr>
          <w:rFonts w:ascii="Times New Roman" w:hAnsi="Times New Roman" w:cs="Times New Roman"/>
          <w:i/>
          <w:noProof/>
        </w:rPr>
        <w:t>British Medical Journal</w:t>
      </w:r>
      <w:r w:rsidR="00030FB6">
        <w:rPr>
          <w:rFonts w:ascii="Times New Roman" w:hAnsi="Times New Roman" w:cs="Times New Roman"/>
          <w:noProof/>
        </w:rPr>
        <w:t xml:space="preserve"> </w:t>
      </w:r>
      <w:r w:rsidR="00030FB6" w:rsidRPr="00030FB6">
        <w:rPr>
          <w:rFonts w:ascii="Times New Roman" w:hAnsi="Times New Roman" w:cs="Times New Roman"/>
          <w:b/>
          <w:noProof/>
        </w:rPr>
        <w:t>350</w:t>
      </w:r>
      <w:r w:rsidR="00030FB6">
        <w:rPr>
          <w:rFonts w:ascii="Times New Roman" w:hAnsi="Times New Roman" w:cs="Times New Roman"/>
          <w:noProof/>
        </w:rPr>
        <w:t>, h2335.</w:t>
      </w:r>
      <w:bookmarkEnd w:id="1"/>
    </w:p>
    <w:p w:rsidR="00030FB6" w:rsidRDefault="00030FB6" w:rsidP="00030FB6">
      <w:pPr>
        <w:spacing w:after="0" w:line="240" w:lineRule="auto"/>
        <w:rPr>
          <w:rFonts w:ascii="Times New Roman" w:hAnsi="Times New Roman" w:cs="Times New Roman"/>
          <w:noProof/>
        </w:rPr>
      </w:pPr>
      <w:bookmarkStart w:id="2" w:name="_ENREF_2"/>
      <w:r w:rsidRPr="00030FB6">
        <w:rPr>
          <w:rFonts w:ascii="Times New Roman" w:hAnsi="Times New Roman" w:cs="Times New Roman"/>
          <w:b/>
          <w:noProof/>
        </w:rPr>
        <w:t xml:space="preserve">Brindel, P, Hanon, O, Dartigues, JF, Ritchie, K, Lacombe, JM, Ducimetiere, P, Alperovitch, ATzourio, C </w:t>
      </w:r>
      <w:r>
        <w:rPr>
          <w:rFonts w:ascii="Times New Roman" w:hAnsi="Times New Roman" w:cs="Times New Roman"/>
          <w:noProof/>
        </w:rPr>
        <w:t xml:space="preserve">(2006). Prevalence, awareness, treatment, and control of hypertension in the elderly: the Three City study. </w:t>
      </w:r>
      <w:r w:rsidRPr="00030FB6">
        <w:rPr>
          <w:rFonts w:ascii="Times New Roman" w:hAnsi="Times New Roman" w:cs="Times New Roman"/>
          <w:i/>
          <w:noProof/>
        </w:rPr>
        <w:t>J</w:t>
      </w:r>
      <w:r>
        <w:rPr>
          <w:rFonts w:ascii="Times New Roman" w:hAnsi="Times New Roman" w:cs="Times New Roman"/>
          <w:i/>
          <w:noProof/>
        </w:rPr>
        <w:t>ournal of</w:t>
      </w:r>
      <w:r w:rsidRPr="00030FB6">
        <w:rPr>
          <w:rFonts w:ascii="Times New Roman" w:hAnsi="Times New Roman" w:cs="Times New Roman"/>
          <w:i/>
          <w:noProof/>
        </w:rPr>
        <w:t xml:space="preserve"> Hypertens</w:t>
      </w:r>
      <w:r>
        <w:rPr>
          <w:rFonts w:ascii="Times New Roman" w:hAnsi="Times New Roman" w:cs="Times New Roman"/>
          <w:i/>
          <w:noProof/>
        </w:rPr>
        <w:t>ion</w:t>
      </w:r>
      <w:r>
        <w:rPr>
          <w:rFonts w:ascii="Times New Roman" w:hAnsi="Times New Roman" w:cs="Times New Roman"/>
          <w:noProof/>
        </w:rPr>
        <w:t xml:space="preserve"> </w:t>
      </w:r>
      <w:r w:rsidRPr="00030FB6">
        <w:rPr>
          <w:rFonts w:ascii="Times New Roman" w:hAnsi="Times New Roman" w:cs="Times New Roman"/>
          <w:b/>
          <w:noProof/>
        </w:rPr>
        <w:t>24</w:t>
      </w:r>
      <w:r>
        <w:rPr>
          <w:rFonts w:ascii="Times New Roman" w:hAnsi="Times New Roman" w:cs="Times New Roman"/>
          <w:noProof/>
        </w:rPr>
        <w:t>, 51-58.</w:t>
      </w:r>
      <w:bookmarkEnd w:id="2"/>
    </w:p>
    <w:p w:rsidR="00030FB6" w:rsidRDefault="00030FB6" w:rsidP="00030FB6">
      <w:pPr>
        <w:spacing w:after="0" w:line="240" w:lineRule="auto"/>
        <w:rPr>
          <w:rFonts w:ascii="Times New Roman" w:hAnsi="Times New Roman" w:cs="Times New Roman"/>
          <w:noProof/>
        </w:rPr>
      </w:pPr>
      <w:bookmarkStart w:id="3" w:name="_ENREF_3"/>
      <w:r w:rsidRPr="00030FB6">
        <w:rPr>
          <w:rFonts w:ascii="Times New Roman" w:hAnsi="Times New Roman" w:cs="Times New Roman"/>
          <w:b/>
          <w:noProof/>
        </w:rPr>
        <w:t xml:space="preserve">Froissart, M, Rossert, J, Jacquot, C, Paillard, MHouillier, P </w:t>
      </w:r>
      <w:r>
        <w:rPr>
          <w:rFonts w:ascii="Times New Roman" w:hAnsi="Times New Roman" w:cs="Times New Roman"/>
          <w:noProof/>
        </w:rPr>
        <w:t xml:space="preserve">(2005). Predictive performance of the modification of diet in renal disease and Cockcroft-Gault equations for estimating renal function. </w:t>
      </w:r>
      <w:r w:rsidRPr="00030FB6">
        <w:rPr>
          <w:rFonts w:ascii="Times New Roman" w:hAnsi="Times New Roman" w:cs="Times New Roman"/>
          <w:i/>
          <w:noProof/>
        </w:rPr>
        <w:t>Journal of the American Society of Nephrology</w:t>
      </w:r>
      <w:r>
        <w:rPr>
          <w:rFonts w:ascii="Times New Roman" w:hAnsi="Times New Roman" w:cs="Times New Roman"/>
          <w:noProof/>
        </w:rPr>
        <w:t xml:space="preserve"> </w:t>
      </w:r>
      <w:r w:rsidRPr="00030FB6">
        <w:rPr>
          <w:rFonts w:ascii="Times New Roman" w:hAnsi="Times New Roman" w:cs="Times New Roman"/>
          <w:b/>
          <w:noProof/>
        </w:rPr>
        <w:t>16</w:t>
      </w:r>
      <w:r>
        <w:rPr>
          <w:rFonts w:ascii="Times New Roman" w:hAnsi="Times New Roman" w:cs="Times New Roman"/>
          <w:noProof/>
        </w:rPr>
        <w:t>, 763-773.</w:t>
      </w:r>
      <w:bookmarkEnd w:id="3"/>
    </w:p>
    <w:p w:rsidR="00030FB6" w:rsidRDefault="00030FB6" w:rsidP="00030FB6">
      <w:pPr>
        <w:spacing w:after="0" w:line="240" w:lineRule="auto"/>
        <w:rPr>
          <w:rFonts w:ascii="Times New Roman" w:hAnsi="Times New Roman" w:cs="Times New Roman"/>
          <w:noProof/>
        </w:rPr>
      </w:pPr>
      <w:bookmarkStart w:id="4" w:name="_ENREF_4"/>
      <w:r w:rsidRPr="00030FB6">
        <w:rPr>
          <w:rFonts w:ascii="Times New Roman" w:hAnsi="Times New Roman" w:cs="Times New Roman"/>
          <w:b/>
          <w:noProof/>
        </w:rPr>
        <w:t xml:space="preserve">Guigoz, Y, Vellas, BGarry, PJ </w:t>
      </w:r>
      <w:r>
        <w:rPr>
          <w:rFonts w:ascii="Times New Roman" w:hAnsi="Times New Roman" w:cs="Times New Roman"/>
          <w:noProof/>
        </w:rPr>
        <w:t xml:space="preserve">(1996). Assessing the nutritional status of the elderly: The Mini Nutritional Assessment as part of the geriatric evaluation. </w:t>
      </w:r>
      <w:r w:rsidRPr="00030FB6">
        <w:rPr>
          <w:rFonts w:ascii="Times New Roman" w:hAnsi="Times New Roman" w:cs="Times New Roman"/>
          <w:i/>
          <w:noProof/>
        </w:rPr>
        <w:t>Nutr</w:t>
      </w:r>
      <w:r>
        <w:rPr>
          <w:rFonts w:ascii="Times New Roman" w:hAnsi="Times New Roman" w:cs="Times New Roman"/>
          <w:i/>
          <w:noProof/>
        </w:rPr>
        <w:t>ition</w:t>
      </w:r>
      <w:r w:rsidRPr="00030FB6">
        <w:rPr>
          <w:rFonts w:ascii="Times New Roman" w:hAnsi="Times New Roman" w:cs="Times New Roman"/>
          <w:i/>
          <w:noProof/>
        </w:rPr>
        <w:t xml:space="preserve"> Rev</w:t>
      </w:r>
      <w:r>
        <w:rPr>
          <w:rFonts w:ascii="Times New Roman" w:hAnsi="Times New Roman" w:cs="Times New Roman"/>
          <w:i/>
          <w:noProof/>
        </w:rPr>
        <w:t>iews</w:t>
      </w:r>
      <w:r>
        <w:rPr>
          <w:rFonts w:ascii="Times New Roman" w:hAnsi="Times New Roman" w:cs="Times New Roman"/>
          <w:noProof/>
        </w:rPr>
        <w:t xml:space="preserve"> </w:t>
      </w:r>
      <w:r w:rsidRPr="00030FB6">
        <w:rPr>
          <w:rFonts w:ascii="Times New Roman" w:hAnsi="Times New Roman" w:cs="Times New Roman"/>
          <w:b/>
          <w:noProof/>
        </w:rPr>
        <w:t>54</w:t>
      </w:r>
      <w:r>
        <w:rPr>
          <w:rFonts w:ascii="Times New Roman" w:hAnsi="Times New Roman" w:cs="Times New Roman"/>
          <w:noProof/>
        </w:rPr>
        <w:t>, S59-65.</w:t>
      </w:r>
      <w:bookmarkEnd w:id="4"/>
    </w:p>
    <w:p w:rsidR="00030FB6" w:rsidRDefault="00030FB6" w:rsidP="00030FB6">
      <w:pPr>
        <w:spacing w:after="0" w:line="240" w:lineRule="auto"/>
        <w:rPr>
          <w:rFonts w:ascii="Times New Roman" w:hAnsi="Times New Roman" w:cs="Times New Roman"/>
          <w:noProof/>
        </w:rPr>
      </w:pPr>
      <w:bookmarkStart w:id="5" w:name="_ENREF_5"/>
      <w:r w:rsidRPr="00030FB6">
        <w:rPr>
          <w:rFonts w:ascii="Times New Roman" w:hAnsi="Times New Roman" w:cs="Times New Roman"/>
          <w:b/>
          <w:noProof/>
        </w:rPr>
        <w:t xml:space="preserve">National Kidney Foundation </w:t>
      </w:r>
      <w:r>
        <w:rPr>
          <w:rFonts w:ascii="Times New Roman" w:hAnsi="Times New Roman" w:cs="Times New Roman"/>
          <w:noProof/>
        </w:rPr>
        <w:t xml:space="preserve">(2002). K/DOQI clinical practice guidelines for chronic kidney disease: evaluation, classification, and stratification. </w:t>
      </w:r>
      <w:r w:rsidRPr="00030FB6">
        <w:rPr>
          <w:rFonts w:ascii="Times New Roman" w:hAnsi="Times New Roman" w:cs="Times New Roman"/>
          <w:i/>
          <w:noProof/>
        </w:rPr>
        <w:t>American Journal of Kidney Diseases</w:t>
      </w:r>
      <w:r>
        <w:rPr>
          <w:rFonts w:ascii="Times New Roman" w:hAnsi="Times New Roman" w:cs="Times New Roman"/>
          <w:noProof/>
        </w:rPr>
        <w:t xml:space="preserve"> </w:t>
      </w:r>
      <w:r w:rsidRPr="00030FB6">
        <w:rPr>
          <w:rFonts w:ascii="Times New Roman" w:hAnsi="Times New Roman" w:cs="Times New Roman"/>
          <w:b/>
          <w:noProof/>
        </w:rPr>
        <w:t>39</w:t>
      </w:r>
      <w:r>
        <w:rPr>
          <w:rFonts w:ascii="Times New Roman" w:hAnsi="Times New Roman" w:cs="Times New Roman"/>
          <w:noProof/>
        </w:rPr>
        <w:t>, S1-266.</w:t>
      </w:r>
      <w:bookmarkEnd w:id="5"/>
    </w:p>
    <w:p w:rsidR="00030FB6" w:rsidRDefault="00030FB6" w:rsidP="00030FB6">
      <w:pPr>
        <w:spacing w:after="0" w:line="240" w:lineRule="auto"/>
        <w:rPr>
          <w:rFonts w:ascii="Times New Roman" w:hAnsi="Times New Roman" w:cs="Times New Roman"/>
          <w:noProof/>
        </w:rPr>
      </w:pPr>
      <w:bookmarkStart w:id="6" w:name="_ENREF_6"/>
      <w:r w:rsidRPr="00030FB6">
        <w:rPr>
          <w:rFonts w:ascii="Times New Roman" w:hAnsi="Times New Roman" w:cs="Times New Roman"/>
          <w:b/>
          <w:noProof/>
        </w:rPr>
        <w:t xml:space="preserve">Tully, PJTzourio, C </w:t>
      </w:r>
      <w:r>
        <w:rPr>
          <w:rFonts w:ascii="Times New Roman" w:hAnsi="Times New Roman" w:cs="Times New Roman"/>
          <w:noProof/>
        </w:rPr>
        <w:t xml:space="preserve">(2017). Psychiatric correlates of blood pressure variability in the elderly: The Three City cohort study   </w:t>
      </w:r>
      <w:r w:rsidRPr="00030FB6">
        <w:rPr>
          <w:rFonts w:ascii="Times New Roman" w:hAnsi="Times New Roman" w:cs="Times New Roman"/>
          <w:i/>
          <w:noProof/>
        </w:rPr>
        <w:t>Physiology and Behavior</w:t>
      </w:r>
      <w:r>
        <w:rPr>
          <w:rFonts w:ascii="Times New Roman" w:hAnsi="Times New Roman" w:cs="Times New Roman"/>
          <w:noProof/>
        </w:rPr>
        <w:t xml:space="preserve"> </w:t>
      </w:r>
      <w:r w:rsidRPr="00030FB6">
        <w:rPr>
          <w:rFonts w:ascii="Times New Roman" w:hAnsi="Times New Roman" w:cs="Times New Roman"/>
          <w:b/>
          <w:noProof/>
        </w:rPr>
        <w:t>168</w:t>
      </w:r>
      <w:r>
        <w:rPr>
          <w:rFonts w:ascii="Times New Roman" w:hAnsi="Times New Roman" w:cs="Times New Roman"/>
          <w:noProof/>
        </w:rPr>
        <w:t>, 91-97.</w:t>
      </w:r>
      <w:bookmarkEnd w:id="6"/>
    </w:p>
    <w:p w:rsidR="00030FB6" w:rsidRDefault="00030FB6" w:rsidP="00030FB6">
      <w:pPr>
        <w:spacing w:after="0" w:line="240" w:lineRule="auto"/>
        <w:rPr>
          <w:rFonts w:ascii="Times New Roman" w:hAnsi="Times New Roman" w:cs="Times New Roman"/>
          <w:noProof/>
        </w:rPr>
      </w:pPr>
      <w:bookmarkStart w:id="7" w:name="_ENREF_7"/>
      <w:r w:rsidRPr="00030FB6">
        <w:rPr>
          <w:rFonts w:ascii="Times New Roman" w:hAnsi="Times New Roman" w:cs="Times New Roman"/>
          <w:b/>
          <w:noProof/>
        </w:rPr>
        <w:t xml:space="preserve">World Health Organization </w:t>
      </w:r>
      <w:r>
        <w:rPr>
          <w:rFonts w:ascii="Times New Roman" w:hAnsi="Times New Roman" w:cs="Times New Roman"/>
          <w:noProof/>
        </w:rPr>
        <w:t xml:space="preserve">(2002). </w:t>
      </w:r>
      <w:r w:rsidRPr="00030FB6">
        <w:rPr>
          <w:rFonts w:ascii="Times New Roman" w:hAnsi="Times New Roman" w:cs="Times New Roman"/>
          <w:i/>
          <w:noProof/>
        </w:rPr>
        <w:t>Guidelines for ATC classification and DDD assignment</w:t>
      </w:r>
      <w:r>
        <w:rPr>
          <w:rFonts w:ascii="Times New Roman" w:hAnsi="Times New Roman" w:cs="Times New Roman"/>
          <w:noProof/>
        </w:rPr>
        <w:t>. Norwegian Institute of Public Health: Oslo, Norway.</w:t>
      </w:r>
      <w:bookmarkEnd w:id="7"/>
    </w:p>
    <w:p w:rsidR="00030FB6" w:rsidRDefault="00030FB6" w:rsidP="00030FB6">
      <w:pPr>
        <w:spacing w:line="240" w:lineRule="auto"/>
        <w:rPr>
          <w:rFonts w:ascii="Times New Roman" w:hAnsi="Times New Roman" w:cs="Times New Roman"/>
          <w:noProof/>
        </w:rPr>
      </w:pPr>
      <w:bookmarkStart w:id="8" w:name="_ENREF_8"/>
      <w:r w:rsidRPr="00030FB6">
        <w:rPr>
          <w:rFonts w:ascii="Times New Roman" w:hAnsi="Times New Roman" w:cs="Times New Roman"/>
          <w:b/>
          <w:noProof/>
        </w:rPr>
        <w:t xml:space="preserve">Zijdenbos, APDawant, BM </w:t>
      </w:r>
      <w:r>
        <w:rPr>
          <w:rFonts w:ascii="Times New Roman" w:hAnsi="Times New Roman" w:cs="Times New Roman"/>
          <w:noProof/>
        </w:rPr>
        <w:t xml:space="preserve">(1994). Brain segmentation and white matter lesion detection in MR images. </w:t>
      </w:r>
      <w:r w:rsidRPr="00030FB6">
        <w:rPr>
          <w:rFonts w:ascii="Times New Roman" w:hAnsi="Times New Roman" w:cs="Times New Roman"/>
          <w:i/>
          <w:noProof/>
        </w:rPr>
        <w:t>Critical Review in Biomedical Engineering</w:t>
      </w:r>
      <w:r>
        <w:rPr>
          <w:rFonts w:ascii="Times New Roman" w:hAnsi="Times New Roman" w:cs="Times New Roman"/>
          <w:noProof/>
        </w:rPr>
        <w:t xml:space="preserve"> </w:t>
      </w:r>
      <w:r w:rsidRPr="00030FB6">
        <w:rPr>
          <w:rFonts w:ascii="Times New Roman" w:hAnsi="Times New Roman" w:cs="Times New Roman"/>
          <w:b/>
          <w:noProof/>
        </w:rPr>
        <w:t xml:space="preserve">22 </w:t>
      </w:r>
      <w:r>
        <w:rPr>
          <w:rFonts w:ascii="Times New Roman" w:hAnsi="Times New Roman" w:cs="Times New Roman"/>
          <w:noProof/>
        </w:rPr>
        <w:t>401–465.</w:t>
      </w:r>
      <w:bookmarkEnd w:id="8"/>
    </w:p>
    <w:p w:rsidR="00030FB6" w:rsidRDefault="00030FB6" w:rsidP="00030FB6">
      <w:pPr>
        <w:spacing w:line="240" w:lineRule="auto"/>
        <w:rPr>
          <w:rFonts w:ascii="Times New Roman" w:hAnsi="Times New Roman" w:cs="Times New Roman"/>
          <w:b/>
          <w:noProof/>
        </w:rPr>
      </w:pPr>
    </w:p>
    <w:p w:rsidR="00D61555" w:rsidRDefault="005128A4">
      <w:r w:rsidRPr="007768AD">
        <w:rPr>
          <w:rFonts w:ascii="Times New Roman" w:hAnsi="Times New Roman" w:cs="Times New Roman"/>
        </w:rPr>
        <w:fldChar w:fldCharType="end"/>
      </w:r>
    </w:p>
    <w:sectPr w:rsidR="00D61555" w:rsidSect="00DC43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90C" w:rsidRDefault="002B390C" w:rsidP="00992261">
      <w:pPr>
        <w:spacing w:after="0" w:line="240" w:lineRule="auto"/>
      </w:pPr>
      <w:r>
        <w:separator/>
      </w:r>
    </w:p>
  </w:endnote>
  <w:endnote w:type="continuationSeparator" w:id="0">
    <w:p w:rsidR="002B390C" w:rsidRDefault="002B390C" w:rsidP="00992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921319"/>
      <w:docPartObj>
        <w:docPartGallery w:val="Page Numbers (Bottom of Page)"/>
        <w:docPartUnique/>
      </w:docPartObj>
    </w:sdtPr>
    <w:sdtEndPr/>
    <w:sdtContent>
      <w:p w:rsidR="00556B94" w:rsidRDefault="00556B94">
        <w:pPr>
          <w:pStyle w:val="Footer"/>
          <w:jc w:val="right"/>
        </w:pPr>
        <w:r>
          <w:fldChar w:fldCharType="begin"/>
        </w:r>
        <w:r>
          <w:instrText>PAGE   \* MERGEFORMAT</w:instrText>
        </w:r>
        <w:r>
          <w:fldChar w:fldCharType="separate"/>
        </w:r>
        <w:r w:rsidR="00750B1D" w:rsidRPr="00750B1D">
          <w:rPr>
            <w:noProof/>
            <w:lang w:val="fr-FR"/>
          </w:rPr>
          <w:t>11</w:t>
        </w:r>
        <w:r>
          <w:fldChar w:fldCharType="end"/>
        </w:r>
      </w:p>
    </w:sdtContent>
  </w:sdt>
  <w:p w:rsidR="00556B94" w:rsidRDefault="00556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90C" w:rsidRDefault="002B390C" w:rsidP="00992261">
      <w:pPr>
        <w:spacing w:after="0" w:line="240" w:lineRule="auto"/>
      </w:pPr>
      <w:r>
        <w:separator/>
      </w:r>
    </w:p>
  </w:footnote>
  <w:footnote w:type="continuationSeparator" w:id="0">
    <w:p w:rsidR="002B390C" w:rsidRDefault="002B390C" w:rsidP="009922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0&lt;/ScanUnformatted&gt;&lt;ScanChanges&gt;0&lt;/ScanChanges&gt;&lt;Suspended&gt;0&lt;/Suspended&gt;&lt;/ENInstantFormat&gt;"/>
    <w:docVar w:name="EN.Layout" w:val="&lt;ENLayout&gt;&lt;Style&gt;Psychological Medicine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00tvt9sk0vwtkesspyxw0rnvfvttv99p02d&quot;&gt;Manuscripts Copy-Converted&lt;record-ids&gt;&lt;item&gt;12219&lt;/item&gt;&lt;item&gt;12399&lt;/item&gt;&lt;item&gt;12401&lt;/item&gt;&lt;item&gt;12407&lt;/item&gt;&lt;item&gt;12489&lt;/item&gt;&lt;item&gt;12860&lt;/item&gt;&lt;item&gt;13227&lt;/item&gt;&lt;item&gt;13846&lt;/item&gt;&lt;/record-ids&gt;&lt;/item&gt;&lt;/Libraries&gt;"/>
  </w:docVars>
  <w:rsids>
    <w:rsidRoot w:val="00567C34"/>
    <w:rsid w:val="0001323C"/>
    <w:rsid w:val="00025713"/>
    <w:rsid w:val="00030FB6"/>
    <w:rsid w:val="00041497"/>
    <w:rsid w:val="000610B6"/>
    <w:rsid w:val="0008482C"/>
    <w:rsid w:val="000A27AC"/>
    <w:rsid w:val="000D28AE"/>
    <w:rsid w:val="000D6F4C"/>
    <w:rsid w:val="000F522F"/>
    <w:rsid w:val="001323F2"/>
    <w:rsid w:val="0013678A"/>
    <w:rsid w:val="0015028F"/>
    <w:rsid w:val="00170E63"/>
    <w:rsid w:val="00173392"/>
    <w:rsid w:val="001844DD"/>
    <w:rsid w:val="001A5E21"/>
    <w:rsid w:val="001B27E5"/>
    <w:rsid w:val="001B5956"/>
    <w:rsid w:val="001D6427"/>
    <w:rsid w:val="001F75BC"/>
    <w:rsid w:val="00223539"/>
    <w:rsid w:val="0022424C"/>
    <w:rsid w:val="00232BF1"/>
    <w:rsid w:val="002A0034"/>
    <w:rsid w:val="002B390C"/>
    <w:rsid w:val="002C4248"/>
    <w:rsid w:val="002E779B"/>
    <w:rsid w:val="00304088"/>
    <w:rsid w:val="00305F5B"/>
    <w:rsid w:val="00306918"/>
    <w:rsid w:val="00330253"/>
    <w:rsid w:val="00333C42"/>
    <w:rsid w:val="0033521F"/>
    <w:rsid w:val="00335581"/>
    <w:rsid w:val="0035523C"/>
    <w:rsid w:val="0035737E"/>
    <w:rsid w:val="003868AB"/>
    <w:rsid w:val="00391A09"/>
    <w:rsid w:val="00414584"/>
    <w:rsid w:val="004215EA"/>
    <w:rsid w:val="00423EB7"/>
    <w:rsid w:val="00472AF3"/>
    <w:rsid w:val="00480E19"/>
    <w:rsid w:val="00494542"/>
    <w:rsid w:val="004955B4"/>
    <w:rsid w:val="005128A4"/>
    <w:rsid w:val="00547B9C"/>
    <w:rsid w:val="00556B94"/>
    <w:rsid w:val="00567C34"/>
    <w:rsid w:val="005716E8"/>
    <w:rsid w:val="005A0529"/>
    <w:rsid w:val="005B54F7"/>
    <w:rsid w:val="005C52BD"/>
    <w:rsid w:val="0061050B"/>
    <w:rsid w:val="00666470"/>
    <w:rsid w:val="006767E4"/>
    <w:rsid w:val="00682D6F"/>
    <w:rsid w:val="006B53D1"/>
    <w:rsid w:val="006C3203"/>
    <w:rsid w:val="00712D74"/>
    <w:rsid w:val="00724202"/>
    <w:rsid w:val="00750B1D"/>
    <w:rsid w:val="007541A7"/>
    <w:rsid w:val="007546A3"/>
    <w:rsid w:val="00754E9E"/>
    <w:rsid w:val="007768AD"/>
    <w:rsid w:val="00784A6B"/>
    <w:rsid w:val="007B11AC"/>
    <w:rsid w:val="007C4893"/>
    <w:rsid w:val="008127E0"/>
    <w:rsid w:val="008224AE"/>
    <w:rsid w:val="008B39B2"/>
    <w:rsid w:val="008D3BDA"/>
    <w:rsid w:val="009574BD"/>
    <w:rsid w:val="0096209C"/>
    <w:rsid w:val="00992261"/>
    <w:rsid w:val="009D0825"/>
    <w:rsid w:val="009D5A15"/>
    <w:rsid w:val="00A67026"/>
    <w:rsid w:val="00A83052"/>
    <w:rsid w:val="00AA4BED"/>
    <w:rsid w:val="00AB031D"/>
    <w:rsid w:val="00B039D8"/>
    <w:rsid w:val="00B15D2C"/>
    <w:rsid w:val="00B16A5A"/>
    <w:rsid w:val="00B478FF"/>
    <w:rsid w:val="00B678CF"/>
    <w:rsid w:val="00B86253"/>
    <w:rsid w:val="00BA31DC"/>
    <w:rsid w:val="00BA37B2"/>
    <w:rsid w:val="00C135AE"/>
    <w:rsid w:val="00C34059"/>
    <w:rsid w:val="00C45F6F"/>
    <w:rsid w:val="00C52E95"/>
    <w:rsid w:val="00C673A3"/>
    <w:rsid w:val="00C67EEF"/>
    <w:rsid w:val="00C735F0"/>
    <w:rsid w:val="00CE24D9"/>
    <w:rsid w:val="00D01021"/>
    <w:rsid w:val="00D51F1A"/>
    <w:rsid w:val="00D61555"/>
    <w:rsid w:val="00DC4395"/>
    <w:rsid w:val="00E0752F"/>
    <w:rsid w:val="00E10E5F"/>
    <w:rsid w:val="00E11283"/>
    <w:rsid w:val="00E15066"/>
    <w:rsid w:val="00E9511F"/>
    <w:rsid w:val="00E96D6D"/>
    <w:rsid w:val="00EB26FA"/>
    <w:rsid w:val="00ED613A"/>
    <w:rsid w:val="00EF7D4B"/>
    <w:rsid w:val="00F127C1"/>
    <w:rsid w:val="00F65A75"/>
    <w:rsid w:val="00F82121"/>
    <w:rsid w:val="00F82F80"/>
    <w:rsid w:val="00FA05E3"/>
    <w:rsid w:val="00FC0FE6"/>
    <w:rsid w:val="00FE23DB"/>
    <w:rsid w:val="00FF0A1A"/>
    <w:rsid w:val="00FF104C"/>
    <w:rsid w:val="00FF6B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9762E6-7646-4FF0-87F7-D889B4DB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C34"/>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11">
    <w:name w:val="Plain Table 11"/>
    <w:basedOn w:val="TableNormal"/>
    <w:uiPriority w:val="41"/>
    <w:rsid w:val="00567C34"/>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5523C"/>
    <w:pPr>
      <w:ind w:left="720"/>
      <w:contextualSpacing/>
    </w:pPr>
  </w:style>
  <w:style w:type="character" w:styleId="Hyperlink">
    <w:name w:val="Hyperlink"/>
    <w:basedOn w:val="DefaultParagraphFont"/>
    <w:uiPriority w:val="99"/>
    <w:unhideWhenUsed/>
    <w:rsid w:val="002E779B"/>
    <w:rPr>
      <w:color w:val="0000FF" w:themeColor="hyperlink"/>
      <w:u w:val="single"/>
    </w:rPr>
  </w:style>
  <w:style w:type="paragraph" w:styleId="Header">
    <w:name w:val="header"/>
    <w:basedOn w:val="Normal"/>
    <w:link w:val="HeaderChar"/>
    <w:uiPriority w:val="99"/>
    <w:unhideWhenUsed/>
    <w:rsid w:val="00992261"/>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2261"/>
    <w:rPr>
      <w:lang w:val="en-US"/>
    </w:rPr>
  </w:style>
  <w:style w:type="paragraph" w:styleId="Footer">
    <w:name w:val="footer"/>
    <w:basedOn w:val="Normal"/>
    <w:link w:val="FooterChar"/>
    <w:uiPriority w:val="99"/>
    <w:unhideWhenUsed/>
    <w:rsid w:val="0099226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2261"/>
    <w:rPr>
      <w:lang w:val="en-US"/>
    </w:rPr>
  </w:style>
  <w:style w:type="character" w:styleId="CommentReference">
    <w:name w:val="annotation reference"/>
    <w:basedOn w:val="DefaultParagraphFont"/>
    <w:uiPriority w:val="99"/>
    <w:semiHidden/>
    <w:unhideWhenUsed/>
    <w:rsid w:val="00E11283"/>
    <w:rPr>
      <w:sz w:val="16"/>
      <w:szCs w:val="16"/>
    </w:rPr>
  </w:style>
  <w:style w:type="paragraph" w:styleId="CommentText">
    <w:name w:val="annotation text"/>
    <w:basedOn w:val="Normal"/>
    <w:link w:val="CommentTextChar"/>
    <w:uiPriority w:val="99"/>
    <w:semiHidden/>
    <w:unhideWhenUsed/>
    <w:rsid w:val="00E11283"/>
    <w:pPr>
      <w:spacing w:line="240" w:lineRule="auto"/>
    </w:pPr>
    <w:rPr>
      <w:sz w:val="20"/>
      <w:szCs w:val="20"/>
    </w:rPr>
  </w:style>
  <w:style w:type="character" w:customStyle="1" w:styleId="CommentTextChar">
    <w:name w:val="Comment Text Char"/>
    <w:basedOn w:val="DefaultParagraphFont"/>
    <w:link w:val="CommentText"/>
    <w:uiPriority w:val="99"/>
    <w:semiHidden/>
    <w:rsid w:val="00E11283"/>
    <w:rPr>
      <w:sz w:val="20"/>
      <w:szCs w:val="20"/>
      <w:lang w:val="en-US"/>
    </w:rPr>
  </w:style>
  <w:style w:type="paragraph" w:styleId="CommentSubject">
    <w:name w:val="annotation subject"/>
    <w:basedOn w:val="CommentText"/>
    <w:next w:val="CommentText"/>
    <w:link w:val="CommentSubjectChar"/>
    <w:uiPriority w:val="99"/>
    <w:semiHidden/>
    <w:unhideWhenUsed/>
    <w:rsid w:val="00E11283"/>
    <w:rPr>
      <w:b/>
      <w:bCs/>
    </w:rPr>
  </w:style>
  <w:style w:type="character" w:customStyle="1" w:styleId="CommentSubjectChar">
    <w:name w:val="Comment Subject Char"/>
    <w:basedOn w:val="CommentTextChar"/>
    <w:link w:val="CommentSubject"/>
    <w:uiPriority w:val="99"/>
    <w:semiHidden/>
    <w:rsid w:val="00E11283"/>
    <w:rPr>
      <w:b/>
      <w:bCs/>
      <w:sz w:val="20"/>
      <w:szCs w:val="20"/>
      <w:lang w:val="en-US"/>
    </w:rPr>
  </w:style>
  <w:style w:type="paragraph" w:styleId="BalloonText">
    <w:name w:val="Balloon Text"/>
    <w:basedOn w:val="Normal"/>
    <w:link w:val="BalloonTextChar"/>
    <w:uiPriority w:val="99"/>
    <w:semiHidden/>
    <w:unhideWhenUsed/>
    <w:rsid w:val="00E11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283"/>
    <w:rPr>
      <w:rFonts w:ascii="Tahoma" w:hAnsi="Tahoma" w:cs="Tahoma"/>
      <w:sz w:val="16"/>
      <w:szCs w:val="16"/>
      <w:lang w:val="en-US"/>
    </w:rPr>
  </w:style>
  <w:style w:type="table" w:styleId="TableGrid">
    <w:name w:val="Table Grid"/>
    <w:basedOn w:val="TableNormal"/>
    <w:uiPriority w:val="59"/>
    <w:rsid w:val="00DC43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2D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opole.fr/"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BAFD1-8DC9-4FCC-9BCA-6B0D60744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3270</Words>
  <Characters>18639</Characters>
  <Application>Microsoft Office Word</Application>
  <DocSecurity>0</DocSecurity>
  <Lines>155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21866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TULLY Phillip</dc:creator>
  <cp:lastModifiedBy>Phillip Tully</cp:lastModifiedBy>
  <cp:revision>3</cp:revision>
  <dcterms:created xsi:type="dcterms:W3CDTF">2017-08-03T08:12:00Z</dcterms:created>
  <dcterms:modified xsi:type="dcterms:W3CDTF">2017-08-16T01:36:00Z</dcterms:modified>
</cp:coreProperties>
</file>