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9E5C2" w14:textId="3167D3C3" w:rsidR="00CD5996" w:rsidRDefault="00787B0E" w:rsidP="00CD5996">
      <w:pPr>
        <w:spacing w:after="0" w:line="480" w:lineRule="auto"/>
        <w:jc w:val="both"/>
        <w:rPr>
          <w:lang w:val="en-US"/>
        </w:rPr>
      </w:pPr>
      <w:r>
        <w:rPr>
          <w:i/>
          <w:lang w:val="en-US"/>
        </w:rPr>
        <w:t>Supplementary S10</w:t>
      </w:r>
      <w:r w:rsidR="00CD5996">
        <w:rPr>
          <w:i/>
          <w:lang w:val="en-US"/>
        </w:rPr>
        <w:t xml:space="preserve">. Movement correction </w:t>
      </w:r>
    </w:p>
    <w:p w14:paraId="17E01A52" w14:textId="68207D7B" w:rsidR="00CD5996" w:rsidRDefault="00CD5996" w:rsidP="00CD5996">
      <w:pPr>
        <w:spacing w:line="480" w:lineRule="auto"/>
        <w:jc w:val="both"/>
        <w:rPr>
          <w:lang w:val="en-US"/>
        </w:rPr>
      </w:pPr>
      <w:r>
        <w:rPr>
          <w:lang w:val="en-US"/>
        </w:rPr>
        <w:t>Movement in the scanner could influence the diffusion tensor model in such a way that it may attenuate or exaggerate FA values depending on the tissue measured</w:t>
      </w:r>
      <w:r w:rsidR="00A04D6D">
        <w:rPr>
          <w:lang w:val="en-US"/>
        </w:rPr>
        <w:fldChar w:fldCharType="begin" w:fldLock="1"/>
      </w:r>
      <w:r w:rsidR="00A04D6D">
        <w:rPr>
          <w:lang w:val="en-US"/>
        </w:rPr>
        <w:instrText>ADDIN CSL_CITATION { "citationItems" : [ { "id" : "ITEM-1", "itemData" : { "DOI" : "10.1002/hbm.21192", "ISSN" : "10659471", "author" : [ { "dropping-particle" : "", "family" : "Ling", "given" : "Josef", "non-dropping-particle" : "", "parse-names" : false, "suffix" : "" }, { "dropping-particle" : "", "family" : "Merideth", "given" : "Flannery", "non-dropping-particle" : "", "parse-names" : false, "suffix" : "" }, { "dropping-particle" : "", "family" : "Caprihan", "given" : "Arvind", "non-dropping-particle" : "", "parse-names" : false, "suffix" : "" }, { "dropping-particle" : "", "family" : "Pena", "given" : "Amanda", "non-dropping-particle" : "", "parse-names" : false, "suffix" : "" }, { "dropping-particle" : "", "family" : "Teshiba", "given" : "Terri", "non-dropping-particle" : "", "parse-names" : false, "suffix" : "" }, { "dropping-particle" : "", "family" : "Mayer", "given" : "Andrew R.", "non-dropping-particle" : "", "parse-names" : false, "suffix" : "" } ], "container-title" : "Human Brain Mapping", "id" : "ITEM-1", "issue" : "1", "issued" : { "date-parts" : [ [ "2012", "1" ] ] }, "page" : "50-62", "title" : "Head injury or head motion? Assessment and quantification of motion artifacts in diffusion tensor imaging studies", "type" : "article-journal", "volume" : "33" }, "uris" : [ "http://www.mendeley.com/documents/?uuid=fb2d60bc-dcd1-4ddd-8b36-2c98d7ab9261" ] } ], "mendeley" : { "formattedCitation" : "&lt;sup&gt;1&lt;/sup&gt;", "plainTextFormattedCitation" : "1", "previouslyFormattedCitation" : "&lt;sup&gt;1&lt;/sup&gt;" }, "properties" : { "noteIndex" : 0 }, "schema" : "https://github.com/citation-style-language/schema/raw/master/csl-citation.json" }</w:instrText>
      </w:r>
      <w:r w:rsidR="00A04D6D">
        <w:rPr>
          <w:lang w:val="en-US"/>
        </w:rPr>
        <w:fldChar w:fldCharType="separate"/>
      </w:r>
      <w:r w:rsidR="00A04D6D" w:rsidRPr="00A04D6D">
        <w:rPr>
          <w:noProof/>
          <w:vertAlign w:val="superscript"/>
          <w:lang w:val="en-US"/>
        </w:rPr>
        <w:t>1</w:t>
      </w:r>
      <w:r w:rsidR="00A04D6D">
        <w:rPr>
          <w:lang w:val="en-US"/>
        </w:rPr>
        <w:fldChar w:fldCharType="end"/>
      </w:r>
      <w:r>
        <w:rPr>
          <w:lang w:val="en-US"/>
        </w:rPr>
        <w:t xml:space="preserve">. Therefore, to rule out possible confounding effects of motion artefacts we have run additional regression analyses with motion parameters as added nuisance </w:t>
      </w:r>
      <w:proofErr w:type="spellStart"/>
      <w:r>
        <w:rPr>
          <w:lang w:val="en-US"/>
        </w:rPr>
        <w:t>regressors</w:t>
      </w:r>
      <w:proofErr w:type="spellEnd"/>
      <w:r>
        <w:rPr>
          <w:lang w:val="en-US"/>
        </w:rPr>
        <w:t>. Specifically, we used FSL’s &lt;subject&gt;.</w:t>
      </w:r>
      <w:proofErr w:type="spellStart"/>
      <w:r>
        <w:rPr>
          <w:lang w:val="en-US"/>
        </w:rPr>
        <w:t>eddy_parameters</w:t>
      </w:r>
      <w:proofErr w:type="spellEnd"/>
      <w:r>
        <w:rPr>
          <w:lang w:val="en-US"/>
        </w:rPr>
        <w:t xml:space="preserve"> output file which contains (amongst others) six motion parameters per volume in the diffusion weighted data (62 volumes in this sample). The motion parameters consist of three rotation values in radians (</w:t>
      </w:r>
      <w:proofErr w:type="spellStart"/>
      <w:r>
        <w:rPr>
          <w:lang w:val="en-US"/>
        </w:rPr>
        <w:t>x,y,z</w:t>
      </w:r>
      <w:proofErr w:type="spellEnd"/>
      <w:r>
        <w:rPr>
          <w:lang w:val="en-US"/>
        </w:rPr>
        <w:t>) and three translations in millimeters (</w:t>
      </w:r>
      <w:proofErr w:type="spellStart"/>
      <w:r>
        <w:rPr>
          <w:lang w:val="en-US"/>
        </w:rPr>
        <w:t>x,y,z</w:t>
      </w:r>
      <w:proofErr w:type="spellEnd"/>
      <w:r>
        <w:rPr>
          <w:lang w:val="en-US"/>
        </w:rPr>
        <w:t xml:space="preserve">). The groups did not differ in the degree of movement in any of the three translations or of the three </w:t>
      </w:r>
      <w:r w:rsidRPr="00724B47">
        <w:rPr>
          <w:lang w:val="en-US"/>
        </w:rPr>
        <w:t>rotations (</w:t>
      </w:r>
      <w:r>
        <w:rPr>
          <w:lang w:val="en-US"/>
        </w:rPr>
        <w:t>see supplementary S</w:t>
      </w:r>
      <w:r w:rsidR="00204E10">
        <w:rPr>
          <w:lang w:val="en-US"/>
        </w:rPr>
        <w:t>10</w:t>
      </w:r>
      <w:r>
        <w:rPr>
          <w:lang w:val="en-US"/>
        </w:rPr>
        <w:t xml:space="preserve">.1). We have created two absolute cumulative variables by adding the absolute values over the three directions for both translation and rotation values. This resulted in two cumulative variables indicating the degree of rotation or translation per individual during the whole diffusion weighted scan. Subsequently we compared the effect of decline in verbal IQ on FA values after the effects of gender, age and motion (translation and rotation), were regressed out. All the original effects remained significant (p&lt;.03, </w:t>
      </w:r>
      <w:r>
        <w:rPr>
          <w:i/>
          <w:lang w:val="en-US"/>
        </w:rPr>
        <w:t>uncorrected</w:t>
      </w:r>
      <w:r>
        <w:rPr>
          <w:lang w:val="en-US"/>
        </w:rPr>
        <w:t>), where FA is higher in decline compared to no-decline (see S</w:t>
      </w:r>
      <w:r w:rsidR="00204E10">
        <w:rPr>
          <w:lang w:val="en-US"/>
        </w:rPr>
        <w:t>10</w:t>
      </w:r>
      <w:r>
        <w:rPr>
          <w:lang w:val="en-US"/>
        </w:rPr>
        <w:t>.2).</w:t>
      </w:r>
    </w:p>
    <w:tbl>
      <w:tblPr>
        <w:tblStyle w:val="Tabelraster"/>
        <w:tblpPr w:leftFromText="141" w:rightFromText="141" w:vertAnchor="text" w:horzAnchor="margin" w:tblpY="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1134"/>
        <w:gridCol w:w="1134"/>
        <w:gridCol w:w="709"/>
      </w:tblGrid>
      <w:tr w:rsidR="00CD5996" w14:paraId="43DED2D8" w14:textId="77777777" w:rsidTr="006179BB">
        <w:tc>
          <w:tcPr>
            <w:tcW w:w="4361" w:type="dxa"/>
            <w:gridSpan w:val="4"/>
            <w:tcBorders>
              <w:bottom w:val="single" w:sz="4" w:space="0" w:color="auto"/>
            </w:tcBorders>
            <w:vAlign w:val="bottom"/>
          </w:tcPr>
          <w:p w14:paraId="0B5E8346" w14:textId="0C502022" w:rsidR="00CD5996" w:rsidRPr="00AA5133" w:rsidRDefault="00CD5996" w:rsidP="00E47C43">
            <w:pPr>
              <w:jc w:val="both"/>
              <w:rPr>
                <w:rFonts w:cs="Segoe UI"/>
                <w:color w:val="000000" w:themeColor="text1"/>
                <w:sz w:val="18"/>
                <w:szCs w:val="18"/>
              </w:rPr>
            </w:pPr>
            <w:r>
              <w:rPr>
                <w:rFonts w:cs="Segoe UI"/>
                <w:color w:val="000000" w:themeColor="text1"/>
                <w:sz w:val="18"/>
                <w:szCs w:val="18"/>
              </w:rPr>
              <w:t>Supplementary S</w:t>
            </w:r>
            <w:r w:rsidR="00E47C43">
              <w:rPr>
                <w:rFonts w:cs="Segoe UI"/>
                <w:color w:val="000000" w:themeColor="text1"/>
                <w:sz w:val="18"/>
                <w:szCs w:val="18"/>
              </w:rPr>
              <w:t>10</w:t>
            </w:r>
            <w:r>
              <w:rPr>
                <w:rFonts w:cs="Segoe UI"/>
                <w:color w:val="000000" w:themeColor="text1"/>
                <w:sz w:val="18"/>
                <w:szCs w:val="18"/>
              </w:rPr>
              <w:t>.1. Motion Parameters in VIQ</w:t>
            </w:r>
          </w:p>
        </w:tc>
      </w:tr>
      <w:tr w:rsidR="00CD5996" w14:paraId="5F6B8F20" w14:textId="77777777" w:rsidTr="006179BB">
        <w:tc>
          <w:tcPr>
            <w:tcW w:w="1384" w:type="dxa"/>
            <w:tcBorders>
              <w:top w:val="single" w:sz="4" w:space="0" w:color="auto"/>
              <w:bottom w:val="single" w:sz="4" w:space="0" w:color="auto"/>
            </w:tcBorders>
            <w:vAlign w:val="bottom"/>
          </w:tcPr>
          <w:p w14:paraId="564B8E12" w14:textId="77777777" w:rsidR="00CD5996" w:rsidRPr="002D43FA" w:rsidRDefault="00CD5996" w:rsidP="006179BB">
            <w:pPr>
              <w:rPr>
                <w:rFonts w:eastAsia="Times New Roman" w:cs="Segoe UI"/>
                <w:color w:val="000000"/>
                <w:sz w:val="18"/>
                <w:szCs w:val="18"/>
                <w:lang w:val="en-US" w:eastAsia="nl-NL"/>
              </w:rPr>
            </w:pPr>
            <w:r w:rsidRPr="00AA5133">
              <w:rPr>
                <w:rFonts w:eastAsia="Times New Roman" w:cs="Segoe UI"/>
                <w:color w:val="000000"/>
                <w:sz w:val="18"/>
                <w:szCs w:val="18"/>
                <w:lang w:val="en-US" w:eastAsia="nl-NL"/>
              </w:rPr>
              <w:t>Variable</w:t>
            </w:r>
          </w:p>
        </w:tc>
        <w:tc>
          <w:tcPr>
            <w:tcW w:w="1134" w:type="dxa"/>
            <w:tcBorders>
              <w:top w:val="single" w:sz="4" w:space="0" w:color="auto"/>
              <w:bottom w:val="single" w:sz="4" w:space="0" w:color="auto"/>
            </w:tcBorders>
            <w:vAlign w:val="bottom"/>
          </w:tcPr>
          <w:p w14:paraId="2B962E12"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t</w:t>
            </w:r>
          </w:p>
        </w:tc>
        <w:tc>
          <w:tcPr>
            <w:tcW w:w="1134" w:type="dxa"/>
            <w:tcBorders>
              <w:top w:val="single" w:sz="4" w:space="0" w:color="auto"/>
              <w:bottom w:val="single" w:sz="4" w:space="0" w:color="auto"/>
            </w:tcBorders>
            <w:vAlign w:val="bottom"/>
          </w:tcPr>
          <w:p w14:paraId="3B7220BC"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df</w:t>
            </w:r>
            <w:proofErr w:type="spellEnd"/>
          </w:p>
        </w:tc>
        <w:tc>
          <w:tcPr>
            <w:tcW w:w="709" w:type="dxa"/>
            <w:tcBorders>
              <w:top w:val="single" w:sz="4" w:space="0" w:color="auto"/>
              <w:bottom w:val="single" w:sz="4" w:space="0" w:color="auto"/>
            </w:tcBorders>
            <w:vAlign w:val="bottom"/>
          </w:tcPr>
          <w:p w14:paraId="245EAEFB"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Sig</w:t>
            </w:r>
            <w:proofErr w:type="spellEnd"/>
          </w:p>
        </w:tc>
      </w:tr>
      <w:tr w:rsidR="00CD5996" w14:paraId="0FCD43E5" w14:textId="77777777" w:rsidTr="006179BB">
        <w:tc>
          <w:tcPr>
            <w:tcW w:w="1384" w:type="dxa"/>
            <w:tcBorders>
              <w:top w:val="single" w:sz="4" w:space="0" w:color="auto"/>
            </w:tcBorders>
          </w:tcPr>
          <w:p w14:paraId="3C5EA474"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TranX</w:t>
            </w:r>
            <w:proofErr w:type="spellEnd"/>
          </w:p>
        </w:tc>
        <w:tc>
          <w:tcPr>
            <w:tcW w:w="1134" w:type="dxa"/>
            <w:tcBorders>
              <w:top w:val="single" w:sz="4" w:space="0" w:color="auto"/>
            </w:tcBorders>
            <w:vAlign w:val="center"/>
          </w:tcPr>
          <w:p w14:paraId="15D7CA37"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-,011</w:t>
            </w:r>
          </w:p>
        </w:tc>
        <w:tc>
          <w:tcPr>
            <w:tcW w:w="1134" w:type="dxa"/>
            <w:tcBorders>
              <w:top w:val="single" w:sz="4" w:space="0" w:color="auto"/>
            </w:tcBorders>
            <w:vAlign w:val="center"/>
          </w:tcPr>
          <w:p w14:paraId="12754BD1"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tcBorders>
              <w:top w:val="single" w:sz="4" w:space="0" w:color="auto"/>
            </w:tcBorders>
            <w:vAlign w:val="center"/>
          </w:tcPr>
          <w:p w14:paraId="38EA4E5E"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,991</w:t>
            </w:r>
          </w:p>
        </w:tc>
      </w:tr>
      <w:tr w:rsidR="00CD5996" w14:paraId="21923AD9" w14:textId="77777777" w:rsidTr="006179BB">
        <w:tc>
          <w:tcPr>
            <w:tcW w:w="1384" w:type="dxa"/>
          </w:tcPr>
          <w:p w14:paraId="50B25034"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TranY</w:t>
            </w:r>
            <w:proofErr w:type="spellEnd"/>
          </w:p>
        </w:tc>
        <w:tc>
          <w:tcPr>
            <w:tcW w:w="1134" w:type="dxa"/>
            <w:vAlign w:val="center"/>
          </w:tcPr>
          <w:p w14:paraId="63BBB494"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,861</w:t>
            </w:r>
          </w:p>
        </w:tc>
        <w:tc>
          <w:tcPr>
            <w:tcW w:w="1134" w:type="dxa"/>
            <w:vAlign w:val="center"/>
          </w:tcPr>
          <w:p w14:paraId="330B7BDD"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vAlign w:val="center"/>
          </w:tcPr>
          <w:p w14:paraId="5A9BAEEA"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,396</w:t>
            </w:r>
          </w:p>
        </w:tc>
      </w:tr>
      <w:tr w:rsidR="00CD5996" w14:paraId="5450E2BB" w14:textId="77777777" w:rsidTr="006179BB">
        <w:tc>
          <w:tcPr>
            <w:tcW w:w="1384" w:type="dxa"/>
          </w:tcPr>
          <w:p w14:paraId="01E869A2"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TranZ</w:t>
            </w:r>
            <w:proofErr w:type="spellEnd"/>
          </w:p>
        </w:tc>
        <w:tc>
          <w:tcPr>
            <w:tcW w:w="1134" w:type="dxa"/>
            <w:vAlign w:val="center"/>
          </w:tcPr>
          <w:p w14:paraId="4C291450"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,625</w:t>
            </w:r>
          </w:p>
        </w:tc>
        <w:tc>
          <w:tcPr>
            <w:tcW w:w="1134" w:type="dxa"/>
            <w:vAlign w:val="center"/>
          </w:tcPr>
          <w:p w14:paraId="5EFD1E33"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vAlign w:val="center"/>
          </w:tcPr>
          <w:p w14:paraId="2F7C72E7"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,536</w:t>
            </w:r>
          </w:p>
        </w:tc>
      </w:tr>
      <w:tr w:rsidR="00CD5996" w14:paraId="3314D365" w14:textId="77777777" w:rsidTr="006179BB">
        <w:tc>
          <w:tcPr>
            <w:tcW w:w="1384" w:type="dxa"/>
          </w:tcPr>
          <w:p w14:paraId="3E16FF78"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RotX</w:t>
            </w:r>
            <w:proofErr w:type="spellEnd"/>
          </w:p>
        </w:tc>
        <w:tc>
          <w:tcPr>
            <w:tcW w:w="1134" w:type="dxa"/>
            <w:vAlign w:val="center"/>
          </w:tcPr>
          <w:p w14:paraId="135368C7"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,796</w:t>
            </w:r>
          </w:p>
        </w:tc>
        <w:tc>
          <w:tcPr>
            <w:tcW w:w="1134" w:type="dxa"/>
            <w:vAlign w:val="center"/>
          </w:tcPr>
          <w:p w14:paraId="01E74707"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vAlign w:val="center"/>
          </w:tcPr>
          <w:p w14:paraId="209C9BE1"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,432</w:t>
            </w:r>
          </w:p>
        </w:tc>
      </w:tr>
      <w:tr w:rsidR="00CD5996" w14:paraId="61C8E045" w14:textId="77777777" w:rsidTr="006179BB">
        <w:tc>
          <w:tcPr>
            <w:tcW w:w="1384" w:type="dxa"/>
          </w:tcPr>
          <w:p w14:paraId="40FE8D34"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t>RotY</w:t>
            </w:r>
            <w:proofErr w:type="spellEnd"/>
          </w:p>
        </w:tc>
        <w:tc>
          <w:tcPr>
            <w:tcW w:w="1134" w:type="dxa"/>
            <w:vAlign w:val="center"/>
          </w:tcPr>
          <w:p w14:paraId="007BD09F"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-1,339</w:t>
            </w:r>
          </w:p>
        </w:tc>
        <w:tc>
          <w:tcPr>
            <w:tcW w:w="1134" w:type="dxa"/>
            <w:vAlign w:val="center"/>
          </w:tcPr>
          <w:p w14:paraId="28FF173D"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vAlign w:val="center"/>
          </w:tcPr>
          <w:p w14:paraId="5D2B50D5"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,190</w:t>
            </w:r>
          </w:p>
        </w:tc>
      </w:tr>
      <w:tr w:rsidR="00CD5996" w14:paraId="2D70DC20" w14:textId="77777777" w:rsidTr="006179BB">
        <w:tc>
          <w:tcPr>
            <w:tcW w:w="1384" w:type="dxa"/>
            <w:tcBorders>
              <w:bottom w:val="single" w:sz="4" w:space="0" w:color="auto"/>
            </w:tcBorders>
          </w:tcPr>
          <w:p w14:paraId="725093FA" w14:textId="77777777" w:rsidR="00CD5996" w:rsidRPr="002D43FA" w:rsidRDefault="00CD5996" w:rsidP="006179BB">
            <w:pPr>
              <w:rPr>
                <w:rFonts w:eastAsia="Times New Roman" w:cs="Segoe UI"/>
                <w:color w:val="000000"/>
                <w:sz w:val="18"/>
                <w:szCs w:val="18"/>
                <w:lang w:val="nl-NL" w:eastAsia="nl-NL"/>
              </w:rPr>
            </w:pPr>
            <w:proofErr w:type="spellStart"/>
            <w:r w:rsidRPr="002D43FA">
              <w:rPr>
                <w:rFonts w:eastAsia="Times New Roman" w:cs="Segoe UI"/>
                <w:color w:val="000000"/>
                <w:sz w:val="18"/>
                <w:szCs w:val="18"/>
                <w:lang w:val="nl-NL" w:eastAsia="nl-NL"/>
              </w:rPr>
              <w:lastRenderedPageBreak/>
              <w:t>RotZ</w:t>
            </w:r>
            <w:proofErr w:type="spellEnd"/>
          </w:p>
        </w:tc>
        <w:tc>
          <w:tcPr>
            <w:tcW w:w="1134" w:type="dxa"/>
            <w:tcBorders>
              <w:bottom w:val="single" w:sz="4" w:space="0" w:color="auto"/>
            </w:tcBorders>
            <w:vAlign w:val="center"/>
          </w:tcPr>
          <w:p w14:paraId="1849C0A7"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-,532</w:t>
            </w:r>
          </w:p>
        </w:tc>
        <w:tc>
          <w:tcPr>
            <w:tcW w:w="1134" w:type="dxa"/>
            <w:tcBorders>
              <w:bottom w:val="single" w:sz="4" w:space="0" w:color="auto"/>
            </w:tcBorders>
            <w:vAlign w:val="center"/>
          </w:tcPr>
          <w:p w14:paraId="6070909F"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32</w:t>
            </w:r>
          </w:p>
        </w:tc>
        <w:tc>
          <w:tcPr>
            <w:tcW w:w="709" w:type="dxa"/>
            <w:tcBorders>
              <w:bottom w:val="single" w:sz="4" w:space="0" w:color="auto"/>
            </w:tcBorders>
            <w:vAlign w:val="center"/>
          </w:tcPr>
          <w:p w14:paraId="59690850" w14:textId="77777777" w:rsidR="00CD5996" w:rsidRPr="002D43FA" w:rsidRDefault="00CD5996" w:rsidP="006179BB">
            <w:pPr>
              <w:rPr>
                <w:rFonts w:eastAsia="Times New Roman" w:cs="Segoe UI"/>
                <w:color w:val="000000"/>
                <w:sz w:val="18"/>
                <w:szCs w:val="18"/>
                <w:lang w:val="nl-NL" w:eastAsia="nl-NL"/>
              </w:rPr>
            </w:pPr>
            <w:r w:rsidRPr="002D43FA">
              <w:rPr>
                <w:rFonts w:eastAsia="Times New Roman" w:cs="Segoe UI"/>
                <w:color w:val="000000"/>
                <w:sz w:val="18"/>
                <w:szCs w:val="18"/>
                <w:lang w:val="nl-NL" w:eastAsia="nl-NL"/>
              </w:rPr>
              <w:t>,598</w:t>
            </w:r>
          </w:p>
        </w:tc>
      </w:tr>
      <w:tr w:rsidR="00CD5996" w14:paraId="012C9D32" w14:textId="77777777" w:rsidTr="006179BB">
        <w:tc>
          <w:tcPr>
            <w:tcW w:w="4361" w:type="dxa"/>
            <w:gridSpan w:val="4"/>
            <w:tcBorders>
              <w:top w:val="single" w:sz="4" w:space="0" w:color="auto"/>
            </w:tcBorders>
          </w:tcPr>
          <w:p w14:paraId="5DB98327" w14:textId="77777777" w:rsidR="00CD5996" w:rsidRPr="00AA5133" w:rsidRDefault="00CD5996" w:rsidP="006179BB">
            <w:pPr>
              <w:jc w:val="both"/>
              <w:rPr>
                <w:rFonts w:eastAsia="Times New Roman" w:cs="Segoe UI"/>
                <w:color w:val="000000"/>
                <w:sz w:val="18"/>
                <w:szCs w:val="18"/>
                <w:lang w:val="en-US" w:eastAsia="nl-NL"/>
              </w:rPr>
            </w:pPr>
            <w:r w:rsidRPr="00AA5133">
              <w:rPr>
                <w:rFonts w:eastAsia="Times New Roman" w:cs="Segoe UI"/>
                <w:color w:val="000000"/>
                <w:sz w:val="18"/>
                <w:szCs w:val="18"/>
                <w:lang w:val="en-US" w:eastAsia="nl-NL"/>
              </w:rPr>
              <w:t xml:space="preserve">Tran = translations; Rot = rotations ; </w:t>
            </w:r>
            <w:proofErr w:type="spellStart"/>
            <w:r w:rsidRPr="00AA5133">
              <w:rPr>
                <w:rFonts w:eastAsia="Times New Roman" w:cs="Segoe UI"/>
                <w:color w:val="000000"/>
                <w:sz w:val="18"/>
                <w:szCs w:val="18"/>
                <w:lang w:val="en-US" w:eastAsia="nl-NL"/>
              </w:rPr>
              <w:t>x,y,z</w:t>
            </w:r>
            <w:proofErr w:type="spellEnd"/>
            <w:r w:rsidRPr="00AA5133">
              <w:rPr>
                <w:rFonts w:eastAsia="Times New Roman" w:cs="Segoe UI"/>
                <w:color w:val="000000"/>
                <w:sz w:val="18"/>
                <w:szCs w:val="18"/>
                <w:lang w:val="en-US" w:eastAsia="nl-NL"/>
              </w:rPr>
              <w:t xml:space="preserve"> = different directions; t = t-statistic; </w:t>
            </w:r>
            <w:proofErr w:type="spellStart"/>
            <w:r w:rsidRPr="00AA5133">
              <w:rPr>
                <w:rFonts w:eastAsia="Times New Roman" w:cs="Segoe UI"/>
                <w:color w:val="000000"/>
                <w:sz w:val="18"/>
                <w:szCs w:val="18"/>
                <w:lang w:val="en-US" w:eastAsia="nl-NL"/>
              </w:rPr>
              <w:t>df</w:t>
            </w:r>
            <w:proofErr w:type="spellEnd"/>
            <w:r w:rsidRPr="00AA5133">
              <w:rPr>
                <w:rFonts w:eastAsia="Times New Roman" w:cs="Segoe UI"/>
                <w:color w:val="000000"/>
                <w:sz w:val="18"/>
                <w:szCs w:val="18"/>
                <w:lang w:val="en-US" w:eastAsia="nl-NL"/>
              </w:rPr>
              <w:t xml:space="preserve"> = degrees of freedom; Sig. = p-value (2-tailed)</w:t>
            </w:r>
          </w:p>
          <w:p w14:paraId="30E94C9B" w14:textId="77777777" w:rsidR="00CD5996" w:rsidRPr="00AA5133" w:rsidRDefault="00CD5996" w:rsidP="006179BB">
            <w:pPr>
              <w:rPr>
                <w:rFonts w:eastAsia="Times New Roman" w:cs="Segoe UI"/>
                <w:color w:val="000000"/>
                <w:sz w:val="18"/>
                <w:szCs w:val="18"/>
                <w:lang w:val="en-US" w:eastAsia="nl-NL"/>
              </w:rPr>
            </w:pPr>
          </w:p>
        </w:tc>
      </w:tr>
    </w:tbl>
    <w:p w14:paraId="27973433" w14:textId="77777777" w:rsidR="00CD5996" w:rsidRDefault="00CD5996" w:rsidP="00CD5996">
      <w:pPr>
        <w:spacing w:line="480" w:lineRule="auto"/>
        <w:jc w:val="both"/>
        <w:rPr>
          <w:lang w:val="en-US"/>
        </w:rPr>
      </w:pPr>
    </w:p>
    <w:p w14:paraId="64227A50" w14:textId="77777777" w:rsidR="00CD5996" w:rsidRDefault="00CD5996" w:rsidP="00CD5996">
      <w:pPr>
        <w:spacing w:line="480" w:lineRule="auto"/>
        <w:jc w:val="both"/>
        <w:rPr>
          <w:lang w:val="en-US"/>
        </w:rPr>
      </w:pPr>
    </w:p>
    <w:p w14:paraId="19BB32DF" w14:textId="77777777" w:rsidR="00CD5996" w:rsidRDefault="00CD5996" w:rsidP="00CD5996">
      <w:pPr>
        <w:spacing w:line="480" w:lineRule="auto"/>
        <w:jc w:val="both"/>
        <w:rPr>
          <w:lang w:val="en-US"/>
        </w:rPr>
      </w:pPr>
      <w:bookmarkStart w:id="0" w:name="_GoBack"/>
      <w:bookmarkEnd w:id="0"/>
    </w:p>
    <w:tbl>
      <w:tblPr>
        <w:tblStyle w:val="Tabelraster"/>
        <w:tblpPr w:leftFromText="180" w:rightFromText="180" w:vertAnchor="text" w:horzAnchor="margin" w:tblpY="-8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1559"/>
        <w:gridCol w:w="709"/>
      </w:tblGrid>
      <w:tr w:rsidR="00CD5996" w14:paraId="08E838B5" w14:textId="77777777" w:rsidTr="006179BB">
        <w:trPr>
          <w:trHeight w:val="198"/>
        </w:trPr>
        <w:tc>
          <w:tcPr>
            <w:tcW w:w="4361" w:type="dxa"/>
            <w:gridSpan w:val="3"/>
            <w:tcBorders>
              <w:bottom w:val="single" w:sz="4" w:space="0" w:color="auto"/>
            </w:tcBorders>
          </w:tcPr>
          <w:p w14:paraId="3D9B4664" w14:textId="3F00010E" w:rsidR="00CD5996" w:rsidRPr="00D97D3F" w:rsidRDefault="00CD5996" w:rsidP="00204E10">
            <w:pPr>
              <w:rPr>
                <w:sz w:val="18"/>
                <w:lang w:val="en-US"/>
              </w:rPr>
            </w:pPr>
            <w:proofErr w:type="spellStart"/>
            <w:r w:rsidRPr="00FB6A20">
              <w:rPr>
                <w:sz w:val="18"/>
                <w:lang w:val="en-US"/>
              </w:rPr>
              <w:t>S</w:t>
            </w:r>
            <w:r>
              <w:rPr>
                <w:sz w:val="18"/>
                <w:lang w:val="en-US"/>
              </w:rPr>
              <w:t>upplemtary</w:t>
            </w:r>
            <w:proofErr w:type="spellEnd"/>
            <w:r>
              <w:rPr>
                <w:sz w:val="18"/>
                <w:lang w:val="en-US"/>
              </w:rPr>
              <w:t xml:space="preserve"> S</w:t>
            </w:r>
            <w:r w:rsidR="00204E10">
              <w:rPr>
                <w:sz w:val="18"/>
                <w:lang w:val="en-US"/>
              </w:rPr>
              <w:t>10</w:t>
            </w:r>
            <w:r>
              <w:rPr>
                <w:sz w:val="18"/>
                <w:lang w:val="en-US"/>
              </w:rPr>
              <w:t>.2. Motion correction FA in VIQ decline &gt; no decline</w:t>
            </w:r>
          </w:p>
        </w:tc>
      </w:tr>
      <w:tr w:rsidR="00CD5996" w14:paraId="06208B5A" w14:textId="77777777" w:rsidTr="006179BB">
        <w:trPr>
          <w:trHeight w:val="198"/>
        </w:trPr>
        <w:tc>
          <w:tcPr>
            <w:tcW w:w="2093" w:type="dxa"/>
            <w:tcBorders>
              <w:top w:val="single" w:sz="4" w:space="0" w:color="auto"/>
              <w:bottom w:val="single" w:sz="4" w:space="0" w:color="auto"/>
            </w:tcBorders>
          </w:tcPr>
          <w:p w14:paraId="4FD42B14" w14:textId="77777777" w:rsidR="00CD5996" w:rsidRPr="00D97D3F" w:rsidRDefault="00CD5996" w:rsidP="006179BB">
            <w:pPr>
              <w:rPr>
                <w:sz w:val="18"/>
                <w:szCs w:val="18"/>
                <w:lang w:val="en-US"/>
              </w:rPr>
            </w:pPr>
            <w:r>
              <w:rPr>
                <w:sz w:val="18"/>
                <w:lang w:val="en-US"/>
              </w:rPr>
              <w:t>Area</w:t>
            </w:r>
          </w:p>
        </w:tc>
        <w:tc>
          <w:tcPr>
            <w:tcW w:w="1559" w:type="dxa"/>
            <w:tcBorders>
              <w:top w:val="single" w:sz="4" w:space="0" w:color="auto"/>
              <w:bottom w:val="single" w:sz="4" w:space="0" w:color="auto"/>
            </w:tcBorders>
          </w:tcPr>
          <w:p w14:paraId="1985885E" w14:textId="77777777" w:rsidR="00CD5996" w:rsidRPr="00D97D3F" w:rsidRDefault="00CD5996" w:rsidP="006179BB">
            <w:pPr>
              <w:rPr>
                <w:sz w:val="18"/>
                <w:lang w:val="en-US"/>
              </w:rPr>
            </w:pPr>
            <w:r>
              <w:rPr>
                <w:sz w:val="18"/>
                <w:lang w:val="en-US"/>
              </w:rPr>
              <w:t>t(</w:t>
            </w:r>
            <w:proofErr w:type="spellStart"/>
            <w:r>
              <w:rPr>
                <w:sz w:val="18"/>
                <w:lang w:val="en-US"/>
              </w:rPr>
              <w:t>df</w:t>
            </w:r>
            <w:proofErr w:type="spellEnd"/>
            <w:r>
              <w:rPr>
                <w:sz w:val="18"/>
                <w:lang w:val="en-US"/>
              </w:rPr>
              <w:t>)</w:t>
            </w:r>
          </w:p>
        </w:tc>
        <w:tc>
          <w:tcPr>
            <w:tcW w:w="709" w:type="dxa"/>
            <w:tcBorders>
              <w:top w:val="single" w:sz="4" w:space="0" w:color="auto"/>
              <w:bottom w:val="single" w:sz="4" w:space="0" w:color="auto"/>
            </w:tcBorders>
          </w:tcPr>
          <w:p w14:paraId="32CD396B" w14:textId="77777777" w:rsidR="00CD5996" w:rsidRPr="00D97D3F" w:rsidRDefault="00CD5996" w:rsidP="006179BB">
            <w:pPr>
              <w:rPr>
                <w:sz w:val="18"/>
                <w:lang w:val="en-US"/>
              </w:rPr>
            </w:pPr>
            <w:r>
              <w:rPr>
                <w:sz w:val="18"/>
                <w:lang w:val="en-US"/>
              </w:rPr>
              <w:t>Sig</w:t>
            </w:r>
          </w:p>
        </w:tc>
      </w:tr>
      <w:tr w:rsidR="00CD5996" w14:paraId="5A0F9466" w14:textId="77777777" w:rsidTr="006179BB">
        <w:trPr>
          <w:trHeight w:val="239"/>
        </w:trPr>
        <w:tc>
          <w:tcPr>
            <w:tcW w:w="2093" w:type="dxa"/>
            <w:tcBorders>
              <w:top w:val="single" w:sz="4" w:space="0" w:color="auto"/>
            </w:tcBorders>
          </w:tcPr>
          <w:p w14:paraId="298EA821" w14:textId="77777777" w:rsidR="00CD5996" w:rsidRPr="00534A24" w:rsidRDefault="00CD5996" w:rsidP="006179BB">
            <w:pPr>
              <w:rPr>
                <w:sz w:val="18"/>
                <w:lang w:val="en-US"/>
              </w:rPr>
            </w:pPr>
            <w:r>
              <w:rPr>
                <w:sz w:val="18"/>
                <w:lang w:val="en-US"/>
              </w:rPr>
              <w:t>ALIC L</w:t>
            </w:r>
          </w:p>
        </w:tc>
        <w:tc>
          <w:tcPr>
            <w:tcW w:w="1559" w:type="dxa"/>
            <w:tcBorders>
              <w:top w:val="single" w:sz="4" w:space="0" w:color="auto"/>
            </w:tcBorders>
          </w:tcPr>
          <w:p w14:paraId="60D4C8D0" w14:textId="77777777" w:rsidR="00CD5996" w:rsidRPr="00D97D3F" w:rsidRDefault="00CD5996" w:rsidP="006179BB">
            <w:pPr>
              <w:rPr>
                <w:sz w:val="18"/>
                <w:lang w:val="en-US"/>
              </w:rPr>
            </w:pPr>
            <w:r>
              <w:rPr>
                <w:sz w:val="18"/>
                <w:lang w:val="en-US"/>
              </w:rPr>
              <w:t>-3.0(32)</w:t>
            </w:r>
          </w:p>
        </w:tc>
        <w:tc>
          <w:tcPr>
            <w:tcW w:w="709" w:type="dxa"/>
            <w:tcBorders>
              <w:top w:val="single" w:sz="4" w:space="0" w:color="auto"/>
            </w:tcBorders>
          </w:tcPr>
          <w:p w14:paraId="5E28B0B2" w14:textId="77777777" w:rsidR="00CD5996" w:rsidRPr="00D97D3F" w:rsidRDefault="00CD5996" w:rsidP="006179BB">
            <w:pPr>
              <w:rPr>
                <w:sz w:val="18"/>
                <w:lang w:val="en-US"/>
              </w:rPr>
            </w:pPr>
            <w:r>
              <w:rPr>
                <w:sz w:val="18"/>
                <w:lang w:val="en-US"/>
              </w:rPr>
              <w:t>.005</w:t>
            </w:r>
          </w:p>
        </w:tc>
      </w:tr>
      <w:tr w:rsidR="00CD5996" w14:paraId="5CF1A13E" w14:textId="77777777" w:rsidTr="006179BB">
        <w:trPr>
          <w:trHeight w:val="135"/>
        </w:trPr>
        <w:tc>
          <w:tcPr>
            <w:tcW w:w="2093" w:type="dxa"/>
          </w:tcPr>
          <w:p w14:paraId="22BCF0F0" w14:textId="77777777" w:rsidR="00CD5996" w:rsidRPr="00534A24" w:rsidRDefault="00CD5996" w:rsidP="006179BB">
            <w:pPr>
              <w:rPr>
                <w:sz w:val="18"/>
                <w:lang w:val="en-US"/>
              </w:rPr>
            </w:pPr>
            <w:r>
              <w:rPr>
                <w:sz w:val="18"/>
                <w:lang w:val="en-US"/>
              </w:rPr>
              <w:t>PLIC L</w:t>
            </w:r>
          </w:p>
        </w:tc>
        <w:tc>
          <w:tcPr>
            <w:tcW w:w="1559" w:type="dxa"/>
          </w:tcPr>
          <w:p w14:paraId="4573DF89" w14:textId="77777777" w:rsidR="00CD5996" w:rsidRPr="00D97D3F" w:rsidRDefault="00CD5996" w:rsidP="006179BB">
            <w:pPr>
              <w:rPr>
                <w:sz w:val="18"/>
                <w:lang w:val="en-US"/>
              </w:rPr>
            </w:pPr>
            <w:r>
              <w:rPr>
                <w:sz w:val="18"/>
                <w:lang w:val="en-US"/>
              </w:rPr>
              <w:t>-3.3(32)</w:t>
            </w:r>
          </w:p>
        </w:tc>
        <w:tc>
          <w:tcPr>
            <w:tcW w:w="709" w:type="dxa"/>
          </w:tcPr>
          <w:p w14:paraId="09535507" w14:textId="77777777" w:rsidR="00CD5996" w:rsidRPr="00D97D3F" w:rsidRDefault="00CD5996" w:rsidP="006179BB">
            <w:pPr>
              <w:rPr>
                <w:sz w:val="18"/>
                <w:lang w:val="en-US"/>
              </w:rPr>
            </w:pPr>
            <w:r>
              <w:rPr>
                <w:sz w:val="18"/>
                <w:lang w:val="en-US"/>
              </w:rPr>
              <w:t>.002</w:t>
            </w:r>
          </w:p>
        </w:tc>
      </w:tr>
      <w:tr w:rsidR="00CD5996" w14:paraId="3B21F496" w14:textId="77777777" w:rsidTr="006179BB">
        <w:trPr>
          <w:trHeight w:val="428"/>
        </w:trPr>
        <w:tc>
          <w:tcPr>
            <w:tcW w:w="2093" w:type="dxa"/>
          </w:tcPr>
          <w:p w14:paraId="3CC3AE1A" w14:textId="77777777" w:rsidR="00CD5996" w:rsidRDefault="00CD5996" w:rsidP="006179BB">
            <w:pPr>
              <w:rPr>
                <w:sz w:val="18"/>
                <w:lang w:val="en-US"/>
              </w:rPr>
            </w:pPr>
            <w:r>
              <w:rPr>
                <w:sz w:val="18"/>
                <w:lang w:val="en-US"/>
              </w:rPr>
              <w:t>RLIC L</w:t>
            </w:r>
          </w:p>
          <w:p w14:paraId="39FAE879" w14:textId="77777777" w:rsidR="00CD5996" w:rsidRPr="00534A24" w:rsidRDefault="00CD5996" w:rsidP="006179BB">
            <w:pPr>
              <w:rPr>
                <w:sz w:val="18"/>
                <w:lang w:val="en-US"/>
              </w:rPr>
            </w:pPr>
            <w:r>
              <w:rPr>
                <w:sz w:val="18"/>
                <w:lang w:val="en-US"/>
              </w:rPr>
              <w:t>CGC R</w:t>
            </w:r>
          </w:p>
        </w:tc>
        <w:tc>
          <w:tcPr>
            <w:tcW w:w="1559" w:type="dxa"/>
          </w:tcPr>
          <w:p w14:paraId="69B5394E" w14:textId="77777777" w:rsidR="00CD5996" w:rsidRDefault="00CD5996" w:rsidP="006179BB">
            <w:pPr>
              <w:rPr>
                <w:sz w:val="18"/>
                <w:lang w:val="en-US"/>
              </w:rPr>
            </w:pPr>
            <w:r>
              <w:rPr>
                <w:sz w:val="18"/>
                <w:lang w:val="en-US"/>
              </w:rPr>
              <w:t>-3.8(32)</w:t>
            </w:r>
          </w:p>
          <w:p w14:paraId="68644CE2" w14:textId="77777777" w:rsidR="00CD5996" w:rsidRPr="00D97D3F" w:rsidRDefault="00CD5996" w:rsidP="006179BB">
            <w:pPr>
              <w:rPr>
                <w:sz w:val="18"/>
                <w:lang w:val="en-US"/>
              </w:rPr>
            </w:pPr>
            <w:r>
              <w:rPr>
                <w:sz w:val="18"/>
                <w:lang w:val="en-US"/>
              </w:rPr>
              <w:t>-2.3(32)</w:t>
            </w:r>
          </w:p>
        </w:tc>
        <w:tc>
          <w:tcPr>
            <w:tcW w:w="709" w:type="dxa"/>
          </w:tcPr>
          <w:p w14:paraId="6AE67B5A" w14:textId="77777777" w:rsidR="00CD5996" w:rsidRDefault="00CD5996" w:rsidP="006179BB">
            <w:pPr>
              <w:rPr>
                <w:sz w:val="18"/>
                <w:lang w:val="en-US"/>
              </w:rPr>
            </w:pPr>
            <w:r>
              <w:rPr>
                <w:sz w:val="18"/>
                <w:lang w:val="en-US"/>
              </w:rPr>
              <w:t>.0005</w:t>
            </w:r>
          </w:p>
          <w:p w14:paraId="27171233" w14:textId="77777777" w:rsidR="00CD5996" w:rsidRPr="00D97D3F" w:rsidRDefault="00CD5996" w:rsidP="006179BB">
            <w:pPr>
              <w:rPr>
                <w:sz w:val="18"/>
                <w:lang w:val="en-US"/>
              </w:rPr>
            </w:pPr>
            <w:r>
              <w:rPr>
                <w:sz w:val="18"/>
                <w:lang w:val="en-US"/>
              </w:rPr>
              <w:t>.030</w:t>
            </w:r>
          </w:p>
        </w:tc>
      </w:tr>
      <w:tr w:rsidR="00CD5996" w14:paraId="5BE2D8DE" w14:textId="77777777" w:rsidTr="006179BB">
        <w:trPr>
          <w:trHeight w:val="670"/>
        </w:trPr>
        <w:tc>
          <w:tcPr>
            <w:tcW w:w="2093" w:type="dxa"/>
            <w:tcBorders>
              <w:bottom w:val="single" w:sz="4" w:space="0" w:color="auto"/>
            </w:tcBorders>
          </w:tcPr>
          <w:p w14:paraId="20B0F1F7" w14:textId="77777777" w:rsidR="00CD5996" w:rsidRDefault="00CD5996" w:rsidP="006179BB">
            <w:pPr>
              <w:rPr>
                <w:sz w:val="18"/>
                <w:lang w:val="en-US"/>
              </w:rPr>
            </w:pPr>
            <w:r>
              <w:rPr>
                <w:sz w:val="18"/>
                <w:lang w:val="en-US"/>
              </w:rPr>
              <w:t>CGC L</w:t>
            </w:r>
          </w:p>
          <w:p w14:paraId="3F3F518B" w14:textId="77777777" w:rsidR="00CD5996" w:rsidRDefault="00CD5996" w:rsidP="006179BB">
            <w:pPr>
              <w:rPr>
                <w:sz w:val="18"/>
                <w:lang w:val="en-US"/>
              </w:rPr>
            </w:pPr>
            <w:r>
              <w:rPr>
                <w:sz w:val="18"/>
                <w:lang w:val="en-US"/>
              </w:rPr>
              <w:t>SLF R</w:t>
            </w:r>
          </w:p>
          <w:p w14:paraId="7B281FE7" w14:textId="77777777" w:rsidR="00CD5996" w:rsidRDefault="00CD5996" w:rsidP="006179BB">
            <w:pPr>
              <w:rPr>
                <w:sz w:val="18"/>
                <w:lang w:val="en-US"/>
              </w:rPr>
            </w:pPr>
            <w:r>
              <w:rPr>
                <w:sz w:val="18"/>
                <w:lang w:val="en-US"/>
              </w:rPr>
              <w:t>SLF L</w:t>
            </w:r>
          </w:p>
          <w:p w14:paraId="4D5CDC06" w14:textId="77777777" w:rsidR="00CD5996" w:rsidRPr="00534A24" w:rsidRDefault="00CD5996" w:rsidP="006179BB">
            <w:pPr>
              <w:rPr>
                <w:sz w:val="18"/>
                <w:lang w:val="en-US"/>
              </w:rPr>
            </w:pPr>
            <w:r>
              <w:rPr>
                <w:sz w:val="18"/>
                <w:lang w:val="en-US"/>
              </w:rPr>
              <w:t>SFO L</w:t>
            </w:r>
          </w:p>
        </w:tc>
        <w:tc>
          <w:tcPr>
            <w:tcW w:w="1559" w:type="dxa"/>
            <w:tcBorders>
              <w:bottom w:val="single" w:sz="4" w:space="0" w:color="auto"/>
            </w:tcBorders>
          </w:tcPr>
          <w:p w14:paraId="7E71BCCD" w14:textId="77777777" w:rsidR="00CD5996" w:rsidRDefault="00CD5996" w:rsidP="006179BB">
            <w:pPr>
              <w:rPr>
                <w:sz w:val="18"/>
                <w:lang w:val="en-US"/>
              </w:rPr>
            </w:pPr>
            <w:r>
              <w:rPr>
                <w:sz w:val="18"/>
                <w:lang w:val="en-US"/>
              </w:rPr>
              <w:t>-2.7(32)</w:t>
            </w:r>
          </w:p>
          <w:p w14:paraId="6C64F084" w14:textId="77777777" w:rsidR="00CD5996" w:rsidRDefault="00CD5996" w:rsidP="006179BB">
            <w:pPr>
              <w:rPr>
                <w:sz w:val="18"/>
                <w:lang w:val="en-US"/>
              </w:rPr>
            </w:pPr>
            <w:r>
              <w:rPr>
                <w:sz w:val="18"/>
                <w:lang w:val="en-US"/>
              </w:rPr>
              <w:t>-2.8(32)</w:t>
            </w:r>
          </w:p>
          <w:p w14:paraId="776BF574" w14:textId="77777777" w:rsidR="00CD5996" w:rsidRDefault="00CD5996" w:rsidP="006179BB">
            <w:pPr>
              <w:rPr>
                <w:sz w:val="18"/>
                <w:lang w:val="en-US"/>
              </w:rPr>
            </w:pPr>
            <w:r>
              <w:rPr>
                <w:sz w:val="18"/>
                <w:lang w:val="en-US"/>
              </w:rPr>
              <w:t>-3.5(32)</w:t>
            </w:r>
          </w:p>
          <w:p w14:paraId="03B46CF0" w14:textId="77777777" w:rsidR="00CD5996" w:rsidRPr="00D97D3F" w:rsidRDefault="00CD5996" w:rsidP="006179BB">
            <w:pPr>
              <w:rPr>
                <w:sz w:val="18"/>
                <w:lang w:val="en-US"/>
              </w:rPr>
            </w:pPr>
            <w:r>
              <w:rPr>
                <w:sz w:val="18"/>
                <w:lang w:val="en-US"/>
              </w:rPr>
              <w:t>-2.9(32)</w:t>
            </w:r>
          </w:p>
        </w:tc>
        <w:tc>
          <w:tcPr>
            <w:tcW w:w="709" w:type="dxa"/>
            <w:tcBorders>
              <w:bottom w:val="single" w:sz="4" w:space="0" w:color="auto"/>
            </w:tcBorders>
          </w:tcPr>
          <w:p w14:paraId="3BC3E82A" w14:textId="77777777" w:rsidR="00CD5996" w:rsidRDefault="00CD5996" w:rsidP="006179BB">
            <w:pPr>
              <w:rPr>
                <w:sz w:val="18"/>
                <w:lang w:val="en-US"/>
              </w:rPr>
            </w:pPr>
            <w:r>
              <w:rPr>
                <w:sz w:val="18"/>
                <w:lang w:val="en-US"/>
              </w:rPr>
              <w:t>.009</w:t>
            </w:r>
          </w:p>
          <w:p w14:paraId="65AE56D7" w14:textId="77777777" w:rsidR="00CD5996" w:rsidRDefault="00CD5996" w:rsidP="006179BB">
            <w:pPr>
              <w:rPr>
                <w:sz w:val="18"/>
                <w:lang w:val="en-US"/>
              </w:rPr>
            </w:pPr>
            <w:r>
              <w:rPr>
                <w:sz w:val="18"/>
                <w:lang w:val="en-US"/>
              </w:rPr>
              <w:t>.009</w:t>
            </w:r>
          </w:p>
          <w:p w14:paraId="6C467029" w14:textId="77777777" w:rsidR="00CD5996" w:rsidRDefault="00CD5996" w:rsidP="006179BB">
            <w:pPr>
              <w:rPr>
                <w:sz w:val="18"/>
                <w:lang w:val="en-US"/>
              </w:rPr>
            </w:pPr>
            <w:r>
              <w:rPr>
                <w:sz w:val="18"/>
                <w:lang w:val="en-US"/>
              </w:rPr>
              <w:t>.0015</w:t>
            </w:r>
          </w:p>
          <w:p w14:paraId="6549D0F9" w14:textId="77777777" w:rsidR="00CD5996" w:rsidRPr="00D97D3F" w:rsidRDefault="00CD5996" w:rsidP="006179BB">
            <w:pPr>
              <w:rPr>
                <w:sz w:val="18"/>
                <w:lang w:val="en-US"/>
              </w:rPr>
            </w:pPr>
            <w:r>
              <w:rPr>
                <w:sz w:val="18"/>
                <w:lang w:val="en-US"/>
              </w:rPr>
              <w:t>.005</w:t>
            </w:r>
          </w:p>
        </w:tc>
      </w:tr>
      <w:tr w:rsidR="00CD5996" w14:paraId="194FB1F0" w14:textId="77777777" w:rsidTr="006179BB">
        <w:trPr>
          <w:trHeight w:val="382"/>
        </w:trPr>
        <w:tc>
          <w:tcPr>
            <w:tcW w:w="4361" w:type="dxa"/>
            <w:gridSpan w:val="3"/>
            <w:tcBorders>
              <w:top w:val="single" w:sz="4" w:space="0" w:color="auto"/>
            </w:tcBorders>
          </w:tcPr>
          <w:p w14:paraId="28A69285" w14:textId="77777777" w:rsidR="00CD5996" w:rsidRDefault="00CD5996" w:rsidP="006179BB">
            <w:pPr>
              <w:jc w:val="both"/>
              <w:rPr>
                <w:sz w:val="18"/>
                <w:lang w:val="en-US"/>
              </w:rPr>
            </w:pPr>
            <w:r>
              <w:rPr>
                <w:sz w:val="18"/>
              </w:rPr>
              <w:t>Sig</w:t>
            </w:r>
            <w:r>
              <w:rPr>
                <w:sz w:val="18"/>
                <w:lang w:val="en-US"/>
              </w:rPr>
              <w:t xml:space="preserve">= significant value;  </w:t>
            </w:r>
            <w:r>
              <w:rPr>
                <w:rFonts w:cs="Segoe UI"/>
                <w:color w:val="000000" w:themeColor="text1"/>
                <w:sz w:val="18"/>
                <w:szCs w:val="18"/>
              </w:rPr>
              <w:t xml:space="preserve">ALIC_L= anterior limb of the internal capsule, left; PLIC_L= posterior limb of the internal capsule, left; RLIC_L= </w:t>
            </w:r>
            <w:proofErr w:type="spellStart"/>
            <w:r>
              <w:rPr>
                <w:rFonts w:cs="Segoe UI"/>
                <w:color w:val="000000" w:themeColor="text1"/>
                <w:sz w:val="18"/>
                <w:szCs w:val="18"/>
              </w:rPr>
              <w:t>rentrolenticular</w:t>
            </w:r>
            <w:proofErr w:type="spellEnd"/>
            <w:r>
              <w:rPr>
                <w:rFonts w:cs="Segoe UI"/>
                <w:color w:val="000000" w:themeColor="text1"/>
                <w:sz w:val="18"/>
                <w:szCs w:val="18"/>
              </w:rPr>
              <w:t xml:space="preserve"> part of the internal capsule, left; CGC_R; </w:t>
            </w:r>
            <w:proofErr w:type="spellStart"/>
            <w:r>
              <w:rPr>
                <w:rFonts w:cs="Segoe UI"/>
                <w:color w:val="000000" w:themeColor="text1"/>
                <w:sz w:val="18"/>
                <w:szCs w:val="18"/>
              </w:rPr>
              <w:t>cingulum</w:t>
            </w:r>
            <w:proofErr w:type="spellEnd"/>
            <w:r>
              <w:rPr>
                <w:rFonts w:cs="Segoe UI"/>
                <w:color w:val="000000" w:themeColor="text1"/>
                <w:sz w:val="18"/>
                <w:szCs w:val="18"/>
              </w:rPr>
              <w:t xml:space="preserve"> bundle, around cingulate gyrus, right; CGC_L= </w:t>
            </w:r>
            <w:proofErr w:type="spellStart"/>
            <w:r>
              <w:rPr>
                <w:rFonts w:cs="Segoe UI"/>
                <w:color w:val="000000" w:themeColor="text1"/>
                <w:sz w:val="18"/>
                <w:szCs w:val="18"/>
              </w:rPr>
              <w:t>cingulum</w:t>
            </w:r>
            <w:proofErr w:type="spellEnd"/>
            <w:r>
              <w:rPr>
                <w:rFonts w:cs="Segoe UI"/>
                <w:color w:val="000000" w:themeColor="text1"/>
                <w:sz w:val="18"/>
                <w:szCs w:val="18"/>
              </w:rPr>
              <w:t xml:space="preserve"> bundle, around cingulate gyrus, left; SLF_R= superior longitudinal fasciculus, right; SLF_L= superior longitudinal fasciculus, left; SFO_L= superior </w:t>
            </w:r>
            <w:proofErr w:type="spellStart"/>
            <w:r>
              <w:rPr>
                <w:rFonts w:cs="Segoe UI"/>
                <w:color w:val="000000" w:themeColor="text1"/>
                <w:sz w:val="18"/>
                <w:szCs w:val="18"/>
              </w:rPr>
              <w:t>fronto</w:t>
            </w:r>
            <w:proofErr w:type="spellEnd"/>
            <w:r>
              <w:rPr>
                <w:rFonts w:cs="Segoe UI"/>
                <w:color w:val="000000" w:themeColor="text1"/>
                <w:sz w:val="18"/>
                <w:szCs w:val="18"/>
              </w:rPr>
              <w:t xml:space="preserve">-occipital gyrus, left; ; </w:t>
            </w:r>
            <w:proofErr w:type="spellStart"/>
            <w:r>
              <w:rPr>
                <w:rFonts w:cs="Segoe UI"/>
                <w:color w:val="000000" w:themeColor="text1"/>
                <w:sz w:val="18"/>
                <w:szCs w:val="18"/>
              </w:rPr>
              <w:t>df</w:t>
            </w:r>
            <w:proofErr w:type="spellEnd"/>
            <w:r>
              <w:rPr>
                <w:rFonts w:cs="Segoe UI"/>
                <w:color w:val="000000" w:themeColor="text1"/>
                <w:sz w:val="18"/>
                <w:szCs w:val="18"/>
              </w:rPr>
              <w:t xml:space="preserve"> = degrees of freedom</w:t>
            </w:r>
          </w:p>
        </w:tc>
      </w:tr>
    </w:tbl>
    <w:p w14:paraId="216A11D1" w14:textId="77777777" w:rsidR="00CD5996" w:rsidRDefault="00CD5996" w:rsidP="00CD5996">
      <w:pPr>
        <w:spacing w:line="480" w:lineRule="auto"/>
        <w:jc w:val="both"/>
        <w:rPr>
          <w:lang w:val="en-US"/>
        </w:rPr>
      </w:pPr>
    </w:p>
    <w:p w14:paraId="7D3A394B" w14:textId="77777777" w:rsidR="00CD5996" w:rsidRDefault="00CD5996" w:rsidP="00CD5996">
      <w:pPr>
        <w:spacing w:line="480" w:lineRule="auto"/>
        <w:jc w:val="both"/>
        <w:rPr>
          <w:lang w:val="en-US"/>
        </w:rPr>
      </w:pPr>
    </w:p>
    <w:p w14:paraId="3DB4DF31" w14:textId="77777777" w:rsidR="00CD5996" w:rsidRDefault="00CD5996" w:rsidP="00CD5996">
      <w:pPr>
        <w:spacing w:line="480" w:lineRule="auto"/>
        <w:jc w:val="both"/>
        <w:rPr>
          <w:lang w:val="en-US"/>
        </w:rPr>
      </w:pPr>
    </w:p>
    <w:p w14:paraId="5EE338D6" w14:textId="77777777" w:rsidR="00CD5996" w:rsidRDefault="00CD5996" w:rsidP="00CD5996">
      <w:pPr>
        <w:spacing w:line="480" w:lineRule="auto"/>
        <w:jc w:val="both"/>
        <w:rPr>
          <w:lang w:val="en-US"/>
        </w:rPr>
      </w:pPr>
    </w:p>
    <w:p w14:paraId="4E084202" w14:textId="77777777" w:rsidR="00CD5996" w:rsidRDefault="00CD5996" w:rsidP="00CD5996">
      <w:pPr>
        <w:spacing w:line="480" w:lineRule="auto"/>
        <w:jc w:val="both"/>
        <w:rPr>
          <w:lang w:val="en-US"/>
        </w:rPr>
      </w:pPr>
    </w:p>
    <w:p w14:paraId="2DD91F85" w14:textId="77777777" w:rsidR="00CD5996" w:rsidRDefault="00CD5996" w:rsidP="00CD5996">
      <w:pPr>
        <w:spacing w:line="480" w:lineRule="auto"/>
        <w:jc w:val="both"/>
        <w:rPr>
          <w:lang w:val="en-US"/>
        </w:rPr>
      </w:pPr>
    </w:p>
    <w:p w14:paraId="7D9AEE28" w14:textId="77777777" w:rsidR="00CD5996" w:rsidRDefault="00CD5996" w:rsidP="00CD5996">
      <w:pPr>
        <w:spacing w:line="480" w:lineRule="auto"/>
        <w:jc w:val="both"/>
        <w:rPr>
          <w:lang w:val="en-US"/>
        </w:rPr>
      </w:pPr>
    </w:p>
    <w:p w14:paraId="3BAF6141" w14:textId="77777777" w:rsidR="00CD5996" w:rsidRDefault="00CD5996" w:rsidP="00CD5996">
      <w:pPr>
        <w:spacing w:line="480" w:lineRule="auto"/>
        <w:jc w:val="both"/>
        <w:rPr>
          <w:lang w:val="en-US"/>
        </w:rPr>
      </w:pPr>
    </w:p>
    <w:p w14:paraId="5232C3AB" w14:textId="77777777" w:rsidR="00CD5996" w:rsidRDefault="00CD5996" w:rsidP="00CD5996">
      <w:pPr>
        <w:spacing w:line="480" w:lineRule="auto"/>
        <w:jc w:val="both"/>
        <w:rPr>
          <w:lang w:val="en-US"/>
        </w:rPr>
      </w:pPr>
    </w:p>
    <w:p w14:paraId="008954C9" w14:textId="77777777" w:rsidR="00CD5996" w:rsidRDefault="00CD5996" w:rsidP="00CD5996">
      <w:pPr>
        <w:spacing w:line="480" w:lineRule="auto"/>
        <w:jc w:val="both"/>
        <w:rPr>
          <w:lang w:val="en-US"/>
        </w:rPr>
      </w:pPr>
    </w:p>
    <w:p w14:paraId="2F865872" w14:textId="6B832C62" w:rsidR="00CD5996" w:rsidRDefault="00CD5996" w:rsidP="00CD5996">
      <w:pPr>
        <w:spacing w:line="480" w:lineRule="auto"/>
        <w:jc w:val="both"/>
        <w:rPr>
          <w:lang w:val="en-US"/>
        </w:rPr>
      </w:pPr>
    </w:p>
    <w:p w14:paraId="224A9F38" w14:textId="23CAE550" w:rsidR="00A04D6D" w:rsidRPr="00A04D6D" w:rsidRDefault="00A04D6D" w:rsidP="00CD5996">
      <w:pPr>
        <w:spacing w:line="480" w:lineRule="auto"/>
        <w:jc w:val="both"/>
        <w:rPr>
          <w:b/>
          <w:lang w:val="en-US"/>
        </w:rPr>
      </w:pPr>
      <w:r>
        <w:rPr>
          <w:b/>
          <w:lang w:val="en-US"/>
        </w:rPr>
        <w:t>Reference</w:t>
      </w:r>
    </w:p>
    <w:p w14:paraId="74A555B5" w14:textId="7CE154E7" w:rsidR="00A04D6D" w:rsidRPr="00A04D6D" w:rsidRDefault="00A04D6D" w:rsidP="00A04D6D">
      <w:pPr>
        <w:widowControl w:val="0"/>
        <w:autoSpaceDE w:val="0"/>
        <w:autoSpaceDN w:val="0"/>
        <w:adjustRightInd w:val="0"/>
        <w:spacing w:line="240" w:lineRule="auto"/>
        <w:ind w:left="640" w:hanging="640"/>
        <w:rPr>
          <w:rFonts w:cs="Segoe UI"/>
          <w:noProof/>
        </w:rPr>
      </w:pPr>
      <w:r>
        <w:fldChar w:fldCharType="begin" w:fldLock="1"/>
      </w:r>
      <w:r>
        <w:instrText xml:space="preserve">ADDIN Mendeley Bibliography CSL_BIBLIOGRAPHY </w:instrText>
      </w:r>
      <w:r>
        <w:fldChar w:fldCharType="separate"/>
      </w:r>
      <w:r w:rsidRPr="00A04D6D">
        <w:rPr>
          <w:rFonts w:eastAsia="Times New Roman" w:cs="Segoe UI"/>
          <w:noProof/>
        </w:rPr>
        <w:t xml:space="preserve">1. </w:t>
      </w:r>
      <w:r w:rsidRPr="00A04D6D">
        <w:rPr>
          <w:rFonts w:eastAsia="Times New Roman" w:cs="Segoe UI"/>
          <w:noProof/>
        </w:rPr>
        <w:tab/>
        <w:t xml:space="preserve">Ling J, Merideth F, Caprihan A, Pena A, Teshiba T, Mayer AR. Head injury or head motion? Assessment and quantification of motion artifacts in diffusion tensor imaging studies. </w:t>
      </w:r>
      <w:r w:rsidRPr="00A04D6D">
        <w:rPr>
          <w:rFonts w:eastAsia="Times New Roman" w:cs="Segoe UI"/>
          <w:i/>
          <w:iCs/>
          <w:noProof/>
        </w:rPr>
        <w:t>Hum Brain Mapp</w:t>
      </w:r>
      <w:r w:rsidRPr="00A04D6D">
        <w:rPr>
          <w:rFonts w:eastAsia="Times New Roman" w:cs="Segoe UI"/>
          <w:noProof/>
        </w:rPr>
        <w:t>. 2012;33(1):50-62. doi:10.1002/hbm.21192.</w:t>
      </w:r>
    </w:p>
    <w:p w14:paraId="4FFBD472" w14:textId="6E2E451C" w:rsidR="00337622" w:rsidRDefault="00A04D6D">
      <w:r>
        <w:fldChar w:fldCharType="end"/>
      </w:r>
    </w:p>
    <w:sectPr w:rsidR="00337622" w:rsidSect="00E63D7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996"/>
    <w:rsid w:val="00204E10"/>
    <w:rsid w:val="00337622"/>
    <w:rsid w:val="00681C42"/>
    <w:rsid w:val="00787B0E"/>
    <w:rsid w:val="008C514F"/>
    <w:rsid w:val="00A04D6D"/>
    <w:rsid w:val="00CD5996"/>
    <w:rsid w:val="00E47C43"/>
    <w:rsid w:val="00E63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CC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996"/>
    <w:pPr>
      <w:spacing w:after="200" w:line="276" w:lineRule="auto"/>
    </w:pPr>
    <w:rPr>
      <w:rFonts w:ascii="Segoe UI" w:hAnsi="Segoe UI"/>
      <w:sz w:val="22"/>
      <w:szCs w:val="22"/>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D5996"/>
    <w:rPr>
      <w:rFonts w:ascii="Segoe UI" w:hAnsi="Segoe U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D5996"/>
    <w:pPr>
      <w:spacing w:after="200" w:line="276" w:lineRule="auto"/>
    </w:pPr>
    <w:rPr>
      <w:rFonts w:ascii="Segoe UI" w:hAnsi="Segoe UI"/>
      <w:sz w:val="22"/>
      <w:szCs w:val="22"/>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D5996"/>
    <w:rPr>
      <w:rFonts w:ascii="Segoe UI" w:hAnsi="Segoe U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331C1107</Template>
  <TotalTime>1</TotalTime>
  <Pages>2</Pages>
  <Words>682</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UMC Utrecht</Company>
  <LinksUpToDate>false</LinksUpToDate>
  <CharactersWithSpaces>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Nuninga</dc:creator>
  <cp:keywords/>
  <dc:description/>
  <cp:lastModifiedBy>Bohlken, M.M.</cp:lastModifiedBy>
  <cp:revision>5</cp:revision>
  <dcterms:created xsi:type="dcterms:W3CDTF">2016-10-03T10:07:00Z</dcterms:created>
  <dcterms:modified xsi:type="dcterms:W3CDTF">2017-09-20T06:48:00Z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j.nuninga@gmail.com@www.mendeley.com</vt:lpwstr>
  </property>
  <property fmtid="{D5CDD505-2E9C-101B-9397-08002B2CF9AE}" pid="4" name="Mendeley Citation Style_1">
    <vt:lpwstr>http://www.zotero.org/styles/american-medical-association</vt:lpwstr>
  </property>
</Properties>
</file>