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page" w:tblpX="1630" w:tblpY="1085"/>
        <w:tblW w:w="0" w:type="auto"/>
        <w:tblLook w:val="04A0" w:firstRow="1" w:lastRow="0" w:firstColumn="1" w:lastColumn="0" w:noHBand="0" w:noVBand="1"/>
      </w:tblPr>
      <w:tblGrid>
        <w:gridCol w:w="4037"/>
        <w:gridCol w:w="3714"/>
      </w:tblGrid>
      <w:tr w:rsidR="004A3247" w14:paraId="6B9FCC39" w14:textId="77777777" w:rsidTr="004A3247">
        <w:tc>
          <w:tcPr>
            <w:tcW w:w="0" w:type="auto"/>
            <w:gridSpan w:val="2"/>
            <w:tcBorders>
              <w:top w:val="nil"/>
              <w:left w:val="nil"/>
              <w:bottom w:val="single" w:sz="4" w:space="0" w:color="auto"/>
              <w:right w:val="nil"/>
            </w:tcBorders>
          </w:tcPr>
          <w:p w14:paraId="4C9AD9BC" w14:textId="2AEC75B1" w:rsidR="004A3247" w:rsidRDefault="008502F6" w:rsidP="004A3247">
            <w:pPr>
              <w:jc w:val="both"/>
              <w:rPr>
                <w:rFonts w:cs="Segoe UI"/>
                <w:color w:val="000000" w:themeColor="text1"/>
                <w:sz w:val="18"/>
                <w:szCs w:val="18"/>
              </w:rPr>
            </w:pPr>
            <w:bookmarkStart w:id="0" w:name="_GoBack"/>
            <w:bookmarkEnd w:id="0"/>
            <w:r>
              <w:rPr>
                <w:rFonts w:cs="Segoe UI"/>
                <w:color w:val="000000" w:themeColor="text1"/>
                <w:sz w:val="18"/>
                <w:szCs w:val="18"/>
              </w:rPr>
              <w:t>Supplementary S2</w:t>
            </w:r>
            <w:r w:rsidR="004A3247">
              <w:rPr>
                <w:rFonts w:cs="Segoe UI"/>
                <w:color w:val="000000" w:themeColor="text1"/>
                <w:sz w:val="18"/>
                <w:szCs w:val="18"/>
              </w:rPr>
              <w:t>. List of white matter regions included in the analysis</w:t>
            </w:r>
          </w:p>
        </w:tc>
      </w:tr>
      <w:tr w:rsidR="004A3247" w14:paraId="050962E2" w14:textId="77777777" w:rsidTr="004A3247">
        <w:tc>
          <w:tcPr>
            <w:tcW w:w="0" w:type="auto"/>
            <w:tcBorders>
              <w:left w:val="nil"/>
              <w:bottom w:val="single" w:sz="4" w:space="0" w:color="auto"/>
              <w:right w:val="nil"/>
            </w:tcBorders>
          </w:tcPr>
          <w:p w14:paraId="6C6A991F"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Name</w:t>
            </w:r>
          </w:p>
        </w:tc>
        <w:tc>
          <w:tcPr>
            <w:tcW w:w="0" w:type="auto"/>
            <w:tcBorders>
              <w:left w:val="nil"/>
              <w:bottom w:val="single" w:sz="4" w:space="0" w:color="auto"/>
              <w:right w:val="nil"/>
            </w:tcBorders>
          </w:tcPr>
          <w:p w14:paraId="50812230"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Name</w:t>
            </w:r>
          </w:p>
        </w:tc>
      </w:tr>
      <w:tr w:rsidR="004A3247" w14:paraId="2A76A780" w14:textId="77777777" w:rsidTr="004A3247">
        <w:tc>
          <w:tcPr>
            <w:tcW w:w="0" w:type="auto"/>
            <w:tcBorders>
              <w:top w:val="single" w:sz="4" w:space="0" w:color="auto"/>
              <w:left w:val="nil"/>
              <w:bottom w:val="nil"/>
              <w:right w:val="nil"/>
            </w:tcBorders>
          </w:tcPr>
          <w:p w14:paraId="54232A9A" w14:textId="77777777" w:rsidR="004A3247" w:rsidRPr="00E53BB8" w:rsidRDefault="004A3247" w:rsidP="004A3247">
            <w:pPr>
              <w:rPr>
                <w:rFonts w:cs="Segoe UI"/>
                <w:color w:val="000000" w:themeColor="text1"/>
                <w:sz w:val="18"/>
                <w:szCs w:val="18"/>
                <w:lang w:val="en-US"/>
              </w:rPr>
            </w:pPr>
            <w:r w:rsidRPr="00E53BB8">
              <w:rPr>
                <w:rFonts w:cs="Segoe UI"/>
                <w:color w:val="000000" w:themeColor="text1"/>
                <w:sz w:val="18"/>
                <w:szCs w:val="18"/>
                <w:lang w:val="en-US"/>
              </w:rPr>
              <w:t>Middle cerebellar peduncle (MCP)</w:t>
            </w:r>
          </w:p>
        </w:tc>
        <w:tc>
          <w:tcPr>
            <w:tcW w:w="0" w:type="auto"/>
            <w:tcBorders>
              <w:top w:val="single" w:sz="4" w:space="0" w:color="auto"/>
              <w:left w:val="nil"/>
              <w:bottom w:val="nil"/>
              <w:right w:val="nil"/>
            </w:tcBorders>
          </w:tcPr>
          <w:p w14:paraId="6426401E"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Posterior thalamic radiation right (PTR R)</w:t>
            </w:r>
          </w:p>
        </w:tc>
      </w:tr>
      <w:tr w:rsidR="004A3247" w14:paraId="1B52973D" w14:textId="77777777" w:rsidTr="004A3247">
        <w:trPr>
          <w:trHeight w:val="110"/>
        </w:trPr>
        <w:tc>
          <w:tcPr>
            <w:tcW w:w="0" w:type="auto"/>
            <w:tcBorders>
              <w:top w:val="nil"/>
              <w:left w:val="nil"/>
              <w:bottom w:val="nil"/>
              <w:right w:val="nil"/>
            </w:tcBorders>
          </w:tcPr>
          <w:p w14:paraId="2504A2DB" w14:textId="77777777" w:rsidR="004A3247" w:rsidRPr="00E53BB8" w:rsidRDefault="004A3247" w:rsidP="004A3247">
            <w:pPr>
              <w:rPr>
                <w:rFonts w:cs="Segoe UI"/>
                <w:color w:val="000000" w:themeColor="text1"/>
                <w:sz w:val="18"/>
                <w:szCs w:val="18"/>
                <w:lang w:val="en-US"/>
              </w:rPr>
            </w:pPr>
            <w:r w:rsidRPr="00E53BB8">
              <w:rPr>
                <w:rFonts w:cs="Segoe UI"/>
                <w:color w:val="000000" w:themeColor="text1"/>
                <w:sz w:val="18"/>
                <w:szCs w:val="18"/>
                <w:lang w:val="en-US"/>
              </w:rPr>
              <w:t>Brainstem</w:t>
            </w:r>
          </w:p>
        </w:tc>
        <w:tc>
          <w:tcPr>
            <w:tcW w:w="0" w:type="auto"/>
            <w:tcBorders>
              <w:top w:val="nil"/>
              <w:left w:val="nil"/>
              <w:bottom w:val="nil"/>
              <w:right w:val="nil"/>
            </w:tcBorders>
          </w:tcPr>
          <w:p w14:paraId="3DE87EBB"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Posterior thalamic radiation  left (PTR L</w:t>
            </w:r>
          </w:p>
        </w:tc>
      </w:tr>
      <w:tr w:rsidR="004A3247" w14:paraId="5AAA6121" w14:textId="77777777" w:rsidTr="004A3247">
        <w:tc>
          <w:tcPr>
            <w:tcW w:w="0" w:type="auto"/>
            <w:tcBorders>
              <w:top w:val="nil"/>
              <w:left w:val="nil"/>
              <w:bottom w:val="nil"/>
              <w:right w:val="nil"/>
            </w:tcBorders>
          </w:tcPr>
          <w:p w14:paraId="4A80C7B1" w14:textId="77777777" w:rsidR="004A3247" w:rsidRPr="00E53BB8" w:rsidRDefault="004A3247" w:rsidP="004A3247">
            <w:pPr>
              <w:rPr>
                <w:rFonts w:cs="Segoe UI"/>
                <w:color w:val="000000" w:themeColor="text1"/>
                <w:sz w:val="18"/>
                <w:szCs w:val="18"/>
                <w:lang w:val="en-US"/>
              </w:rPr>
            </w:pPr>
            <w:r w:rsidRPr="00E53BB8">
              <w:rPr>
                <w:rFonts w:ascii="Calibri" w:eastAsia="Times New Roman" w:hAnsi="Calibri" w:cs="Times New Roman"/>
                <w:color w:val="000000"/>
                <w:sz w:val="18"/>
                <w:szCs w:val="18"/>
                <w:lang w:val="en-US" w:eastAsia="nl-NL"/>
              </w:rPr>
              <w:t>Genu of corpus callosum (GCC)</w:t>
            </w:r>
          </w:p>
        </w:tc>
        <w:tc>
          <w:tcPr>
            <w:tcW w:w="0" w:type="auto"/>
            <w:tcBorders>
              <w:top w:val="nil"/>
              <w:left w:val="nil"/>
              <w:bottom w:val="nil"/>
              <w:right w:val="nil"/>
            </w:tcBorders>
          </w:tcPr>
          <w:p w14:paraId="4979A48C"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Sagittal stratum right (SS R)</w:t>
            </w:r>
          </w:p>
        </w:tc>
      </w:tr>
      <w:tr w:rsidR="004A3247" w14:paraId="1FBA7A9E" w14:textId="77777777" w:rsidTr="004A3247">
        <w:tc>
          <w:tcPr>
            <w:tcW w:w="0" w:type="auto"/>
            <w:tcBorders>
              <w:top w:val="nil"/>
              <w:left w:val="nil"/>
              <w:bottom w:val="nil"/>
              <w:right w:val="nil"/>
            </w:tcBorders>
          </w:tcPr>
          <w:p w14:paraId="555D19C3" w14:textId="77777777" w:rsidR="004A3247" w:rsidRPr="00E53BB8" w:rsidRDefault="004A3247" w:rsidP="004A3247">
            <w:pPr>
              <w:rPr>
                <w:rFonts w:cs="Segoe UI"/>
                <w:color w:val="000000" w:themeColor="text1"/>
                <w:sz w:val="18"/>
                <w:szCs w:val="18"/>
              </w:rPr>
            </w:pPr>
            <w:r w:rsidRPr="00E53BB8">
              <w:rPr>
                <w:rFonts w:ascii="Calibri" w:eastAsia="Times New Roman" w:hAnsi="Calibri" w:cs="Times New Roman"/>
                <w:color w:val="000000"/>
                <w:sz w:val="18"/>
                <w:szCs w:val="18"/>
                <w:lang w:val="en-US" w:eastAsia="nl-NL"/>
              </w:rPr>
              <w:t>Body of corpus callosum (BCC)</w:t>
            </w:r>
          </w:p>
        </w:tc>
        <w:tc>
          <w:tcPr>
            <w:tcW w:w="0" w:type="auto"/>
            <w:tcBorders>
              <w:top w:val="nil"/>
              <w:left w:val="nil"/>
              <w:bottom w:val="nil"/>
              <w:right w:val="nil"/>
            </w:tcBorders>
          </w:tcPr>
          <w:p w14:paraId="6FB22175"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Sagittal stratum left (SS L)</w:t>
            </w:r>
          </w:p>
        </w:tc>
      </w:tr>
      <w:tr w:rsidR="004A3247" w14:paraId="639E4C04" w14:textId="77777777" w:rsidTr="004A3247">
        <w:trPr>
          <w:trHeight w:val="479"/>
        </w:trPr>
        <w:tc>
          <w:tcPr>
            <w:tcW w:w="0" w:type="auto"/>
            <w:tcBorders>
              <w:top w:val="nil"/>
              <w:left w:val="nil"/>
              <w:bottom w:val="nil"/>
              <w:right w:val="nil"/>
            </w:tcBorders>
          </w:tcPr>
          <w:p w14:paraId="4FFED5A4" w14:textId="77777777" w:rsidR="004A3247" w:rsidRPr="00E53BB8" w:rsidRDefault="004A3247" w:rsidP="004A3247">
            <w:pPr>
              <w:rPr>
                <w:rFonts w:cs="Segoe UI"/>
                <w:color w:val="000000" w:themeColor="text1"/>
                <w:sz w:val="18"/>
                <w:szCs w:val="18"/>
              </w:rPr>
            </w:pPr>
            <w:r w:rsidRPr="00E53BB8">
              <w:rPr>
                <w:rFonts w:ascii="Calibri" w:eastAsia="Times New Roman" w:hAnsi="Calibri" w:cs="Times New Roman"/>
                <w:color w:val="000000"/>
                <w:sz w:val="18"/>
                <w:szCs w:val="18"/>
                <w:lang w:val="en-US" w:eastAsia="nl-NL"/>
              </w:rPr>
              <w:t>Splenium of corpus callosum (SCC)</w:t>
            </w:r>
          </w:p>
        </w:tc>
        <w:tc>
          <w:tcPr>
            <w:tcW w:w="0" w:type="auto"/>
            <w:tcBorders>
              <w:top w:val="nil"/>
              <w:left w:val="nil"/>
              <w:bottom w:val="nil"/>
              <w:right w:val="nil"/>
            </w:tcBorders>
          </w:tcPr>
          <w:p w14:paraId="7E56D109"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External capsule right (EC R)</w:t>
            </w:r>
          </w:p>
        </w:tc>
      </w:tr>
      <w:tr w:rsidR="004A3247" w14:paraId="1363BCDD" w14:textId="77777777" w:rsidTr="004A3247">
        <w:tc>
          <w:tcPr>
            <w:tcW w:w="0" w:type="auto"/>
            <w:tcBorders>
              <w:top w:val="nil"/>
              <w:left w:val="nil"/>
              <w:bottom w:val="nil"/>
              <w:right w:val="nil"/>
            </w:tcBorders>
          </w:tcPr>
          <w:p w14:paraId="4AD71822" w14:textId="77777777" w:rsidR="004A3247" w:rsidRPr="00E53BB8" w:rsidRDefault="004A3247" w:rsidP="004A3247">
            <w:pPr>
              <w:rPr>
                <w:rFonts w:cs="Segoe UI"/>
                <w:color w:val="000000" w:themeColor="text1"/>
                <w:sz w:val="18"/>
                <w:szCs w:val="18"/>
              </w:rPr>
            </w:pPr>
            <w:r w:rsidRPr="00E53BB8">
              <w:rPr>
                <w:rFonts w:ascii="Calibri" w:eastAsia="Times New Roman" w:hAnsi="Calibri" w:cs="Times New Roman"/>
                <w:color w:val="000000"/>
                <w:sz w:val="18"/>
                <w:szCs w:val="18"/>
                <w:lang w:val="en-US" w:eastAsia="nl-NL"/>
              </w:rPr>
              <w:t>Fornix (column and body of fornix; FX)</w:t>
            </w:r>
          </w:p>
        </w:tc>
        <w:tc>
          <w:tcPr>
            <w:tcW w:w="0" w:type="auto"/>
            <w:tcBorders>
              <w:top w:val="nil"/>
              <w:left w:val="nil"/>
              <w:bottom w:val="nil"/>
              <w:right w:val="nil"/>
            </w:tcBorders>
          </w:tcPr>
          <w:p w14:paraId="38C5B2A9"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External capsule left (EC L)</w:t>
            </w:r>
          </w:p>
        </w:tc>
      </w:tr>
      <w:tr w:rsidR="004A3247" w14:paraId="64CD0879" w14:textId="77777777" w:rsidTr="004A3247">
        <w:tc>
          <w:tcPr>
            <w:tcW w:w="0" w:type="auto"/>
            <w:tcBorders>
              <w:top w:val="nil"/>
              <w:left w:val="nil"/>
              <w:bottom w:val="nil"/>
              <w:right w:val="nil"/>
            </w:tcBorders>
          </w:tcPr>
          <w:p w14:paraId="745117FD"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Superior cerebellar peduncle right (SCP R)</w:t>
            </w:r>
          </w:p>
        </w:tc>
        <w:tc>
          <w:tcPr>
            <w:tcW w:w="0" w:type="auto"/>
            <w:tcBorders>
              <w:top w:val="nil"/>
              <w:left w:val="nil"/>
              <w:bottom w:val="nil"/>
              <w:right w:val="nil"/>
            </w:tcBorders>
          </w:tcPr>
          <w:p w14:paraId="66123D78"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Cingulum (cingulate gyrus) right (CGC R)</w:t>
            </w:r>
          </w:p>
        </w:tc>
      </w:tr>
      <w:tr w:rsidR="004A3247" w14:paraId="1863E6F1" w14:textId="77777777" w:rsidTr="004A3247">
        <w:tc>
          <w:tcPr>
            <w:tcW w:w="0" w:type="auto"/>
            <w:tcBorders>
              <w:top w:val="nil"/>
              <w:left w:val="nil"/>
              <w:bottom w:val="nil"/>
              <w:right w:val="nil"/>
            </w:tcBorders>
          </w:tcPr>
          <w:p w14:paraId="28CAE8AB"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Superior cerebellar peduncle left (SCP L)</w:t>
            </w:r>
          </w:p>
        </w:tc>
        <w:tc>
          <w:tcPr>
            <w:tcW w:w="0" w:type="auto"/>
            <w:tcBorders>
              <w:top w:val="nil"/>
              <w:left w:val="nil"/>
              <w:bottom w:val="nil"/>
              <w:right w:val="nil"/>
            </w:tcBorders>
          </w:tcPr>
          <w:p w14:paraId="0B4CB261"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Cingulum (cingulate gyrus) left (CGC L)</w:t>
            </w:r>
          </w:p>
        </w:tc>
      </w:tr>
      <w:tr w:rsidR="004A3247" w14:paraId="2319A5C9" w14:textId="77777777" w:rsidTr="004A3247">
        <w:tc>
          <w:tcPr>
            <w:tcW w:w="0" w:type="auto"/>
            <w:tcBorders>
              <w:top w:val="nil"/>
              <w:left w:val="nil"/>
              <w:bottom w:val="nil"/>
              <w:right w:val="nil"/>
            </w:tcBorders>
          </w:tcPr>
          <w:p w14:paraId="4B9F6BC4"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Anterior limb of internal capsule right (ALIC R)</w:t>
            </w:r>
          </w:p>
        </w:tc>
        <w:tc>
          <w:tcPr>
            <w:tcW w:w="0" w:type="auto"/>
            <w:tcBorders>
              <w:top w:val="nil"/>
              <w:left w:val="nil"/>
              <w:bottom w:val="nil"/>
              <w:right w:val="nil"/>
            </w:tcBorders>
          </w:tcPr>
          <w:p w14:paraId="3DF60B3B"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Cingulum (hippocampus) right (CGH R)</w:t>
            </w:r>
          </w:p>
        </w:tc>
      </w:tr>
      <w:tr w:rsidR="004A3247" w14:paraId="5B5A8094" w14:textId="77777777" w:rsidTr="004A3247">
        <w:tc>
          <w:tcPr>
            <w:tcW w:w="0" w:type="auto"/>
            <w:tcBorders>
              <w:top w:val="nil"/>
              <w:left w:val="nil"/>
              <w:bottom w:val="nil"/>
              <w:right w:val="nil"/>
            </w:tcBorders>
          </w:tcPr>
          <w:p w14:paraId="29F9D135"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Anterior limb of internal capsule left (ALIC L)</w:t>
            </w:r>
          </w:p>
        </w:tc>
        <w:tc>
          <w:tcPr>
            <w:tcW w:w="0" w:type="auto"/>
            <w:tcBorders>
              <w:top w:val="nil"/>
              <w:left w:val="nil"/>
              <w:bottom w:val="nil"/>
              <w:right w:val="nil"/>
            </w:tcBorders>
          </w:tcPr>
          <w:p w14:paraId="6FDBB924"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Cingulum (hippocampus) left (CGH L)</w:t>
            </w:r>
          </w:p>
        </w:tc>
      </w:tr>
      <w:tr w:rsidR="004A3247" w14:paraId="05930976" w14:textId="77777777" w:rsidTr="004A3247">
        <w:tc>
          <w:tcPr>
            <w:tcW w:w="0" w:type="auto"/>
            <w:tcBorders>
              <w:top w:val="nil"/>
              <w:left w:val="nil"/>
              <w:bottom w:val="nil"/>
              <w:right w:val="nil"/>
            </w:tcBorders>
          </w:tcPr>
          <w:p w14:paraId="3A039A30"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Posterior limb of internal capsule right (PLIC R)</w:t>
            </w:r>
          </w:p>
        </w:tc>
        <w:tc>
          <w:tcPr>
            <w:tcW w:w="0" w:type="auto"/>
            <w:tcBorders>
              <w:top w:val="nil"/>
              <w:left w:val="nil"/>
              <w:bottom w:val="nil"/>
              <w:right w:val="nil"/>
            </w:tcBorders>
          </w:tcPr>
          <w:p w14:paraId="373EF6E9"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Fornix (cres) / Stria terminalis  right (ST L)</w:t>
            </w:r>
          </w:p>
        </w:tc>
      </w:tr>
      <w:tr w:rsidR="004A3247" w14:paraId="53A1245F" w14:textId="77777777" w:rsidTr="004A3247">
        <w:tc>
          <w:tcPr>
            <w:tcW w:w="0" w:type="auto"/>
            <w:tcBorders>
              <w:top w:val="nil"/>
              <w:left w:val="nil"/>
              <w:bottom w:val="nil"/>
              <w:right w:val="nil"/>
            </w:tcBorders>
          </w:tcPr>
          <w:p w14:paraId="74DEABE9"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Posterior limb of internal capsule left (PLIC L)</w:t>
            </w:r>
          </w:p>
        </w:tc>
        <w:tc>
          <w:tcPr>
            <w:tcW w:w="0" w:type="auto"/>
            <w:tcBorders>
              <w:top w:val="nil"/>
              <w:left w:val="nil"/>
              <w:bottom w:val="nil"/>
              <w:right w:val="nil"/>
            </w:tcBorders>
          </w:tcPr>
          <w:p w14:paraId="1D7604C1"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Fornix (cres) / Stria terminalis left (ST R)</w:t>
            </w:r>
          </w:p>
        </w:tc>
      </w:tr>
      <w:tr w:rsidR="004A3247" w14:paraId="6BDBC2F7" w14:textId="77777777" w:rsidTr="004A3247">
        <w:tc>
          <w:tcPr>
            <w:tcW w:w="0" w:type="auto"/>
            <w:tcBorders>
              <w:top w:val="nil"/>
              <w:left w:val="nil"/>
              <w:bottom w:val="nil"/>
              <w:right w:val="nil"/>
            </w:tcBorders>
          </w:tcPr>
          <w:p w14:paraId="67FD3C8E" w14:textId="77777777" w:rsidR="004A3247" w:rsidRPr="00E53BB8" w:rsidRDefault="004A3247" w:rsidP="004A3247">
            <w:pPr>
              <w:spacing w:line="240" w:lineRule="auto"/>
              <w:rPr>
                <w:rFonts w:cs="Segoe UI"/>
                <w:color w:val="000000" w:themeColor="text1"/>
                <w:sz w:val="18"/>
                <w:szCs w:val="18"/>
              </w:rPr>
            </w:pPr>
            <w:r w:rsidRPr="00E53BB8">
              <w:rPr>
                <w:rFonts w:cs="Segoe UI"/>
                <w:color w:val="000000" w:themeColor="text1"/>
                <w:sz w:val="18"/>
                <w:szCs w:val="18"/>
              </w:rPr>
              <w:t>Retrolenticular part of internal capsule right (RLIC R)</w:t>
            </w:r>
          </w:p>
        </w:tc>
        <w:tc>
          <w:tcPr>
            <w:tcW w:w="0" w:type="auto"/>
            <w:tcBorders>
              <w:top w:val="nil"/>
              <w:left w:val="nil"/>
              <w:bottom w:val="nil"/>
              <w:right w:val="nil"/>
            </w:tcBorders>
          </w:tcPr>
          <w:p w14:paraId="790910F0"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Superior longitudinal fasciculus right (SLF R)</w:t>
            </w:r>
          </w:p>
        </w:tc>
      </w:tr>
      <w:tr w:rsidR="004A3247" w14:paraId="6A16A475" w14:textId="77777777" w:rsidTr="004A3247">
        <w:tc>
          <w:tcPr>
            <w:tcW w:w="0" w:type="auto"/>
            <w:tcBorders>
              <w:top w:val="nil"/>
              <w:left w:val="nil"/>
              <w:bottom w:val="nil"/>
              <w:right w:val="nil"/>
            </w:tcBorders>
          </w:tcPr>
          <w:p w14:paraId="68D380A1" w14:textId="77777777" w:rsidR="004A3247" w:rsidRPr="00E53BB8" w:rsidRDefault="004A3247" w:rsidP="004A3247">
            <w:pPr>
              <w:spacing w:line="240" w:lineRule="auto"/>
              <w:rPr>
                <w:rFonts w:cs="Segoe UI"/>
                <w:color w:val="000000" w:themeColor="text1"/>
                <w:sz w:val="18"/>
                <w:szCs w:val="18"/>
              </w:rPr>
            </w:pPr>
            <w:r w:rsidRPr="00E53BB8">
              <w:rPr>
                <w:rFonts w:cs="Segoe UI"/>
                <w:color w:val="000000" w:themeColor="text1"/>
                <w:sz w:val="18"/>
                <w:szCs w:val="18"/>
              </w:rPr>
              <w:t>Retrolenticular part of internal capsule left (RLIC L)</w:t>
            </w:r>
          </w:p>
        </w:tc>
        <w:tc>
          <w:tcPr>
            <w:tcW w:w="0" w:type="auto"/>
            <w:tcBorders>
              <w:top w:val="nil"/>
              <w:left w:val="nil"/>
              <w:bottom w:val="nil"/>
              <w:right w:val="nil"/>
            </w:tcBorders>
          </w:tcPr>
          <w:p w14:paraId="14FA86EB"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Superior longitudinal fasciculus left (SLF L)</w:t>
            </w:r>
          </w:p>
        </w:tc>
      </w:tr>
      <w:tr w:rsidR="004A3247" w14:paraId="36174F45" w14:textId="77777777" w:rsidTr="004A3247">
        <w:tc>
          <w:tcPr>
            <w:tcW w:w="0" w:type="auto"/>
            <w:tcBorders>
              <w:top w:val="nil"/>
              <w:left w:val="nil"/>
              <w:bottom w:val="nil"/>
              <w:right w:val="nil"/>
            </w:tcBorders>
          </w:tcPr>
          <w:p w14:paraId="01B01A76" w14:textId="77777777" w:rsidR="004A3247" w:rsidRPr="00E53BB8" w:rsidRDefault="004A3247" w:rsidP="004A3247">
            <w:pPr>
              <w:spacing w:line="240" w:lineRule="auto"/>
              <w:rPr>
                <w:rFonts w:cs="Segoe UI"/>
                <w:color w:val="000000" w:themeColor="text1"/>
                <w:sz w:val="18"/>
                <w:szCs w:val="18"/>
              </w:rPr>
            </w:pPr>
            <w:r w:rsidRPr="00E53BB8">
              <w:rPr>
                <w:rFonts w:cs="Segoe UI"/>
                <w:color w:val="000000" w:themeColor="text1"/>
                <w:sz w:val="18"/>
                <w:szCs w:val="18"/>
              </w:rPr>
              <w:t>Anterior corona radiata right (ACR R)</w:t>
            </w:r>
          </w:p>
        </w:tc>
        <w:tc>
          <w:tcPr>
            <w:tcW w:w="0" w:type="auto"/>
            <w:tcBorders>
              <w:top w:val="nil"/>
              <w:left w:val="nil"/>
              <w:bottom w:val="nil"/>
              <w:right w:val="nil"/>
            </w:tcBorders>
          </w:tcPr>
          <w:p w14:paraId="5BF3E14E"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Superior fronto-occipital fasciculus right (SFO R)</w:t>
            </w:r>
          </w:p>
        </w:tc>
      </w:tr>
      <w:tr w:rsidR="004A3247" w14:paraId="7CF699CF" w14:textId="77777777" w:rsidTr="004A3247">
        <w:tc>
          <w:tcPr>
            <w:tcW w:w="0" w:type="auto"/>
            <w:tcBorders>
              <w:top w:val="nil"/>
              <w:left w:val="nil"/>
              <w:bottom w:val="nil"/>
              <w:right w:val="nil"/>
            </w:tcBorders>
          </w:tcPr>
          <w:p w14:paraId="3748E40E" w14:textId="77777777" w:rsidR="004A3247" w:rsidRPr="00E53BB8" w:rsidRDefault="004A3247" w:rsidP="004A3247">
            <w:pPr>
              <w:spacing w:line="240" w:lineRule="auto"/>
              <w:rPr>
                <w:rFonts w:cs="Segoe UI"/>
                <w:color w:val="000000" w:themeColor="text1"/>
                <w:sz w:val="18"/>
                <w:szCs w:val="18"/>
              </w:rPr>
            </w:pPr>
            <w:r w:rsidRPr="00E53BB8">
              <w:rPr>
                <w:rFonts w:cs="Segoe UI"/>
                <w:color w:val="000000" w:themeColor="text1"/>
                <w:sz w:val="18"/>
                <w:szCs w:val="18"/>
              </w:rPr>
              <w:t>Anterior corona radiata left (ACR L)</w:t>
            </w:r>
          </w:p>
        </w:tc>
        <w:tc>
          <w:tcPr>
            <w:tcW w:w="0" w:type="auto"/>
            <w:tcBorders>
              <w:top w:val="nil"/>
              <w:left w:val="nil"/>
              <w:bottom w:val="nil"/>
              <w:right w:val="nil"/>
            </w:tcBorders>
          </w:tcPr>
          <w:p w14:paraId="0261CCB3"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Superior fronto-occipital fasciculus left (SFO L)</w:t>
            </w:r>
          </w:p>
        </w:tc>
      </w:tr>
      <w:tr w:rsidR="004A3247" w14:paraId="772730C3" w14:textId="77777777" w:rsidTr="004A3247">
        <w:tc>
          <w:tcPr>
            <w:tcW w:w="0" w:type="auto"/>
            <w:tcBorders>
              <w:top w:val="nil"/>
              <w:left w:val="nil"/>
              <w:bottom w:val="nil"/>
              <w:right w:val="nil"/>
            </w:tcBorders>
          </w:tcPr>
          <w:p w14:paraId="1B778F8B" w14:textId="77777777" w:rsidR="004A3247" w:rsidRPr="00E53BB8" w:rsidRDefault="004A3247" w:rsidP="004A3247">
            <w:pPr>
              <w:spacing w:line="240" w:lineRule="auto"/>
              <w:rPr>
                <w:rFonts w:cs="Segoe UI"/>
                <w:color w:val="000000" w:themeColor="text1"/>
                <w:sz w:val="18"/>
                <w:szCs w:val="18"/>
              </w:rPr>
            </w:pPr>
            <w:r w:rsidRPr="00E53BB8">
              <w:rPr>
                <w:rFonts w:cs="Segoe UI"/>
                <w:color w:val="000000" w:themeColor="text1"/>
                <w:sz w:val="18"/>
                <w:szCs w:val="18"/>
              </w:rPr>
              <w:t>Superior corona radiata right (SCR R)</w:t>
            </w:r>
          </w:p>
        </w:tc>
        <w:tc>
          <w:tcPr>
            <w:tcW w:w="0" w:type="auto"/>
            <w:tcBorders>
              <w:top w:val="nil"/>
              <w:left w:val="nil"/>
              <w:bottom w:val="nil"/>
              <w:right w:val="nil"/>
            </w:tcBorders>
          </w:tcPr>
          <w:p w14:paraId="54CA7CEB"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Tapatum right (TAP R)</w:t>
            </w:r>
          </w:p>
        </w:tc>
      </w:tr>
      <w:tr w:rsidR="004A3247" w14:paraId="3115A273" w14:textId="77777777" w:rsidTr="004A3247">
        <w:tc>
          <w:tcPr>
            <w:tcW w:w="0" w:type="auto"/>
            <w:tcBorders>
              <w:top w:val="nil"/>
              <w:left w:val="nil"/>
              <w:bottom w:val="nil"/>
              <w:right w:val="nil"/>
            </w:tcBorders>
          </w:tcPr>
          <w:p w14:paraId="3586B089"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Superior corona radiata left (SCR L)</w:t>
            </w:r>
          </w:p>
        </w:tc>
        <w:tc>
          <w:tcPr>
            <w:tcW w:w="0" w:type="auto"/>
            <w:tcBorders>
              <w:top w:val="nil"/>
              <w:left w:val="nil"/>
              <w:bottom w:val="nil"/>
              <w:right w:val="nil"/>
            </w:tcBorders>
          </w:tcPr>
          <w:p w14:paraId="0B2F4FD0"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Tapatum left (TAP L)</w:t>
            </w:r>
          </w:p>
        </w:tc>
      </w:tr>
      <w:tr w:rsidR="004A3247" w14:paraId="4E378233" w14:textId="77777777" w:rsidTr="004A3247">
        <w:tc>
          <w:tcPr>
            <w:tcW w:w="0" w:type="auto"/>
            <w:tcBorders>
              <w:top w:val="nil"/>
              <w:left w:val="nil"/>
              <w:bottom w:val="nil"/>
              <w:right w:val="nil"/>
            </w:tcBorders>
          </w:tcPr>
          <w:p w14:paraId="2605DEFC"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Posterior corona radiata right (PCR R)</w:t>
            </w:r>
          </w:p>
        </w:tc>
        <w:tc>
          <w:tcPr>
            <w:tcW w:w="0" w:type="auto"/>
            <w:tcBorders>
              <w:top w:val="nil"/>
              <w:left w:val="nil"/>
              <w:bottom w:val="nil"/>
              <w:right w:val="nil"/>
            </w:tcBorders>
          </w:tcPr>
          <w:p w14:paraId="4A482EC8"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Uncinate fasciculus right (UNC R)</w:t>
            </w:r>
          </w:p>
        </w:tc>
      </w:tr>
      <w:tr w:rsidR="004A3247" w14:paraId="1F88CD0D" w14:textId="77777777" w:rsidTr="004A3247">
        <w:tc>
          <w:tcPr>
            <w:tcW w:w="0" w:type="auto"/>
            <w:tcBorders>
              <w:top w:val="nil"/>
              <w:left w:val="nil"/>
              <w:right w:val="nil"/>
            </w:tcBorders>
          </w:tcPr>
          <w:p w14:paraId="428ACCAC" w14:textId="77777777" w:rsidR="004A3247" w:rsidRPr="00E53BB8" w:rsidRDefault="004A3247" w:rsidP="004A3247">
            <w:pPr>
              <w:rPr>
                <w:rFonts w:cs="Segoe UI"/>
                <w:color w:val="000000" w:themeColor="text1"/>
                <w:sz w:val="18"/>
                <w:szCs w:val="18"/>
              </w:rPr>
            </w:pPr>
            <w:r w:rsidRPr="00E53BB8">
              <w:rPr>
                <w:rFonts w:cs="Segoe UI"/>
                <w:color w:val="000000" w:themeColor="text1"/>
                <w:sz w:val="18"/>
                <w:szCs w:val="18"/>
              </w:rPr>
              <w:t>Posterior corona radiata left (PCR L)</w:t>
            </w:r>
          </w:p>
        </w:tc>
        <w:tc>
          <w:tcPr>
            <w:tcW w:w="0" w:type="auto"/>
            <w:tcBorders>
              <w:top w:val="nil"/>
              <w:left w:val="nil"/>
              <w:right w:val="nil"/>
            </w:tcBorders>
          </w:tcPr>
          <w:p w14:paraId="61DABCC5" w14:textId="77777777" w:rsidR="004A3247" w:rsidRPr="00E53BB8" w:rsidRDefault="004A3247" w:rsidP="004A3247">
            <w:pPr>
              <w:jc w:val="both"/>
              <w:rPr>
                <w:rFonts w:cs="Segoe UI"/>
                <w:color w:val="000000" w:themeColor="text1"/>
                <w:sz w:val="18"/>
                <w:szCs w:val="18"/>
              </w:rPr>
            </w:pPr>
            <w:r w:rsidRPr="00E53BB8">
              <w:rPr>
                <w:rFonts w:cs="Segoe UI"/>
                <w:color w:val="000000" w:themeColor="text1"/>
                <w:sz w:val="18"/>
                <w:szCs w:val="18"/>
              </w:rPr>
              <w:t>Uncinate fasciculus left (UNC L)</w:t>
            </w:r>
          </w:p>
        </w:tc>
      </w:tr>
    </w:tbl>
    <w:p w14:paraId="5E2F2C62" w14:textId="77777777" w:rsidR="00337622" w:rsidRDefault="00337622"/>
    <w:p w14:paraId="18864941" w14:textId="77777777" w:rsidR="00FA1FE5" w:rsidRDefault="00FA1FE5"/>
    <w:p w14:paraId="72B4FC01" w14:textId="77777777" w:rsidR="00FA1FE5" w:rsidRDefault="00FA1FE5"/>
    <w:p w14:paraId="2434B7D0" w14:textId="77777777" w:rsidR="00FA1FE5" w:rsidRDefault="00FA1FE5"/>
    <w:p w14:paraId="157C6D5F" w14:textId="77777777" w:rsidR="00FA1FE5" w:rsidRDefault="00FA1FE5"/>
    <w:p w14:paraId="617CA1F0" w14:textId="77777777" w:rsidR="00FA1FE5" w:rsidRDefault="00FA1FE5"/>
    <w:p w14:paraId="055D5885" w14:textId="77777777" w:rsidR="00FA1FE5" w:rsidRDefault="00FA1FE5"/>
    <w:p w14:paraId="6919A21B" w14:textId="77777777" w:rsidR="00FA1FE5" w:rsidRDefault="00FA1FE5"/>
    <w:p w14:paraId="176CE411" w14:textId="77777777" w:rsidR="00FA1FE5" w:rsidRDefault="00FA1FE5"/>
    <w:p w14:paraId="47761620" w14:textId="77777777" w:rsidR="00FA1FE5" w:rsidRDefault="00FA1FE5"/>
    <w:p w14:paraId="183B9B13" w14:textId="77777777" w:rsidR="00FA1FE5" w:rsidRDefault="00FA1FE5"/>
    <w:p w14:paraId="41B8EC63" w14:textId="77777777" w:rsidR="00FA1FE5" w:rsidRDefault="00FA1FE5"/>
    <w:p w14:paraId="6E516C8D" w14:textId="77777777" w:rsidR="00FA1FE5" w:rsidRDefault="00FA1FE5"/>
    <w:p w14:paraId="44BE4E37" w14:textId="77777777" w:rsidR="00FA1FE5" w:rsidRDefault="00FA1FE5"/>
    <w:p w14:paraId="53CB6A86" w14:textId="77777777" w:rsidR="00FA1FE5" w:rsidRDefault="00FA1FE5"/>
    <w:p w14:paraId="3DC268A7" w14:textId="77777777" w:rsidR="00FA1FE5" w:rsidRDefault="00FA1FE5"/>
    <w:p w14:paraId="66359D91" w14:textId="77777777" w:rsidR="00FA1FE5" w:rsidRDefault="00FA1FE5"/>
    <w:p w14:paraId="31EAA7C8" w14:textId="77777777" w:rsidR="00FA1FE5" w:rsidRDefault="00FA1FE5"/>
    <w:p w14:paraId="123370E9" w14:textId="77777777" w:rsidR="00FA1FE5" w:rsidRDefault="00FA1FE5"/>
    <w:p w14:paraId="5A7F5889" w14:textId="77777777" w:rsidR="00FA1FE5" w:rsidRDefault="00FA1FE5"/>
    <w:p w14:paraId="6DAC1039" w14:textId="77777777" w:rsidR="000672A8" w:rsidRPr="000672A8" w:rsidRDefault="000672A8" w:rsidP="000672A8">
      <w:pPr>
        <w:spacing w:line="480" w:lineRule="auto"/>
        <w:jc w:val="both"/>
        <w:rPr>
          <w:rFonts w:ascii="Calibri" w:hAnsi="Calibri"/>
          <w:sz w:val="21"/>
        </w:rPr>
      </w:pPr>
      <w:r w:rsidRPr="000672A8">
        <w:rPr>
          <w:sz w:val="21"/>
        </w:rPr>
        <w:t xml:space="preserve">These regions are extracted from the </w:t>
      </w:r>
      <w:r w:rsidRPr="000672A8">
        <w:rPr>
          <w:rFonts w:ascii="Calibri" w:hAnsi="Calibri"/>
          <w:sz w:val="21"/>
        </w:rPr>
        <w:t xml:space="preserve">Johns Hopkins University International Consortium of Brain Mapping 81 (JHU-ICBM 81 </w:t>
      </w:r>
      <w:r w:rsidRPr="000672A8">
        <w:rPr>
          <w:rFonts w:ascii="Calibri" w:hAnsi="Calibri"/>
          <w:sz w:val="21"/>
        </w:rPr>
        <w:fldChar w:fldCharType="begin" w:fldLock="1"/>
      </w:r>
      <w:r w:rsidRPr="000672A8">
        <w:rPr>
          <w:rFonts w:ascii="Calibri" w:hAnsi="Calibri"/>
          <w:sz w:val="21"/>
        </w:rPr>
        <w:instrText>ADDIN CSL_CITATION { "citationItems" : [ { "id" : "ITEM-1", "itemData" : { "DOI" : "10.1016/j.neuroimage.2007.12.035", "ISBN" : "1053-8119 (Print) 1053-8119 (Linking)", "ISSN" : "10538119", "PMID" : "18255316", "abstract" : "Brain registration to a stereotaxic atlas is an effective way to report anatomic locations of interest and to perform anatomic quantification. However, existing stereotaxic atlases lack comprehensive coordinate information about white matter structures. In this paper, white matter-specific atlases in stereotaxic coordinates are introduced. As a reference template, the widely used ICBM-152 was used. The atlas contains fiber orientation maps and hand-segmented white matter parcellation maps based on diffusion tensor imaging (DTI). Registration accuracy by linear and non-linear transformation was measured, and automated template-based white matter parcellation was tested. The results showed a high correlation between the manual ROI-based and the automated approaches for normal adult populations. The atlases are freely available and believed to be a useful resource as a target template and for automated parcellation methods. ?? 2007 Elsevier Inc. All rights reserved.", "author" : [ { "dropping-particle" : "", "family" : "Mori", "given" : "Susumu", "non-dropping-particle" : "", "parse-names" : false, "suffix" : "" }, { "dropping-particle" : "", "family" : "Oishi", "given" : "Kenichi", "non-dropping-particle" : "", "parse-names" : false, "suffix" : "" }, { "dropping-particle" : "", "family" : "Jiang", "given" : "Hangyi", "non-dropping-particle" : "", "parse-names" : false, "suffix" : "" }, { "dropping-particle" : "", "family" : "Jiang", "given" : "Li", "non-dropping-particle" : "", "parse-names" : false, "suffix" : "" }, { "dropping-particle" : "", "family" : "Li", "given" : "Xin", "non-dropping-particle" : "", "parse-names" : false, "suffix" : "" }, { "dropping-particle" : "", "family" : "Akhter", "given" : "Kazi", "non-dropping-particle" : "", "parse-names" : false, "suffix" : "" }, { "dropping-particle" : "", "family" : "Hua", "given" : "Kegang", "non-dropping-particle" : "", "parse-names" : false, "suffix" : "" }, { "dropping-particle" : "V.", "family" : "Faria", "given" : "Andreia", "non-dropping-particle" : "", "parse-names" : false, "suffix" : "" }, { "dropping-particle" : "", "family" : "Mahmood", "given" : "Asif", "non-dropping-particle" : "", "parse-names" : false, "suffix" : "" }, { "dropping-particle" : "", "family" : "Woods", "given" : "Roger", "non-dropping-particle" : "", "parse-names" : false, "suffix" : "" }, { "dropping-particle" : "", "family" : "Toga", "given" : "Arthur W.", "non-dropping-particle" : "", "parse-names" : false, "suffix" : "" }, { "dropping-particle" : "", "family" : "Pike", "given" : "G. Bruce", "non-dropping-particle" : "", "parse-names" : false, "suffix" : "" }, { "dropping-particle" : "", "family" : "Neto", "given" : "Pedro Rosa", "non-dropping-particle" : "", "parse-names" : false, "suffix" : "" }, { "dropping-particle" : "", "family" : "Evans", "given" : "Alan", "non-dropping-particle" : "", "parse-names" : false, "suffix" : "" }, { "dropping-particle" : "", "family" : "Zhang", "given" : "Jiangyang", "non-dropping-particle" : "", "parse-names" : false, "suffix" : "" }, { "dropping-particle" : "", "family" : "Huang", "given" : "Hao", "non-dropping-particle" : "", "parse-names" : false, "suffix" : "" }, { "dropping-particle" : "", "family" : "Miller", "given" : "Michael I.", "non-dropping-particle" : "", "parse-names" : false, "suffix" : "" }, { "dropping-particle" : "", "family" : "Zijl", "given" : "Peter", "non-dropping-particle" : "van", "parse-names" : false, "suffix" : "" }, { "dropping-particle" : "", "family" : "Mazziotta", "given" : "John", "non-dropping-particle" : "", "parse-names" : false, "suffix" : "" } ], "container-title" : "NeuroImage", "id" : "ITEM-1", "issue" : "2", "issued" : { "date-parts" : [ [ "2008" ] ] }, "page" : "570-582", "title" : "Stereotaxic white matter atlas based on diffusion tensor imaging in an ICBM template", "type" : "article-journal", "volume" : "40" }, "uris" : [ "http://www.mendeley.com/documents/?uuid=4e1ff986-c03b-4379-95af-16a47ae4c1bd" ] } ], "mendeley" : { "formattedCitation" : "(Mori &lt;i&gt;et al&lt;/i&gt;, 2008)", "plainTextFormattedCitation" : "(Mori et al, 2008)", "previouslyFormattedCitation" : "&lt;sup&gt;14&lt;/sup&gt;" }, "properties" : { "noteIndex" : 0 }, "schema" : "https://github.com/citation-style-language/schema/raw/master/csl-citation.json" }</w:instrText>
      </w:r>
      <w:r w:rsidRPr="000672A8">
        <w:rPr>
          <w:rFonts w:ascii="Calibri" w:hAnsi="Calibri"/>
          <w:sz w:val="21"/>
        </w:rPr>
        <w:fldChar w:fldCharType="separate"/>
      </w:r>
      <w:r w:rsidRPr="000672A8">
        <w:rPr>
          <w:rFonts w:ascii="Calibri" w:hAnsi="Calibri"/>
          <w:noProof/>
          <w:sz w:val="21"/>
        </w:rPr>
        <w:t xml:space="preserve">(Mori </w:t>
      </w:r>
      <w:r w:rsidRPr="000672A8">
        <w:rPr>
          <w:rFonts w:ascii="Calibri" w:hAnsi="Calibri"/>
          <w:i/>
          <w:noProof/>
          <w:sz w:val="21"/>
        </w:rPr>
        <w:t>et al</w:t>
      </w:r>
      <w:r w:rsidRPr="000672A8">
        <w:rPr>
          <w:rFonts w:ascii="Calibri" w:hAnsi="Calibri"/>
          <w:noProof/>
          <w:sz w:val="21"/>
        </w:rPr>
        <w:t>, 2008)</w:t>
      </w:r>
      <w:r w:rsidRPr="000672A8">
        <w:rPr>
          <w:rFonts w:ascii="Calibri" w:hAnsi="Calibri"/>
          <w:sz w:val="21"/>
        </w:rPr>
        <w:fldChar w:fldCharType="end"/>
      </w:r>
      <w:r w:rsidRPr="000672A8">
        <w:rPr>
          <w:rFonts w:ascii="Calibri" w:hAnsi="Calibri"/>
          <w:sz w:val="21"/>
        </w:rPr>
        <w:t xml:space="preserve">) atlas. This atlas is based on white matter segmentation by hand on 81 subjects in standard space. White matter labels were extracted by isolating an binarizing each individual region from the atlas as implemented in FSL. Subsequently, correspondence of the white matter regions to the numbers and labels used in the current project was checked visually.  </w:t>
      </w:r>
    </w:p>
    <w:p w14:paraId="61A3FFFA" w14:textId="77777777" w:rsidR="00FA1FE5" w:rsidRDefault="00FA1FE5" w:rsidP="00272FB6">
      <w:pPr>
        <w:spacing w:after="0" w:line="240" w:lineRule="auto"/>
        <w:jc w:val="both"/>
        <w:rPr>
          <w:rFonts w:ascii="Calibri" w:hAnsi="Calibri"/>
          <w:sz w:val="24"/>
          <w:szCs w:val="24"/>
        </w:rPr>
      </w:pPr>
      <w:r>
        <w:rPr>
          <w:rFonts w:ascii="Calibri" w:hAnsi="Calibri"/>
          <w:sz w:val="24"/>
          <w:szCs w:val="24"/>
        </w:rPr>
        <w:br w:type="page"/>
      </w:r>
    </w:p>
    <w:p w14:paraId="6BA01620" w14:textId="2EEF7356" w:rsidR="00FA1FE5" w:rsidRDefault="00FA1FE5">
      <w:pPr>
        <w:rPr>
          <w:rFonts w:ascii="Calibri" w:hAnsi="Calibri"/>
          <w:sz w:val="24"/>
          <w:szCs w:val="24"/>
        </w:rPr>
      </w:pPr>
      <w:r>
        <w:rPr>
          <w:rFonts w:ascii="Calibri" w:hAnsi="Calibri"/>
          <w:sz w:val="24"/>
          <w:szCs w:val="24"/>
        </w:rPr>
        <w:lastRenderedPageBreak/>
        <w:t>References:</w:t>
      </w:r>
    </w:p>
    <w:p w14:paraId="3DDCFAD5" w14:textId="618F9784" w:rsidR="00FA1FE5" w:rsidRPr="00FA1FE5" w:rsidRDefault="00FA1FE5" w:rsidP="00FA1FE5">
      <w:pPr>
        <w:widowControl w:val="0"/>
        <w:autoSpaceDE w:val="0"/>
        <w:autoSpaceDN w:val="0"/>
        <w:adjustRightInd w:val="0"/>
        <w:spacing w:line="240" w:lineRule="auto"/>
        <w:ind w:left="640" w:hanging="640"/>
        <w:rPr>
          <w:rFonts w:ascii="Calibri" w:hAnsi="Calibri"/>
          <w:noProof/>
          <w:sz w:val="24"/>
        </w:rPr>
      </w:pPr>
      <w:r>
        <w:rPr>
          <w:rFonts w:ascii="Calibri" w:hAnsi="Calibri"/>
          <w:sz w:val="24"/>
          <w:szCs w:val="24"/>
        </w:rPr>
        <w:fldChar w:fldCharType="begin" w:fldLock="1"/>
      </w:r>
      <w:r>
        <w:rPr>
          <w:rFonts w:ascii="Calibri" w:hAnsi="Calibri"/>
          <w:sz w:val="24"/>
          <w:szCs w:val="24"/>
        </w:rPr>
        <w:instrText xml:space="preserve">ADDIN Mendeley Bibliography CSL_BIBLIOGRAPHY </w:instrText>
      </w:r>
      <w:r>
        <w:rPr>
          <w:rFonts w:ascii="Calibri" w:hAnsi="Calibri"/>
          <w:sz w:val="24"/>
          <w:szCs w:val="24"/>
        </w:rPr>
        <w:fldChar w:fldCharType="separate"/>
      </w:r>
      <w:r w:rsidRPr="00FA1FE5">
        <w:rPr>
          <w:rFonts w:ascii="Calibri" w:eastAsia="Times New Roman" w:hAnsi="Calibri" w:cs="Times New Roman"/>
          <w:noProof/>
          <w:sz w:val="24"/>
        </w:rPr>
        <w:t xml:space="preserve">1. </w:t>
      </w:r>
      <w:r w:rsidRPr="00FA1FE5">
        <w:rPr>
          <w:rFonts w:ascii="Calibri" w:eastAsia="Times New Roman" w:hAnsi="Calibri" w:cs="Times New Roman"/>
          <w:noProof/>
          <w:sz w:val="24"/>
        </w:rPr>
        <w:tab/>
        <w:t xml:space="preserve">Mori S, Oishi K, Jiang H, et al. Stereotaxic white matter atlas based on diffusion tensor imaging in an ICBM template. </w:t>
      </w:r>
      <w:r w:rsidRPr="00FA1FE5">
        <w:rPr>
          <w:rFonts w:ascii="Calibri" w:eastAsia="Times New Roman" w:hAnsi="Calibri" w:cs="Times New Roman"/>
          <w:i/>
          <w:iCs/>
          <w:noProof/>
          <w:sz w:val="24"/>
        </w:rPr>
        <w:t>Neuroimage</w:t>
      </w:r>
      <w:r w:rsidRPr="00FA1FE5">
        <w:rPr>
          <w:rFonts w:ascii="Calibri" w:eastAsia="Times New Roman" w:hAnsi="Calibri" w:cs="Times New Roman"/>
          <w:noProof/>
          <w:sz w:val="24"/>
        </w:rPr>
        <w:t>. 2008;40(2):570-582. doi:10.1016/j.neuroimage.2007.12.035.</w:t>
      </w:r>
    </w:p>
    <w:p w14:paraId="2BEBE76C" w14:textId="26E56DFB" w:rsidR="00FA1FE5" w:rsidRDefault="00FA1FE5">
      <w:pPr>
        <w:rPr>
          <w:rFonts w:ascii="Calibri" w:hAnsi="Calibri"/>
          <w:sz w:val="24"/>
          <w:szCs w:val="24"/>
        </w:rPr>
      </w:pPr>
      <w:r>
        <w:rPr>
          <w:rFonts w:ascii="Calibri" w:hAnsi="Calibri"/>
          <w:sz w:val="24"/>
          <w:szCs w:val="24"/>
        </w:rPr>
        <w:fldChar w:fldCharType="end"/>
      </w:r>
    </w:p>
    <w:p w14:paraId="0D9FC649" w14:textId="77777777" w:rsidR="00FA1FE5" w:rsidRDefault="00FA1FE5"/>
    <w:p w14:paraId="31AE8664" w14:textId="77777777" w:rsidR="00FA1FE5" w:rsidRDefault="00FA1FE5"/>
    <w:sectPr w:rsidR="00FA1FE5" w:rsidSect="00E63D7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247"/>
    <w:rsid w:val="00014471"/>
    <w:rsid w:val="000672A8"/>
    <w:rsid w:val="00272FB6"/>
    <w:rsid w:val="00337622"/>
    <w:rsid w:val="004A3247"/>
    <w:rsid w:val="00681C42"/>
    <w:rsid w:val="007769E8"/>
    <w:rsid w:val="008502F6"/>
    <w:rsid w:val="00E63D7A"/>
    <w:rsid w:val="00FA1F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CCDCF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47"/>
    <w:pPr>
      <w:spacing w:after="200" w:line="276" w:lineRule="auto"/>
    </w:pPr>
    <w:rPr>
      <w:rFonts w:ascii="Segoe UI" w:hAnsi="Segoe U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A3247"/>
    <w:rPr>
      <w:rFonts w:ascii="Segoe UI" w:hAnsi="Segoe U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1FE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A1FE5"/>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0672A8"/>
    <w:rPr>
      <w:sz w:val="18"/>
      <w:szCs w:val="18"/>
    </w:rPr>
  </w:style>
  <w:style w:type="paragraph" w:styleId="CommentText">
    <w:name w:val="annotation text"/>
    <w:basedOn w:val="Normal"/>
    <w:link w:val="CommentTextChar"/>
    <w:uiPriority w:val="99"/>
    <w:unhideWhenUsed/>
    <w:rsid w:val="000672A8"/>
    <w:pPr>
      <w:spacing w:after="0" w:line="240" w:lineRule="auto"/>
    </w:pPr>
    <w:rPr>
      <w:rFonts w:asciiTheme="minorHAnsi" w:hAnsiTheme="minorHAnsi"/>
      <w:sz w:val="24"/>
      <w:szCs w:val="24"/>
    </w:rPr>
  </w:style>
  <w:style w:type="character" w:customStyle="1" w:styleId="CommentTextChar">
    <w:name w:val="Comment Text Char"/>
    <w:basedOn w:val="DefaultParagraphFont"/>
    <w:link w:val="CommentText"/>
    <w:uiPriority w:val="99"/>
    <w:rsid w:val="000672A8"/>
    <w:rPr>
      <w:lang w:val="en-GB"/>
    </w:rPr>
  </w:style>
  <w:style w:type="character" w:styleId="Hyperlink">
    <w:name w:val="Hyperlink"/>
    <w:basedOn w:val="DefaultParagraphFont"/>
    <w:uiPriority w:val="99"/>
    <w:unhideWhenUsed/>
    <w:rsid w:val="000672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1036</Words>
  <Characters>5909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Nuninga</dc:creator>
  <cp:keywords/>
  <dc:description/>
  <cp:lastModifiedBy>Jasper Nuninga</cp:lastModifiedBy>
  <cp:revision>2</cp:revision>
  <dcterms:created xsi:type="dcterms:W3CDTF">2017-05-19T07:02:00Z</dcterms:created>
  <dcterms:modified xsi:type="dcterms:W3CDTF">2017-05-19T07:02:00Z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60b4650d-126c-3d7f-b077-2009203d505f</vt:lpwstr>
  </property>
  <property fmtid="{D5CDD505-2E9C-101B-9397-08002B2CF9AE}" pid="4" name="Mendeley Citation Style_1">
    <vt:lpwstr>http://www.zotero.org/styles/american-medical-association</vt:lpwstr>
  </property>
</Properties>
</file>