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E597A3" w14:textId="77777777" w:rsidR="00CD2C07" w:rsidRDefault="00CD2C07" w:rsidP="00CD2C07">
      <w:pPr>
        <w:spacing w:line="240" w:lineRule="auto"/>
      </w:pPr>
    </w:p>
    <w:p w14:paraId="03F74C51" w14:textId="085AC893" w:rsidR="00CD2C07" w:rsidRDefault="00135594" w:rsidP="00CD2C07">
      <w:pPr>
        <w:spacing w:after="0" w:line="480" w:lineRule="auto"/>
        <w:jc w:val="both"/>
        <w:rPr>
          <w:i/>
          <w:lang w:val="en-US"/>
        </w:rPr>
      </w:pPr>
      <w:r>
        <w:rPr>
          <w:i/>
          <w:lang w:val="en-US"/>
        </w:rPr>
        <w:t>Supplementary S9</w:t>
      </w:r>
      <w:r w:rsidR="00CD2C07">
        <w:rPr>
          <w:i/>
          <w:lang w:val="en-US"/>
        </w:rPr>
        <w:t>. Post-hoc analysis</w:t>
      </w:r>
    </w:p>
    <w:p w14:paraId="41377BE5" w14:textId="77777777" w:rsidR="00CD2C07" w:rsidRDefault="00CD2C07" w:rsidP="00CD2C07">
      <w:pPr>
        <w:spacing w:after="0" w:line="480" w:lineRule="auto"/>
        <w:ind w:firstLine="720"/>
        <w:jc w:val="both"/>
        <w:rPr>
          <w:lang w:val="en-US"/>
        </w:rPr>
      </w:pPr>
      <w:r>
        <w:rPr>
          <w:lang w:val="en-US"/>
        </w:rPr>
        <w:t xml:space="preserve">The effect in FA could be global, since whole-brain FA differs between groups. Therefore, we re-run the analysis with the whole-brain FA effect regressed out. We found that the effect remained significant in the left SLF (p=.037, </w:t>
      </w:r>
      <w:r w:rsidRPr="00E66B3A">
        <w:rPr>
          <w:i/>
          <w:lang w:val="en-US"/>
        </w:rPr>
        <w:t>uncorrected</w:t>
      </w:r>
      <w:r>
        <w:rPr>
          <w:lang w:val="en-US"/>
        </w:rPr>
        <w:t xml:space="preserve">), the posterior limb of the left internal capsule (p=.037, </w:t>
      </w:r>
      <w:r w:rsidRPr="00E66B3A">
        <w:rPr>
          <w:i/>
          <w:lang w:val="en-US"/>
        </w:rPr>
        <w:t>uncorrected</w:t>
      </w:r>
      <w:r>
        <w:rPr>
          <w:lang w:val="en-US"/>
        </w:rPr>
        <w:t xml:space="preserve">) and the </w:t>
      </w:r>
      <w:proofErr w:type="spellStart"/>
      <w:r>
        <w:rPr>
          <w:lang w:val="en-US"/>
        </w:rPr>
        <w:t>rentrolenticular</w:t>
      </w:r>
      <w:proofErr w:type="spellEnd"/>
      <w:r>
        <w:rPr>
          <w:lang w:val="en-US"/>
        </w:rPr>
        <w:t xml:space="preserve"> part of the left internal capsule (p=.044, </w:t>
      </w:r>
      <w:r>
        <w:rPr>
          <w:i/>
          <w:lang w:val="en-US"/>
        </w:rPr>
        <w:t>uncorrected</w:t>
      </w:r>
      <w:r>
        <w:rPr>
          <w:lang w:val="en-US"/>
        </w:rPr>
        <w:t xml:space="preserve">), suggesting that the effects are not fully attributable to the global effect.  </w:t>
      </w:r>
    </w:p>
    <w:p w14:paraId="0898CA13" w14:textId="77777777" w:rsidR="00CD2C07" w:rsidRPr="000269A7" w:rsidRDefault="00CD2C07" w:rsidP="00CD2C07">
      <w:pPr>
        <w:spacing w:after="0" w:line="480" w:lineRule="auto"/>
        <w:ind w:firstLine="720"/>
        <w:jc w:val="both"/>
        <w:rPr>
          <w:lang w:val="en-US"/>
        </w:rPr>
      </w:pPr>
      <w:r>
        <w:rPr>
          <w:lang w:val="en-US"/>
        </w:rPr>
        <w:t>Also, both groups contained patients that switch from IQ test type between the two time points (i.e. from the Wechsler children scale (WISC) to Wechsler adult scale (WAIS)). The distribution of switchers and no-switchers is depicted in supplementary material S10. The groups did not significantly differ in the distribution of switchers and no-switchers ((</w:t>
      </w:r>
      <w:r>
        <w:rPr>
          <w:rFonts w:ascii="Symbol" w:hAnsi="Symbol"/>
          <w:lang w:val="en-US"/>
        </w:rPr>
        <w:t></w:t>
      </w:r>
      <w:r>
        <w:rPr>
          <w:rFonts w:ascii="Symbol" w:hAnsi="Symbol"/>
          <w:vertAlign w:val="superscript"/>
          <w:lang w:val="en-US"/>
        </w:rPr>
        <w:t></w:t>
      </w:r>
      <w:r>
        <w:rPr>
          <w:rFonts w:cs="Segoe UI"/>
          <w:lang w:val="en-US"/>
        </w:rPr>
        <w:t xml:space="preserve">(1)=2.835, p=.092). However, to ensure that the effects are not confounded by switching from IQ test type, we reanalyzed the FA data with ‘switch’ as an extra nuisance </w:t>
      </w:r>
      <w:proofErr w:type="spellStart"/>
      <w:r>
        <w:rPr>
          <w:rFonts w:cs="Segoe UI"/>
          <w:lang w:val="en-US"/>
        </w:rPr>
        <w:t>regressor</w:t>
      </w:r>
      <w:proofErr w:type="spellEnd"/>
      <w:r>
        <w:rPr>
          <w:rFonts w:cs="Segoe UI"/>
          <w:lang w:val="en-US"/>
        </w:rPr>
        <w:t>. All original FA effects remained significant at uncorrected p&lt;.01, however, the right SLF is significant at p=.03. Whole-brain FA also remained significantly different (p=.024).</w:t>
      </w:r>
    </w:p>
    <w:p w14:paraId="688CF21F" w14:textId="4BD2559E" w:rsidR="00CD2C07" w:rsidRDefault="00CD2C07" w:rsidP="00CD2C07">
      <w:pPr>
        <w:spacing w:after="0" w:line="480" w:lineRule="auto"/>
        <w:ind w:firstLine="720"/>
        <w:jc w:val="both"/>
        <w:rPr>
          <w:lang w:val="en-US"/>
        </w:rPr>
      </w:pPr>
      <w:r w:rsidRPr="00B05901">
        <w:rPr>
          <w:lang w:val="en-US"/>
        </w:rPr>
        <w:t>Both groups in the contrast ΔVIQ contain</w:t>
      </w:r>
      <w:r>
        <w:rPr>
          <w:lang w:val="en-US"/>
        </w:rPr>
        <w:t>ed</w:t>
      </w:r>
      <w:r w:rsidRPr="00B05901">
        <w:rPr>
          <w:lang w:val="en-US"/>
        </w:rPr>
        <w:t xml:space="preserve"> patients already</w:t>
      </w:r>
      <w:r>
        <w:rPr>
          <w:lang w:val="en-US"/>
        </w:rPr>
        <w:t xml:space="preserve"> diagnosed with a</w:t>
      </w:r>
      <w:r w:rsidRPr="00B05901">
        <w:rPr>
          <w:lang w:val="en-US"/>
        </w:rPr>
        <w:t xml:space="preserve"> psychotic disorder. To exclude </w:t>
      </w:r>
      <w:r>
        <w:rPr>
          <w:lang w:val="en-US"/>
        </w:rPr>
        <w:t>possible confounding effects in</w:t>
      </w:r>
      <w:r w:rsidRPr="00B05901">
        <w:rPr>
          <w:lang w:val="en-US"/>
        </w:rPr>
        <w:t xml:space="preserve"> FA, analyses were re-r</w:t>
      </w:r>
      <w:r>
        <w:rPr>
          <w:lang w:val="en-US"/>
        </w:rPr>
        <w:t>un with these patients excluded</w:t>
      </w:r>
      <w:r w:rsidRPr="00B05901">
        <w:rPr>
          <w:lang w:val="en-US"/>
        </w:rPr>
        <w:t>, the effects remained significant at (uncorrected) p</w:t>
      </w:r>
      <w:r>
        <w:rPr>
          <w:lang w:val="en-US"/>
        </w:rPr>
        <w:t>&lt;</w:t>
      </w:r>
      <w:r w:rsidRPr="00B05901">
        <w:rPr>
          <w:lang w:val="en-US"/>
        </w:rPr>
        <w:t>.01 (except for the right SLF, this regio</w:t>
      </w:r>
      <w:r>
        <w:rPr>
          <w:lang w:val="en-US"/>
        </w:rPr>
        <w:t>n remained significant at p&lt;.03; see supplementary S</w:t>
      </w:r>
      <w:r w:rsidR="00627775">
        <w:rPr>
          <w:lang w:val="en-US"/>
        </w:rPr>
        <w:t>9</w:t>
      </w:r>
      <w:r>
        <w:rPr>
          <w:lang w:val="en-US"/>
        </w:rPr>
        <w:t>.1 for p-values)</w:t>
      </w:r>
      <w:r w:rsidRPr="00B05901">
        <w:rPr>
          <w:lang w:val="en-US"/>
        </w:rPr>
        <w:t xml:space="preserve">. </w:t>
      </w:r>
    </w:p>
    <w:p w14:paraId="0CC9CE61" w14:textId="1D835853" w:rsidR="00F03E04" w:rsidRDefault="00CD2C07" w:rsidP="006D2754">
      <w:pPr>
        <w:spacing w:after="0" w:line="480" w:lineRule="auto"/>
        <w:ind w:firstLine="720"/>
        <w:jc w:val="both"/>
        <w:rPr>
          <w:color w:val="000000" w:themeColor="text1"/>
          <w:lang w:val="en-US"/>
        </w:rPr>
      </w:pPr>
      <w:r>
        <w:rPr>
          <w:lang w:val="en-US"/>
        </w:rPr>
        <w:t xml:space="preserve">In addition, we investigated which component (MD/AD/RD) drives the FA effect with a </w:t>
      </w:r>
      <w:r>
        <w:rPr>
          <w:i/>
          <w:lang w:val="en-US"/>
        </w:rPr>
        <w:t>post-hoc</w:t>
      </w:r>
      <w:r>
        <w:rPr>
          <w:lang w:val="en-US"/>
        </w:rPr>
        <w:t xml:space="preserve"> explorative analysis. We found that MD was significantly lower in the posterior limb of the left internal capsule (p=.042, </w:t>
      </w:r>
      <w:r w:rsidRPr="00E844F1">
        <w:rPr>
          <w:i/>
          <w:lang w:val="en-US"/>
        </w:rPr>
        <w:t>uncorrected</w:t>
      </w:r>
      <w:r>
        <w:rPr>
          <w:lang w:val="en-US"/>
        </w:rPr>
        <w:t xml:space="preserve">) in patients with cognitive decline compared to patients without cognitive decline. RD was significantly lowered in the anterior, </w:t>
      </w:r>
      <w:r>
        <w:rPr>
          <w:lang w:val="en-US"/>
        </w:rPr>
        <w:lastRenderedPageBreak/>
        <w:t xml:space="preserve">posterior and </w:t>
      </w:r>
      <w:proofErr w:type="spellStart"/>
      <w:r>
        <w:rPr>
          <w:lang w:val="en-US"/>
        </w:rPr>
        <w:t>rentrolenticular</w:t>
      </w:r>
      <w:proofErr w:type="spellEnd"/>
      <w:r>
        <w:rPr>
          <w:lang w:val="en-US"/>
        </w:rPr>
        <w:t xml:space="preserve"> part of the left internal capsule (respectively p=.021, p=.010, p=.048, </w:t>
      </w:r>
      <w:r>
        <w:rPr>
          <w:i/>
          <w:lang w:val="en-US"/>
        </w:rPr>
        <w:t>uncorrected</w:t>
      </w:r>
      <w:r>
        <w:rPr>
          <w:lang w:val="en-US"/>
        </w:rPr>
        <w:t xml:space="preserve">), the left and right </w:t>
      </w:r>
      <w:proofErr w:type="spellStart"/>
      <w:r>
        <w:rPr>
          <w:lang w:val="en-US"/>
        </w:rPr>
        <w:t>cingulum</w:t>
      </w:r>
      <w:proofErr w:type="spellEnd"/>
      <w:r>
        <w:rPr>
          <w:lang w:val="en-US"/>
        </w:rPr>
        <w:t xml:space="preserve"> bundle (respectively, p=.018, p=.038, </w:t>
      </w:r>
      <w:r>
        <w:rPr>
          <w:i/>
          <w:lang w:val="en-US"/>
        </w:rPr>
        <w:t>uncorrected</w:t>
      </w:r>
      <w:r>
        <w:rPr>
          <w:lang w:val="en-US"/>
        </w:rPr>
        <w:t xml:space="preserve">), the left and right superior longitudinal fasciculus (respectively, p=.046, p=.036, </w:t>
      </w:r>
      <w:r>
        <w:rPr>
          <w:i/>
          <w:lang w:val="en-US"/>
        </w:rPr>
        <w:t>uncorrected</w:t>
      </w:r>
      <w:r>
        <w:rPr>
          <w:lang w:val="en-US"/>
        </w:rPr>
        <w:t xml:space="preserve">). AD was significantly higher in the left </w:t>
      </w:r>
      <w:proofErr w:type="spellStart"/>
      <w:r>
        <w:rPr>
          <w:lang w:val="en-US"/>
        </w:rPr>
        <w:t>cingulum</w:t>
      </w:r>
      <w:proofErr w:type="spellEnd"/>
      <w:r>
        <w:rPr>
          <w:lang w:val="en-US"/>
        </w:rPr>
        <w:t xml:space="preserve"> bundle (p=.032, </w:t>
      </w:r>
      <w:r>
        <w:rPr>
          <w:i/>
          <w:lang w:val="en-US"/>
        </w:rPr>
        <w:t>uncorrected</w:t>
      </w:r>
      <w:r>
        <w:rPr>
          <w:lang w:val="en-US"/>
        </w:rPr>
        <w:t xml:space="preserve">). For all p-values see supplementary S2. </w:t>
      </w:r>
      <w:r>
        <w:rPr>
          <w:color w:val="000000" w:themeColor="text1"/>
          <w:lang w:val="en-US"/>
        </w:rPr>
        <w:t>The pattern of increased FA and altered MD/RD/AD can be linked to an increased density of axons, size of the axons or WM myelination</w:t>
      </w:r>
      <w:r w:rsidR="00F03E04">
        <w:rPr>
          <w:color w:val="000000" w:themeColor="text1"/>
          <w:lang w:val="en-US"/>
        </w:rPr>
        <w:fldChar w:fldCharType="begin" w:fldLock="1"/>
      </w:r>
      <w:r w:rsidR="00F03E04">
        <w:rPr>
          <w:color w:val="000000" w:themeColor="text1"/>
          <w:lang w:val="en-US"/>
        </w:rPr>
        <w:instrText>ADDIN CSL_CITATION { "citationItems" : [ { "id" : "ITEM-1", "itemData" : { "DOI" : "10.1006/nimg.2002.1267", "ISBN" : "1053-8119 (Print)\\n1053-8119 (Linking)", "ISSN" : "10538119", "PMID" : "12414282", "abstract" : "Myelin loss and axonal damage are both observed in white matter injuries. Each may have significant impact on the long-term disability of patients. Currently, there does not exist a noninvasive biological marker that enables differentiation between myelin and axonal injury. We describe herein the use of magnetic resonance diffusion tensor imaging (DTI) to quantify the effect of dysmyelination on water directional diffusivities in brains of shiverer mice in vivo. The principal diffusion eigenvalues of eight axonal fiber tracts that can be identified with certainty on DTI maps were measured. The water diffusivity perpendicular to axonal fiber tracts, \u03bb\u22a5, was significantly higher in shiverer mice compared with age-matched controls, reflecting the lack of myelin and the increased freedom of cross-fiber diffusion in white matter. The water diffusivity parallel to axonal fiber tracts, \u03bb\u2225, was not different, which is consistent with the presence of intact axons. It is clear that dysmyelination alone does not impact \u03bb\u2225. The presence of intact axons in the setting of incomplete myelination was confirmed by electron microscopy. Although further validation is still needed, our finding suggests that changes in \u03bb\u22a5 and \u03bb\u2225 may potentially be used to differentiate myelin loss versus axonal injury.", "author" : [ { "dropping-particle" : "", "family" : "Song", "given" : "Sheng-Kwei", "non-dropping-particle" : "", "parse-names" : false, "suffix" : "" }, { "dropping-particle" : "", "family" : "Sun", "given" : "Shu-Wei", "non-dropping-particle" : "", "parse-names" : false, "suffix" : "" }, { "dropping-particle" : "", "family" : "Ramsbottom", "given" : "Michael J.", "non-dropping-particle" : "", "parse-names" : false, "suffix" : "" }, { "dropping-particle" : "", "family" : "Chang", "given" : "Chen", "non-dropping-particle" : "", "parse-names" : false, "suffix" : "" }, { "dropping-particle" : "", "family" : "Russell", "given" : "John", "non-dropping-particle" : "", "parse-names" : false, "suffix" : "" }, { "dropping-particle" : "", "family" : "Cross", "given" : "Anne H.", "non-dropping-particle" : "", "parse-names" : false, "suffix" : "" } ], "container-title" : "NeuroImage", "id" : "ITEM-1", "issue" : "3", "issued" : { "date-parts" : [ [ "2002" ] ] }, "page" : "1429-1436", "title" : "Dysmyelination Revealed through MRI as Increased Radial (but Unchanged Axial) Diffusion of Water", "type" : "article-journal", "volume" : "17" }, "uris" : [ "http://www.mendeley.com/documents/?uuid=2347d4f5-b3b9-4c8b-b01b-fea3d0a5a019" ] }, { "id" : "ITEM-2", "itemData" : { "DOI" : "10.1016/j.neuroimage.2005.01.028", "ISSN" : "10538119", "author" : [ { "dropping-particle" : "", "family" : "Song", "given" : "Sheng-Kwei", "non-dropping-particle" : "", "parse-names" : false, "suffix" : "" }, { "dropping-particle" : "", "family" : "Yoshino", "given" : "Jun", "non-dropping-particle" : "", "parse-names" : false, "suffix" : "" }, { "dropping-particle" : "", "family" : "Le", "given" : "Tuan Q.", "non-dropping-particle" : "", "parse-names" : false, "suffix" : "" }, { "dropping-particle" : "", "family" : "Lin", "given" : "Shiow-Jiuan", "non-dropping-particle" : "", "parse-names" : false, "suffix" : "" }, { "dropping-particle" : "", "family" : "Sun", "given" : "Shu-Wei", "non-dropping-particle" : "", "parse-names" : false, "suffix" : "" }, { "dropping-particle" : "", "family" : "Cross", "given" : "Anne H.", "non-dropping-particle" : "", "parse-names" : false, "suffix" : "" }, { "dropping-particle" : "", "family" : "Armstrong", "given" : "Regina C.", "non-dropping-particle" : "", "parse-names" : false, "suffix" : "" } ], "container-title" : "NeuroImage", "id" : "ITEM-2", "issue" : "1", "issued" : { "date-parts" : [ [ "2005", "5" ] ] }, "page" : "132-140", "title" : "Demyelination increases radial diffusivity in corpus callosum of mouse brain", "type" : "article-journal", "volume" : "26" }, "uris" : [ "http://www.mendeley.com/documents/?uuid=c8d924b3-069a-464a-8cd8-2c9fa936fdac" ] }, { "id" : "ITEM-3", "itemData" : { "DOI" : "10.1016/j.nurt.2007.05.011", "ISSN" : "1933-7213", "author" : [ { "dropping-particle" : "", "family" : "Alexander", "given" : "Andrew L.", "non-dropping-particle" : "", "parse-names" : false, "suffix" : "" }, { "dropping-particle" : "", "family" : "Lee", "given" : "Jee Eun", "non-dropping-particle" : "", "parse-names" : false, "suffix" : "" }, { "dropping-particle" : "", "family" : "Lazar", "given" : "Mariana", "non-dropping-particle" : "", "parse-names" : false, "suffix" : "" }, { "dropping-particle" : "", "family" : "Field", "given" : "Aaron S.", "non-dropping-particle" : "", "parse-names" : false, "suffix" : "" } ], "container-title" : "Neurotherapeutics", "id" : "ITEM-3", "issue" : "3", "issued" : { "date-parts" : [ [ "2007", "7" ] ] }, "page" : "316-329", "title" : "Diffusion tensor imaging of the brain", "type" : "article-journal", "volume" : "4" }, "uris" : [ "http://www.mendeley.com/documents/?uuid=01933f64-2a3a-40da-a891-df8024aeaded" ] } ], "mendeley" : { "formattedCitation" : "&lt;sup&gt;1\u20133&lt;/sup&gt;", "plainTextFormattedCitation" : "1\u20133", "previouslyFormattedCitation" : "&lt;sup&gt;1\u20133&lt;/sup&gt;" }, "properties" : { "noteIndex" : 0 }, "schema" : "https://github.com/citation-style-language/schema/raw/master/csl-citation.json" }</w:instrText>
      </w:r>
      <w:r w:rsidR="00F03E04">
        <w:rPr>
          <w:color w:val="000000" w:themeColor="text1"/>
          <w:lang w:val="en-US"/>
        </w:rPr>
        <w:fldChar w:fldCharType="separate"/>
      </w:r>
      <w:r w:rsidR="00F03E04" w:rsidRPr="00F03E04">
        <w:rPr>
          <w:noProof/>
          <w:color w:val="000000" w:themeColor="text1"/>
          <w:vertAlign w:val="superscript"/>
          <w:lang w:val="en-US"/>
        </w:rPr>
        <w:t>1–3</w:t>
      </w:r>
      <w:r w:rsidR="00F03E04">
        <w:rPr>
          <w:color w:val="000000" w:themeColor="text1"/>
          <w:lang w:val="en-US"/>
        </w:rPr>
        <w:fldChar w:fldCharType="end"/>
      </w:r>
      <w:r w:rsidR="00F03E04">
        <w:rPr>
          <w:color w:val="000000" w:themeColor="text1"/>
          <w:lang w:val="en-US"/>
        </w:rPr>
        <w:t xml:space="preserve">. </w:t>
      </w:r>
      <w:r>
        <w:rPr>
          <w:color w:val="000000" w:themeColor="text1"/>
          <w:lang w:val="en-US"/>
        </w:rPr>
        <w:t>However, caution is warranted when interpreting these results. For example, differences can arise from mathematical complications in crossing fibers</w:t>
      </w:r>
      <w:r w:rsidR="00F03E04">
        <w:rPr>
          <w:color w:val="000000" w:themeColor="text1"/>
          <w:lang w:val="en-US"/>
        </w:rPr>
        <w:fldChar w:fldCharType="begin" w:fldLock="1"/>
      </w:r>
      <w:r w:rsidR="00F03E04">
        <w:rPr>
          <w:color w:val="000000" w:themeColor="text1"/>
          <w:lang w:val="en-US"/>
        </w:rPr>
        <w:instrText>ADDIN CSL_CITATION { "citationItems" : [ { "id" : "ITEM-1", "itemData" : { "DOI" : "10.1002/mrm.21965", "ISSN" : "07403194", "author" : [ { "dropping-particle" : "", "family" : "Wheeler-Kingshott", "given" : "Claudia A.M.", "non-dropping-particle" : "", "parse-names" : false, "suffix" : "" }, { "dropping-particle" : "", "family" : "Cercignani", "given" : "Mara", "non-dropping-particle" : "", "parse-names" : false, "suffix" : "" } ], "container-title" : "Magnetic Resonance in Medicine", "id" : "ITEM-1", "issue" : "5", "issued" : { "date-parts" : [ [ "2009", "5" ] ] }, "page" : "1255-1260", "title" : "About \u201caxial\u201d and \u201cradial\u201d diffusivities", "type" : "article-journal", "volume" : "61" }, "uris" : [ "http://www.mendeley.com/documents/?uuid=3d390b65-c61a-43aa-a999-96967139f3b0" ] } ], "mendeley" : { "formattedCitation" : "&lt;sup&gt;4&lt;/sup&gt;", "plainTextFormattedCitation" : "4", "previouslyFormattedCitation" : "&lt;sup&gt;4&lt;/sup&gt;" }, "properties" : { "noteIndex" : 0 }, "schema" : "https://github.com/citation-style-language/schema/raw/master/csl-citation.json" }</w:instrText>
      </w:r>
      <w:r w:rsidR="00F03E04">
        <w:rPr>
          <w:color w:val="000000" w:themeColor="text1"/>
          <w:lang w:val="en-US"/>
        </w:rPr>
        <w:fldChar w:fldCharType="separate"/>
      </w:r>
      <w:r w:rsidR="00F03E04" w:rsidRPr="00F03E04">
        <w:rPr>
          <w:noProof/>
          <w:color w:val="000000" w:themeColor="text1"/>
          <w:vertAlign w:val="superscript"/>
          <w:lang w:val="en-US"/>
        </w:rPr>
        <w:t>4</w:t>
      </w:r>
      <w:r w:rsidR="00F03E04">
        <w:rPr>
          <w:color w:val="000000" w:themeColor="text1"/>
          <w:lang w:val="en-US"/>
        </w:rPr>
        <w:fldChar w:fldCharType="end"/>
      </w:r>
      <w:r>
        <w:rPr>
          <w:color w:val="000000" w:themeColor="text1"/>
          <w:lang w:val="en-US"/>
        </w:rPr>
        <w:t xml:space="preserve">, therefore based on these diffusivity measures we cannot draw inferences on the neurobiological basis of our findings.  </w:t>
      </w:r>
    </w:p>
    <w:tbl>
      <w:tblPr>
        <w:tblStyle w:val="Tabelraster"/>
        <w:tblpPr w:leftFromText="141" w:rightFromText="141" w:vertAnchor="text" w:horzAnchor="margin" w:tblpY="135"/>
        <w:tblW w:w="0" w:type="auto"/>
        <w:tblLook w:val="04A0" w:firstRow="1" w:lastRow="0" w:firstColumn="1" w:lastColumn="0" w:noHBand="0" w:noVBand="1"/>
      </w:tblPr>
      <w:tblGrid>
        <w:gridCol w:w="1384"/>
        <w:gridCol w:w="992"/>
        <w:gridCol w:w="709"/>
        <w:gridCol w:w="1735"/>
      </w:tblGrid>
      <w:tr w:rsidR="00CD2C07" w14:paraId="260455A3" w14:textId="77777777" w:rsidTr="00F03E04">
        <w:tc>
          <w:tcPr>
            <w:tcW w:w="4820" w:type="dxa"/>
            <w:gridSpan w:val="4"/>
            <w:tcBorders>
              <w:top w:val="nil"/>
              <w:left w:val="nil"/>
              <w:bottom w:val="single" w:sz="4" w:space="0" w:color="auto"/>
              <w:right w:val="nil"/>
            </w:tcBorders>
          </w:tcPr>
          <w:p w14:paraId="41990291" w14:textId="212F032D" w:rsidR="00CD2C07" w:rsidRPr="00F03E04" w:rsidRDefault="00CD2C07" w:rsidP="00627775">
            <w:pPr>
              <w:rPr>
                <w:rFonts w:cs="Segoe UI"/>
                <w:szCs w:val="18"/>
              </w:rPr>
            </w:pPr>
            <w:r w:rsidRPr="00F03E04">
              <w:rPr>
                <w:rFonts w:cs="Segoe UI"/>
                <w:szCs w:val="18"/>
              </w:rPr>
              <w:t>S</w:t>
            </w:r>
            <w:r w:rsidR="00627775">
              <w:rPr>
                <w:rFonts w:cs="Segoe UI"/>
                <w:szCs w:val="18"/>
              </w:rPr>
              <w:t>9</w:t>
            </w:r>
            <w:bookmarkStart w:id="0" w:name="_GoBack"/>
            <w:bookmarkEnd w:id="0"/>
            <w:r w:rsidRPr="00F03E04">
              <w:rPr>
                <w:rFonts w:cs="Segoe UI"/>
                <w:szCs w:val="18"/>
              </w:rPr>
              <w:t>.1 Comparisons of FA after psychosis exclusion</w:t>
            </w:r>
          </w:p>
        </w:tc>
      </w:tr>
      <w:tr w:rsidR="00CD2C07" w14:paraId="6B946F57" w14:textId="77777777" w:rsidTr="00F03E04">
        <w:tc>
          <w:tcPr>
            <w:tcW w:w="1384" w:type="dxa"/>
            <w:tcBorders>
              <w:left w:val="nil"/>
              <w:bottom w:val="single" w:sz="4" w:space="0" w:color="auto"/>
              <w:right w:val="nil"/>
            </w:tcBorders>
            <w:vAlign w:val="center"/>
          </w:tcPr>
          <w:p w14:paraId="0F561A58" w14:textId="77777777" w:rsidR="00CD2C07" w:rsidRPr="00F40EAE" w:rsidRDefault="00CD2C07" w:rsidP="006179BB">
            <w:pPr>
              <w:rPr>
                <w:rFonts w:eastAsia="Times New Roman" w:cs="Segoe UI"/>
                <w:color w:val="000000"/>
                <w:sz w:val="18"/>
                <w:szCs w:val="18"/>
                <w:lang w:val="en-US" w:eastAsia="nl-NL"/>
              </w:rPr>
            </w:pPr>
            <w:r w:rsidRPr="00F40EAE">
              <w:rPr>
                <w:rFonts w:eastAsia="Times New Roman" w:cs="Segoe UI"/>
                <w:color w:val="000000"/>
                <w:sz w:val="18"/>
                <w:szCs w:val="18"/>
                <w:lang w:val="en-US" w:eastAsia="nl-NL"/>
              </w:rPr>
              <w:t>WM Region</w:t>
            </w:r>
          </w:p>
        </w:tc>
        <w:tc>
          <w:tcPr>
            <w:tcW w:w="992" w:type="dxa"/>
            <w:tcBorders>
              <w:left w:val="nil"/>
              <w:bottom w:val="single" w:sz="4" w:space="0" w:color="auto"/>
              <w:right w:val="nil"/>
            </w:tcBorders>
            <w:vAlign w:val="bottom"/>
          </w:tcPr>
          <w:p w14:paraId="753D6A6C"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t</w:t>
            </w:r>
          </w:p>
        </w:tc>
        <w:tc>
          <w:tcPr>
            <w:tcW w:w="709" w:type="dxa"/>
            <w:tcBorders>
              <w:left w:val="nil"/>
              <w:bottom w:val="single" w:sz="4" w:space="0" w:color="auto"/>
              <w:right w:val="nil"/>
            </w:tcBorders>
            <w:vAlign w:val="bottom"/>
          </w:tcPr>
          <w:p w14:paraId="5028A3E0" w14:textId="77777777" w:rsidR="00CD2C07" w:rsidRPr="00F40EAE" w:rsidRDefault="00CD2C07" w:rsidP="006179BB">
            <w:pPr>
              <w:rPr>
                <w:rFonts w:eastAsia="Times New Roman" w:cs="Segoe UI"/>
                <w:color w:val="000000"/>
                <w:sz w:val="18"/>
                <w:szCs w:val="18"/>
                <w:lang w:val="nl-NL" w:eastAsia="nl-NL"/>
              </w:rPr>
            </w:pPr>
            <w:proofErr w:type="spellStart"/>
            <w:r w:rsidRPr="00F40EAE">
              <w:rPr>
                <w:rFonts w:eastAsia="Times New Roman" w:cs="Segoe UI"/>
                <w:color w:val="000000"/>
                <w:sz w:val="18"/>
                <w:szCs w:val="18"/>
                <w:lang w:val="nl-NL" w:eastAsia="nl-NL"/>
              </w:rPr>
              <w:t>df</w:t>
            </w:r>
            <w:proofErr w:type="spellEnd"/>
          </w:p>
        </w:tc>
        <w:tc>
          <w:tcPr>
            <w:tcW w:w="1735" w:type="dxa"/>
            <w:tcBorders>
              <w:left w:val="nil"/>
              <w:bottom w:val="single" w:sz="4" w:space="0" w:color="auto"/>
              <w:right w:val="nil"/>
            </w:tcBorders>
            <w:vAlign w:val="bottom"/>
          </w:tcPr>
          <w:p w14:paraId="42239EEB" w14:textId="77777777" w:rsidR="00CD2C07" w:rsidRPr="00F40EAE" w:rsidRDefault="00CD2C07" w:rsidP="006179BB">
            <w:pPr>
              <w:rPr>
                <w:rFonts w:eastAsia="Times New Roman" w:cs="Segoe UI"/>
                <w:color w:val="000000"/>
                <w:sz w:val="18"/>
                <w:szCs w:val="18"/>
                <w:lang w:val="nl-NL" w:eastAsia="nl-NL"/>
              </w:rPr>
            </w:pPr>
            <w:proofErr w:type="spellStart"/>
            <w:r w:rsidRPr="00F40EAE">
              <w:rPr>
                <w:rFonts w:eastAsia="Times New Roman" w:cs="Segoe UI"/>
                <w:color w:val="000000"/>
                <w:sz w:val="18"/>
                <w:szCs w:val="18"/>
                <w:lang w:val="nl-NL" w:eastAsia="nl-NL"/>
              </w:rPr>
              <w:t>Sig</w:t>
            </w:r>
            <w:proofErr w:type="spellEnd"/>
            <w:r w:rsidRPr="00F40EAE">
              <w:rPr>
                <w:rFonts w:eastAsia="Times New Roman" w:cs="Segoe UI"/>
                <w:color w:val="000000"/>
                <w:sz w:val="18"/>
                <w:szCs w:val="18"/>
                <w:lang w:val="nl-NL" w:eastAsia="nl-NL"/>
              </w:rPr>
              <w:t>. (2-tailed)</w:t>
            </w:r>
          </w:p>
        </w:tc>
      </w:tr>
      <w:tr w:rsidR="00CD2C07" w14:paraId="0B68D907" w14:textId="77777777" w:rsidTr="00F03E04">
        <w:tc>
          <w:tcPr>
            <w:tcW w:w="1384" w:type="dxa"/>
            <w:tcBorders>
              <w:top w:val="single" w:sz="4" w:space="0" w:color="auto"/>
              <w:left w:val="nil"/>
              <w:bottom w:val="nil"/>
              <w:right w:val="nil"/>
            </w:tcBorders>
          </w:tcPr>
          <w:p w14:paraId="388051DE"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ALIC L</w:t>
            </w:r>
          </w:p>
        </w:tc>
        <w:tc>
          <w:tcPr>
            <w:tcW w:w="992" w:type="dxa"/>
            <w:tcBorders>
              <w:top w:val="single" w:sz="4" w:space="0" w:color="auto"/>
              <w:left w:val="nil"/>
              <w:bottom w:val="nil"/>
              <w:right w:val="nil"/>
            </w:tcBorders>
            <w:vAlign w:val="center"/>
          </w:tcPr>
          <w:p w14:paraId="2DD195D4"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-4,023</w:t>
            </w:r>
          </w:p>
        </w:tc>
        <w:tc>
          <w:tcPr>
            <w:tcW w:w="709" w:type="dxa"/>
            <w:tcBorders>
              <w:top w:val="single" w:sz="4" w:space="0" w:color="auto"/>
              <w:left w:val="nil"/>
              <w:bottom w:val="nil"/>
              <w:right w:val="nil"/>
            </w:tcBorders>
            <w:vAlign w:val="center"/>
          </w:tcPr>
          <w:p w14:paraId="5C6DBA3C"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single" w:sz="4" w:space="0" w:color="auto"/>
              <w:left w:val="nil"/>
              <w:bottom w:val="nil"/>
              <w:right w:val="nil"/>
            </w:tcBorders>
            <w:vAlign w:val="center"/>
          </w:tcPr>
          <w:p w14:paraId="788E6FED"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,000</w:t>
            </w:r>
            <w:r>
              <w:rPr>
                <w:rFonts w:eastAsia="Times New Roman" w:cs="Segoe UI"/>
                <w:color w:val="000000"/>
                <w:sz w:val="18"/>
                <w:szCs w:val="18"/>
                <w:lang w:val="nl-NL" w:eastAsia="nl-NL"/>
              </w:rPr>
              <w:t>4</w:t>
            </w:r>
          </w:p>
        </w:tc>
      </w:tr>
      <w:tr w:rsidR="00CD2C07" w14:paraId="5D4F84E0" w14:textId="77777777" w:rsidTr="00F03E04">
        <w:tc>
          <w:tcPr>
            <w:tcW w:w="1384" w:type="dxa"/>
            <w:tcBorders>
              <w:top w:val="nil"/>
              <w:left w:val="nil"/>
              <w:bottom w:val="nil"/>
              <w:right w:val="nil"/>
            </w:tcBorders>
          </w:tcPr>
          <w:p w14:paraId="505A93D2"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PLIC L</w:t>
            </w:r>
          </w:p>
        </w:tc>
        <w:tc>
          <w:tcPr>
            <w:tcW w:w="992" w:type="dxa"/>
            <w:tcBorders>
              <w:top w:val="nil"/>
              <w:left w:val="nil"/>
              <w:bottom w:val="nil"/>
              <w:right w:val="nil"/>
            </w:tcBorders>
            <w:vAlign w:val="center"/>
          </w:tcPr>
          <w:p w14:paraId="3DE5B48F"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-3,707</w:t>
            </w:r>
          </w:p>
        </w:tc>
        <w:tc>
          <w:tcPr>
            <w:tcW w:w="709" w:type="dxa"/>
            <w:tcBorders>
              <w:top w:val="nil"/>
              <w:left w:val="nil"/>
              <w:bottom w:val="nil"/>
              <w:right w:val="nil"/>
            </w:tcBorders>
            <w:vAlign w:val="center"/>
          </w:tcPr>
          <w:p w14:paraId="304CA08D"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06B80975"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,001</w:t>
            </w:r>
          </w:p>
        </w:tc>
      </w:tr>
      <w:tr w:rsidR="00CD2C07" w14:paraId="3D0E4883" w14:textId="77777777" w:rsidTr="00F03E04">
        <w:tc>
          <w:tcPr>
            <w:tcW w:w="1384" w:type="dxa"/>
            <w:tcBorders>
              <w:top w:val="nil"/>
              <w:left w:val="nil"/>
              <w:bottom w:val="nil"/>
              <w:right w:val="nil"/>
            </w:tcBorders>
          </w:tcPr>
          <w:p w14:paraId="4EA96821"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RLIC L</w:t>
            </w:r>
          </w:p>
        </w:tc>
        <w:tc>
          <w:tcPr>
            <w:tcW w:w="992" w:type="dxa"/>
            <w:tcBorders>
              <w:top w:val="nil"/>
              <w:left w:val="nil"/>
              <w:bottom w:val="nil"/>
              <w:right w:val="nil"/>
            </w:tcBorders>
            <w:vAlign w:val="center"/>
          </w:tcPr>
          <w:p w14:paraId="540CA343"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-2,924</w:t>
            </w:r>
          </w:p>
        </w:tc>
        <w:tc>
          <w:tcPr>
            <w:tcW w:w="709" w:type="dxa"/>
            <w:tcBorders>
              <w:top w:val="nil"/>
              <w:left w:val="nil"/>
              <w:bottom w:val="nil"/>
              <w:right w:val="nil"/>
            </w:tcBorders>
            <w:vAlign w:val="center"/>
          </w:tcPr>
          <w:p w14:paraId="03E0230D"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48AD57CE"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,007</w:t>
            </w:r>
          </w:p>
        </w:tc>
      </w:tr>
      <w:tr w:rsidR="00CD2C07" w14:paraId="122666FB" w14:textId="77777777" w:rsidTr="00F03E04">
        <w:tc>
          <w:tcPr>
            <w:tcW w:w="1384" w:type="dxa"/>
            <w:tcBorders>
              <w:top w:val="nil"/>
              <w:left w:val="nil"/>
              <w:bottom w:val="nil"/>
              <w:right w:val="nil"/>
            </w:tcBorders>
          </w:tcPr>
          <w:p w14:paraId="680098C9"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 xml:space="preserve">CGC R </w:t>
            </w:r>
          </w:p>
        </w:tc>
        <w:tc>
          <w:tcPr>
            <w:tcW w:w="992" w:type="dxa"/>
            <w:tcBorders>
              <w:top w:val="nil"/>
              <w:left w:val="nil"/>
              <w:bottom w:val="nil"/>
              <w:right w:val="nil"/>
            </w:tcBorders>
            <w:vAlign w:val="center"/>
          </w:tcPr>
          <w:p w14:paraId="79F256FE"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-3,006</w:t>
            </w:r>
          </w:p>
        </w:tc>
        <w:tc>
          <w:tcPr>
            <w:tcW w:w="709" w:type="dxa"/>
            <w:tcBorders>
              <w:top w:val="nil"/>
              <w:left w:val="nil"/>
              <w:bottom w:val="nil"/>
              <w:right w:val="nil"/>
            </w:tcBorders>
            <w:vAlign w:val="center"/>
          </w:tcPr>
          <w:p w14:paraId="610057C4"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6533E007"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,006</w:t>
            </w:r>
          </w:p>
        </w:tc>
      </w:tr>
      <w:tr w:rsidR="00CD2C07" w14:paraId="04DAC609" w14:textId="77777777" w:rsidTr="00F03E04">
        <w:tc>
          <w:tcPr>
            <w:tcW w:w="1384" w:type="dxa"/>
            <w:tcBorders>
              <w:top w:val="nil"/>
              <w:left w:val="nil"/>
              <w:bottom w:val="nil"/>
              <w:right w:val="nil"/>
            </w:tcBorders>
          </w:tcPr>
          <w:p w14:paraId="66495704"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CGC L</w:t>
            </w:r>
          </w:p>
        </w:tc>
        <w:tc>
          <w:tcPr>
            <w:tcW w:w="992" w:type="dxa"/>
            <w:tcBorders>
              <w:top w:val="nil"/>
              <w:left w:val="nil"/>
              <w:bottom w:val="nil"/>
              <w:right w:val="nil"/>
            </w:tcBorders>
            <w:vAlign w:val="center"/>
          </w:tcPr>
          <w:p w14:paraId="269C1842"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-3,252</w:t>
            </w:r>
          </w:p>
        </w:tc>
        <w:tc>
          <w:tcPr>
            <w:tcW w:w="709" w:type="dxa"/>
            <w:tcBorders>
              <w:top w:val="nil"/>
              <w:left w:val="nil"/>
              <w:bottom w:val="nil"/>
              <w:right w:val="nil"/>
            </w:tcBorders>
            <w:vAlign w:val="center"/>
          </w:tcPr>
          <w:p w14:paraId="4D5B73B8"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48732838"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,003</w:t>
            </w:r>
          </w:p>
        </w:tc>
      </w:tr>
      <w:tr w:rsidR="00CD2C07" w14:paraId="17956CB5" w14:textId="77777777" w:rsidTr="00F03E04">
        <w:tc>
          <w:tcPr>
            <w:tcW w:w="1384" w:type="dxa"/>
            <w:tcBorders>
              <w:top w:val="nil"/>
              <w:left w:val="nil"/>
              <w:bottom w:val="nil"/>
              <w:right w:val="nil"/>
            </w:tcBorders>
          </w:tcPr>
          <w:p w14:paraId="57EC0B01"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 xml:space="preserve">SLF R </w:t>
            </w:r>
          </w:p>
        </w:tc>
        <w:tc>
          <w:tcPr>
            <w:tcW w:w="992" w:type="dxa"/>
            <w:tcBorders>
              <w:top w:val="nil"/>
              <w:left w:val="nil"/>
              <w:bottom w:val="nil"/>
              <w:right w:val="nil"/>
            </w:tcBorders>
            <w:vAlign w:val="center"/>
          </w:tcPr>
          <w:p w14:paraId="156F06FF"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-2,343</w:t>
            </w:r>
          </w:p>
        </w:tc>
        <w:tc>
          <w:tcPr>
            <w:tcW w:w="709" w:type="dxa"/>
            <w:tcBorders>
              <w:top w:val="nil"/>
              <w:left w:val="nil"/>
              <w:bottom w:val="nil"/>
              <w:right w:val="nil"/>
            </w:tcBorders>
            <w:vAlign w:val="center"/>
          </w:tcPr>
          <w:p w14:paraId="5F6C321C"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54CB5554"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,027</w:t>
            </w:r>
          </w:p>
        </w:tc>
      </w:tr>
      <w:tr w:rsidR="00CD2C07" w14:paraId="7AFE7F19" w14:textId="77777777" w:rsidTr="00F03E04">
        <w:tc>
          <w:tcPr>
            <w:tcW w:w="1384" w:type="dxa"/>
            <w:tcBorders>
              <w:top w:val="nil"/>
              <w:left w:val="nil"/>
              <w:bottom w:val="nil"/>
              <w:right w:val="nil"/>
            </w:tcBorders>
          </w:tcPr>
          <w:p w14:paraId="5A781286"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SLF L</w:t>
            </w:r>
          </w:p>
        </w:tc>
        <w:tc>
          <w:tcPr>
            <w:tcW w:w="992" w:type="dxa"/>
            <w:tcBorders>
              <w:top w:val="nil"/>
              <w:left w:val="nil"/>
              <w:bottom w:val="nil"/>
              <w:right w:val="nil"/>
            </w:tcBorders>
            <w:vAlign w:val="center"/>
          </w:tcPr>
          <w:p w14:paraId="4B6B966A"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-3,013</w:t>
            </w:r>
          </w:p>
        </w:tc>
        <w:tc>
          <w:tcPr>
            <w:tcW w:w="709" w:type="dxa"/>
            <w:tcBorders>
              <w:top w:val="nil"/>
              <w:left w:val="nil"/>
              <w:bottom w:val="nil"/>
              <w:right w:val="nil"/>
            </w:tcBorders>
            <w:vAlign w:val="center"/>
          </w:tcPr>
          <w:p w14:paraId="79764462"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nil"/>
              <w:right w:val="nil"/>
            </w:tcBorders>
            <w:vAlign w:val="center"/>
          </w:tcPr>
          <w:p w14:paraId="492A68AD"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,006</w:t>
            </w:r>
          </w:p>
        </w:tc>
      </w:tr>
      <w:tr w:rsidR="00CD2C07" w14:paraId="0AF191D0" w14:textId="77777777" w:rsidTr="00F03E04">
        <w:tc>
          <w:tcPr>
            <w:tcW w:w="1384" w:type="dxa"/>
            <w:tcBorders>
              <w:top w:val="nil"/>
              <w:left w:val="nil"/>
              <w:bottom w:val="single" w:sz="4" w:space="0" w:color="auto"/>
              <w:right w:val="nil"/>
            </w:tcBorders>
          </w:tcPr>
          <w:p w14:paraId="105EE283"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SFO L</w:t>
            </w:r>
          </w:p>
        </w:tc>
        <w:tc>
          <w:tcPr>
            <w:tcW w:w="992" w:type="dxa"/>
            <w:tcBorders>
              <w:top w:val="nil"/>
              <w:left w:val="nil"/>
              <w:bottom w:val="single" w:sz="4" w:space="0" w:color="auto"/>
              <w:right w:val="nil"/>
            </w:tcBorders>
            <w:vAlign w:val="center"/>
          </w:tcPr>
          <w:p w14:paraId="23247BF5"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-3,111</w:t>
            </w:r>
          </w:p>
        </w:tc>
        <w:tc>
          <w:tcPr>
            <w:tcW w:w="709" w:type="dxa"/>
            <w:tcBorders>
              <w:top w:val="nil"/>
              <w:left w:val="nil"/>
              <w:bottom w:val="single" w:sz="4" w:space="0" w:color="auto"/>
              <w:right w:val="nil"/>
            </w:tcBorders>
            <w:vAlign w:val="center"/>
          </w:tcPr>
          <w:p w14:paraId="49B41A9A"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26</w:t>
            </w:r>
          </w:p>
        </w:tc>
        <w:tc>
          <w:tcPr>
            <w:tcW w:w="1735" w:type="dxa"/>
            <w:tcBorders>
              <w:top w:val="nil"/>
              <w:left w:val="nil"/>
              <w:bottom w:val="single" w:sz="4" w:space="0" w:color="auto"/>
              <w:right w:val="nil"/>
            </w:tcBorders>
            <w:vAlign w:val="center"/>
          </w:tcPr>
          <w:p w14:paraId="1D6D736B" w14:textId="77777777" w:rsidR="00CD2C07" w:rsidRPr="00F40EAE" w:rsidRDefault="00CD2C07" w:rsidP="006179BB">
            <w:pPr>
              <w:rPr>
                <w:rFonts w:eastAsia="Times New Roman" w:cs="Segoe UI"/>
                <w:color w:val="000000"/>
                <w:sz w:val="18"/>
                <w:szCs w:val="18"/>
                <w:lang w:val="nl-NL" w:eastAsia="nl-NL"/>
              </w:rPr>
            </w:pPr>
            <w:r w:rsidRPr="00F40EAE">
              <w:rPr>
                <w:rFonts w:eastAsia="Times New Roman" w:cs="Segoe UI"/>
                <w:color w:val="000000"/>
                <w:sz w:val="18"/>
                <w:szCs w:val="18"/>
                <w:lang w:val="nl-NL" w:eastAsia="nl-NL"/>
              </w:rPr>
              <w:t>,004</w:t>
            </w:r>
          </w:p>
        </w:tc>
      </w:tr>
      <w:tr w:rsidR="00CD2C07" w14:paraId="1AEA37A7" w14:textId="77777777" w:rsidTr="00F03E04">
        <w:tc>
          <w:tcPr>
            <w:tcW w:w="4820" w:type="dxa"/>
            <w:gridSpan w:val="4"/>
            <w:tcBorders>
              <w:top w:val="single" w:sz="4" w:space="0" w:color="auto"/>
              <w:left w:val="nil"/>
              <w:bottom w:val="nil"/>
              <w:right w:val="nil"/>
            </w:tcBorders>
          </w:tcPr>
          <w:p w14:paraId="7073860B" w14:textId="04E96E18" w:rsidR="006D2754" w:rsidRPr="006D2754" w:rsidRDefault="00CD2C07" w:rsidP="006179BB">
            <w:pPr>
              <w:jc w:val="both"/>
              <w:rPr>
                <w:rFonts w:cs="Segoe UI"/>
                <w:color w:val="000000" w:themeColor="text1"/>
                <w:sz w:val="18"/>
                <w:szCs w:val="18"/>
              </w:rPr>
            </w:pPr>
            <w:r>
              <w:rPr>
                <w:sz w:val="18"/>
              </w:rPr>
              <w:t>Sig</w:t>
            </w:r>
            <w:r>
              <w:rPr>
                <w:sz w:val="18"/>
                <w:lang w:val="en-US"/>
              </w:rPr>
              <w:t xml:space="preserve">= significant value;  </w:t>
            </w:r>
            <w:r>
              <w:rPr>
                <w:rFonts w:cs="Segoe UI"/>
                <w:color w:val="000000" w:themeColor="text1"/>
                <w:sz w:val="18"/>
                <w:szCs w:val="18"/>
              </w:rPr>
              <w:t xml:space="preserve">ALIC_L= anterior limb of the internal capsule, left; PLIC_L= posterior limb of the internal capsule, left; RLIC_L= </w:t>
            </w:r>
            <w:proofErr w:type="spellStart"/>
            <w:r>
              <w:rPr>
                <w:rFonts w:cs="Segoe UI"/>
                <w:color w:val="000000" w:themeColor="text1"/>
                <w:sz w:val="18"/>
                <w:szCs w:val="18"/>
              </w:rPr>
              <w:t>rentrolenticular</w:t>
            </w:r>
            <w:proofErr w:type="spellEnd"/>
            <w:r>
              <w:rPr>
                <w:rFonts w:cs="Segoe UI"/>
                <w:color w:val="000000" w:themeColor="text1"/>
                <w:sz w:val="18"/>
                <w:szCs w:val="18"/>
              </w:rPr>
              <w:t xml:space="preserve"> part of the internal capsule, left; CGC_R; </w:t>
            </w:r>
            <w:proofErr w:type="spellStart"/>
            <w:r>
              <w:rPr>
                <w:rFonts w:cs="Segoe UI"/>
                <w:color w:val="000000" w:themeColor="text1"/>
                <w:sz w:val="18"/>
                <w:szCs w:val="18"/>
              </w:rPr>
              <w:t>cingulum</w:t>
            </w:r>
            <w:proofErr w:type="spellEnd"/>
            <w:r>
              <w:rPr>
                <w:rFonts w:cs="Segoe UI"/>
                <w:color w:val="000000" w:themeColor="text1"/>
                <w:sz w:val="18"/>
                <w:szCs w:val="18"/>
              </w:rPr>
              <w:t xml:space="preserve"> bundle, around cingulate gyrus, right; CGC_L= </w:t>
            </w:r>
            <w:proofErr w:type="spellStart"/>
            <w:r>
              <w:rPr>
                <w:rFonts w:cs="Segoe UI"/>
                <w:color w:val="000000" w:themeColor="text1"/>
                <w:sz w:val="18"/>
                <w:szCs w:val="18"/>
              </w:rPr>
              <w:t>cingulum</w:t>
            </w:r>
            <w:proofErr w:type="spellEnd"/>
            <w:r>
              <w:rPr>
                <w:rFonts w:cs="Segoe UI"/>
                <w:color w:val="000000" w:themeColor="text1"/>
                <w:sz w:val="18"/>
                <w:szCs w:val="18"/>
              </w:rPr>
              <w:t xml:space="preserve"> bundle, around cingulate gyrus, left; SLF_R= superior longitudinal fasciculus, right; SLF_L= superior longitudinal fasciculus, left; SFO_L= superior </w:t>
            </w:r>
            <w:proofErr w:type="spellStart"/>
            <w:r>
              <w:rPr>
                <w:rFonts w:cs="Segoe UI"/>
                <w:color w:val="000000" w:themeColor="text1"/>
                <w:sz w:val="18"/>
                <w:szCs w:val="18"/>
              </w:rPr>
              <w:t>fronto</w:t>
            </w:r>
            <w:proofErr w:type="spellEnd"/>
            <w:r>
              <w:rPr>
                <w:rFonts w:cs="Segoe UI"/>
                <w:color w:val="000000" w:themeColor="text1"/>
                <w:sz w:val="18"/>
                <w:szCs w:val="18"/>
              </w:rPr>
              <w:t xml:space="preserve">-occipital gyrus, left; </w:t>
            </w:r>
            <w:proofErr w:type="spellStart"/>
            <w:r>
              <w:rPr>
                <w:rFonts w:cs="Segoe UI"/>
                <w:color w:val="000000" w:themeColor="text1"/>
                <w:sz w:val="18"/>
                <w:szCs w:val="18"/>
              </w:rPr>
              <w:t>df</w:t>
            </w:r>
            <w:proofErr w:type="spellEnd"/>
            <w:r>
              <w:rPr>
                <w:rFonts w:cs="Segoe UI"/>
                <w:color w:val="000000" w:themeColor="text1"/>
                <w:sz w:val="18"/>
                <w:szCs w:val="18"/>
              </w:rPr>
              <w:t xml:space="preserve"> = degrees of freedom</w:t>
            </w:r>
          </w:p>
        </w:tc>
      </w:tr>
    </w:tbl>
    <w:p w14:paraId="2665CBA0" w14:textId="77777777" w:rsidR="00CD2C07" w:rsidRDefault="00CD2C07" w:rsidP="00CD2C07">
      <w:pPr>
        <w:spacing w:after="0" w:line="480" w:lineRule="auto"/>
        <w:jc w:val="both"/>
        <w:rPr>
          <w:color w:val="000000" w:themeColor="text1"/>
          <w:lang w:val="en-US"/>
        </w:rPr>
      </w:pPr>
    </w:p>
    <w:p w14:paraId="2A417751" w14:textId="77777777" w:rsidR="00CD2C07" w:rsidRDefault="00CD2C07" w:rsidP="00CD2C07">
      <w:pPr>
        <w:spacing w:after="0" w:line="480" w:lineRule="auto"/>
        <w:jc w:val="both"/>
        <w:rPr>
          <w:color w:val="000000" w:themeColor="text1"/>
          <w:lang w:val="en-US"/>
        </w:rPr>
      </w:pPr>
    </w:p>
    <w:p w14:paraId="2C8B2F20" w14:textId="77777777" w:rsidR="00CD2C07" w:rsidRDefault="00CD2C07" w:rsidP="00CD2C07">
      <w:pPr>
        <w:spacing w:after="0" w:line="480" w:lineRule="auto"/>
        <w:jc w:val="both"/>
        <w:rPr>
          <w:color w:val="000000" w:themeColor="text1"/>
          <w:lang w:val="en-US"/>
        </w:rPr>
      </w:pPr>
    </w:p>
    <w:p w14:paraId="729BAA26" w14:textId="77777777" w:rsidR="00CD2C07" w:rsidRDefault="00CD2C07" w:rsidP="00CD2C07">
      <w:pPr>
        <w:spacing w:after="0" w:line="480" w:lineRule="auto"/>
        <w:jc w:val="both"/>
        <w:rPr>
          <w:color w:val="000000" w:themeColor="text1"/>
          <w:lang w:val="en-US"/>
        </w:rPr>
      </w:pPr>
    </w:p>
    <w:p w14:paraId="58DB779A" w14:textId="77777777" w:rsidR="00CD2C07" w:rsidRDefault="00CD2C07" w:rsidP="00CD2C07">
      <w:pPr>
        <w:spacing w:after="0" w:line="480" w:lineRule="auto"/>
        <w:jc w:val="both"/>
        <w:rPr>
          <w:color w:val="000000" w:themeColor="text1"/>
          <w:lang w:val="en-US"/>
        </w:rPr>
      </w:pPr>
    </w:p>
    <w:p w14:paraId="76883C43" w14:textId="77777777" w:rsidR="00CD2C07" w:rsidRDefault="00CD2C07" w:rsidP="00CD2C07">
      <w:pPr>
        <w:spacing w:after="0" w:line="480" w:lineRule="auto"/>
        <w:jc w:val="both"/>
        <w:rPr>
          <w:color w:val="000000" w:themeColor="text1"/>
          <w:lang w:val="en-US"/>
        </w:rPr>
      </w:pPr>
    </w:p>
    <w:p w14:paraId="637CD711" w14:textId="77777777" w:rsidR="00CD2C07" w:rsidRDefault="00CD2C07" w:rsidP="00CD2C07">
      <w:pPr>
        <w:spacing w:after="0" w:line="480" w:lineRule="auto"/>
        <w:jc w:val="both"/>
        <w:rPr>
          <w:color w:val="000000" w:themeColor="text1"/>
          <w:lang w:val="en-US"/>
        </w:rPr>
      </w:pPr>
    </w:p>
    <w:p w14:paraId="4753836A" w14:textId="77777777" w:rsidR="00CD2C07" w:rsidRDefault="00CD2C07" w:rsidP="00CD2C07">
      <w:pPr>
        <w:spacing w:after="0" w:line="480" w:lineRule="auto"/>
        <w:jc w:val="both"/>
        <w:rPr>
          <w:color w:val="000000" w:themeColor="text1"/>
          <w:lang w:val="en-US"/>
        </w:rPr>
      </w:pPr>
    </w:p>
    <w:p w14:paraId="69E543FC" w14:textId="77777777" w:rsidR="00CD2C07" w:rsidRDefault="00CD2C07" w:rsidP="00CD2C07">
      <w:pPr>
        <w:spacing w:after="0" w:line="480" w:lineRule="auto"/>
        <w:jc w:val="both"/>
        <w:rPr>
          <w:color w:val="000000" w:themeColor="text1"/>
          <w:lang w:val="en-US"/>
        </w:rPr>
      </w:pPr>
    </w:p>
    <w:p w14:paraId="1B6E0985" w14:textId="77777777" w:rsidR="00CD2C07" w:rsidRDefault="00CD2C07" w:rsidP="00CD2C07">
      <w:pPr>
        <w:spacing w:after="0" w:line="480" w:lineRule="auto"/>
        <w:jc w:val="both"/>
        <w:rPr>
          <w:color w:val="000000" w:themeColor="text1"/>
          <w:lang w:val="en-US"/>
        </w:rPr>
      </w:pPr>
    </w:p>
    <w:p w14:paraId="676FE72A" w14:textId="77777777" w:rsidR="00CD2C07" w:rsidRDefault="00CD2C07" w:rsidP="00CD2C07">
      <w:pPr>
        <w:spacing w:after="0" w:line="480" w:lineRule="auto"/>
        <w:jc w:val="both"/>
        <w:rPr>
          <w:color w:val="000000" w:themeColor="text1"/>
          <w:lang w:val="en-US"/>
        </w:rPr>
      </w:pPr>
    </w:p>
    <w:p w14:paraId="4B042AC5" w14:textId="77777777" w:rsidR="00CD2C07" w:rsidRDefault="00CD2C07" w:rsidP="00CD2C07">
      <w:pPr>
        <w:spacing w:after="0" w:line="480" w:lineRule="auto"/>
        <w:jc w:val="both"/>
        <w:rPr>
          <w:color w:val="000000" w:themeColor="text1"/>
          <w:lang w:val="en-US"/>
        </w:rPr>
      </w:pPr>
    </w:p>
    <w:p w14:paraId="79E9B2B6" w14:textId="77777777" w:rsidR="00CD2C07" w:rsidRDefault="00CD2C07" w:rsidP="00CD2C07">
      <w:pPr>
        <w:spacing w:after="0" w:line="480" w:lineRule="auto"/>
        <w:jc w:val="both"/>
        <w:rPr>
          <w:color w:val="000000" w:themeColor="text1"/>
          <w:lang w:val="en-US"/>
        </w:rPr>
      </w:pPr>
    </w:p>
    <w:p w14:paraId="0A3139CE" w14:textId="77777777" w:rsidR="006D2754" w:rsidRDefault="006D2754" w:rsidP="00CD2C07">
      <w:pPr>
        <w:spacing w:after="0" w:line="480" w:lineRule="auto"/>
        <w:jc w:val="both"/>
        <w:rPr>
          <w:b/>
          <w:color w:val="000000" w:themeColor="text1"/>
          <w:lang w:val="en-US"/>
        </w:rPr>
      </w:pPr>
    </w:p>
    <w:p w14:paraId="1579E695" w14:textId="39CBE9DB" w:rsidR="00CD2C07" w:rsidRPr="006D2754" w:rsidRDefault="006D2754" w:rsidP="00CD2C07">
      <w:pPr>
        <w:spacing w:after="0" w:line="480" w:lineRule="auto"/>
        <w:jc w:val="both"/>
        <w:rPr>
          <w:b/>
          <w:color w:val="000000" w:themeColor="text1"/>
          <w:lang w:val="en-US"/>
        </w:rPr>
      </w:pPr>
      <w:r>
        <w:rPr>
          <w:b/>
          <w:color w:val="000000" w:themeColor="text1"/>
          <w:lang w:val="en-US"/>
        </w:rPr>
        <w:t>References</w:t>
      </w:r>
    </w:p>
    <w:p w14:paraId="598CBE43" w14:textId="7871A83E" w:rsidR="00F03E04" w:rsidRPr="006D2754" w:rsidRDefault="00F03E04" w:rsidP="00F03E04">
      <w:pPr>
        <w:widowControl w:val="0"/>
        <w:autoSpaceDE w:val="0"/>
        <w:autoSpaceDN w:val="0"/>
        <w:adjustRightInd w:val="0"/>
        <w:spacing w:line="240" w:lineRule="auto"/>
        <w:ind w:left="640" w:hanging="640"/>
        <w:rPr>
          <w:rFonts w:eastAsia="Times New Roman" w:cs="Segoe UI"/>
          <w:noProof/>
          <w:sz w:val="20"/>
        </w:rPr>
      </w:pPr>
      <w:r w:rsidRPr="006D2754">
        <w:rPr>
          <w:sz w:val="20"/>
        </w:rPr>
        <w:lastRenderedPageBreak/>
        <w:fldChar w:fldCharType="begin" w:fldLock="1"/>
      </w:r>
      <w:r w:rsidRPr="006D2754">
        <w:rPr>
          <w:sz w:val="20"/>
        </w:rPr>
        <w:instrText xml:space="preserve">ADDIN Mendeley Bibliography CSL_BIBLIOGRAPHY </w:instrText>
      </w:r>
      <w:r w:rsidRPr="006D2754">
        <w:rPr>
          <w:sz w:val="20"/>
        </w:rPr>
        <w:fldChar w:fldCharType="separate"/>
      </w:r>
      <w:r w:rsidRPr="006D2754">
        <w:rPr>
          <w:rFonts w:eastAsia="Times New Roman" w:cs="Segoe UI"/>
          <w:noProof/>
          <w:sz w:val="20"/>
        </w:rPr>
        <w:t xml:space="preserve">1. </w:t>
      </w:r>
      <w:r w:rsidRPr="006D2754">
        <w:rPr>
          <w:rFonts w:eastAsia="Times New Roman" w:cs="Segoe UI"/>
          <w:noProof/>
          <w:sz w:val="20"/>
        </w:rPr>
        <w:tab/>
        <w:t xml:space="preserve">Song S-K, Sun S-W, Ramsbottom MJ, Chang C, Russell J, Cross AH. Dysmyelination Revealed through MRI as Increased Radial (but Unchanged Axial) Diffusion of Water. </w:t>
      </w:r>
      <w:r w:rsidRPr="006D2754">
        <w:rPr>
          <w:rFonts w:eastAsia="Times New Roman" w:cs="Segoe UI"/>
          <w:i/>
          <w:iCs/>
          <w:noProof/>
          <w:sz w:val="20"/>
        </w:rPr>
        <w:t>Neuroimage</w:t>
      </w:r>
      <w:r w:rsidRPr="006D2754">
        <w:rPr>
          <w:rFonts w:eastAsia="Times New Roman" w:cs="Segoe UI"/>
          <w:noProof/>
          <w:sz w:val="20"/>
        </w:rPr>
        <w:t>. 2002;17(3):1429-1436. doi:10.1006/nimg.2002.1267.</w:t>
      </w:r>
    </w:p>
    <w:p w14:paraId="076C04C8" w14:textId="77777777" w:rsidR="00F03E04" w:rsidRPr="006D2754" w:rsidRDefault="00F03E04" w:rsidP="00F03E04">
      <w:pPr>
        <w:widowControl w:val="0"/>
        <w:autoSpaceDE w:val="0"/>
        <w:autoSpaceDN w:val="0"/>
        <w:adjustRightInd w:val="0"/>
        <w:spacing w:line="240" w:lineRule="auto"/>
        <w:ind w:left="640" w:hanging="640"/>
        <w:rPr>
          <w:rFonts w:eastAsia="Times New Roman" w:cs="Segoe UI"/>
          <w:noProof/>
          <w:sz w:val="20"/>
        </w:rPr>
      </w:pPr>
      <w:r w:rsidRPr="006D2754">
        <w:rPr>
          <w:rFonts w:eastAsia="Times New Roman" w:cs="Segoe UI"/>
          <w:noProof/>
          <w:sz w:val="20"/>
        </w:rPr>
        <w:t xml:space="preserve">2. </w:t>
      </w:r>
      <w:r w:rsidRPr="006D2754">
        <w:rPr>
          <w:rFonts w:eastAsia="Times New Roman" w:cs="Segoe UI"/>
          <w:noProof/>
          <w:sz w:val="20"/>
        </w:rPr>
        <w:tab/>
        <w:t xml:space="preserve">Song S-K, Yoshino J, Le TQ, et al. Demyelination increases radial diffusivity in corpus callosum of mouse brain. </w:t>
      </w:r>
      <w:r w:rsidRPr="006D2754">
        <w:rPr>
          <w:rFonts w:eastAsia="Times New Roman" w:cs="Segoe UI"/>
          <w:i/>
          <w:iCs/>
          <w:noProof/>
          <w:sz w:val="20"/>
        </w:rPr>
        <w:t>Neuroimage</w:t>
      </w:r>
      <w:r w:rsidRPr="006D2754">
        <w:rPr>
          <w:rFonts w:eastAsia="Times New Roman" w:cs="Segoe UI"/>
          <w:noProof/>
          <w:sz w:val="20"/>
        </w:rPr>
        <w:t>. 2005;26(1):132-140. doi:10.1016/j.neuroimage.2005.01.028.</w:t>
      </w:r>
    </w:p>
    <w:p w14:paraId="56002A79" w14:textId="77777777" w:rsidR="00F03E04" w:rsidRPr="006D2754" w:rsidRDefault="00F03E04" w:rsidP="00F03E04">
      <w:pPr>
        <w:widowControl w:val="0"/>
        <w:autoSpaceDE w:val="0"/>
        <w:autoSpaceDN w:val="0"/>
        <w:adjustRightInd w:val="0"/>
        <w:spacing w:line="240" w:lineRule="auto"/>
        <w:ind w:left="640" w:hanging="640"/>
        <w:rPr>
          <w:rFonts w:eastAsia="Times New Roman" w:cs="Segoe UI"/>
          <w:noProof/>
          <w:sz w:val="20"/>
        </w:rPr>
      </w:pPr>
      <w:r w:rsidRPr="006D2754">
        <w:rPr>
          <w:rFonts w:eastAsia="Times New Roman" w:cs="Segoe UI"/>
          <w:noProof/>
          <w:sz w:val="20"/>
        </w:rPr>
        <w:t xml:space="preserve">3. </w:t>
      </w:r>
      <w:r w:rsidRPr="006D2754">
        <w:rPr>
          <w:rFonts w:eastAsia="Times New Roman" w:cs="Segoe UI"/>
          <w:noProof/>
          <w:sz w:val="20"/>
        </w:rPr>
        <w:tab/>
        <w:t xml:space="preserve">Alexander AL, Lee JE, Lazar M, Field AS. Diffusion tensor imaging of the brain. </w:t>
      </w:r>
      <w:r w:rsidRPr="006D2754">
        <w:rPr>
          <w:rFonts w:eastAsia="Times New Roman" w:cs="Segoe UI"/>
          <w:i/>
          <w:iCs/>
          <w:noProof/>
          <w:sz w:val="20"/>
        </w:rPr>
        <w:t>Neurotherapeutics</w:t>
      </w:r>
      <w:r w:rsidRPr="006D2754">
        <w:rPr>
          <w:rFonts w:eastAsia="Times New Roman" w:cs="Segoe UI"/>
          <w:noProof/>
          <w:sz w:val="20"/>
        </w:rPr>
        <w:t>. 2007;4(3):316-329. doi:10.1016/j.nurt.2007.05.011.</w:t>
      </w:r>
    </w:p>
    <w:p w14:paraId="5F6A382D" w14:textId="77777777" w:rsidR="00F03E04" w:rsidRPr="006D2754" w:rsidRDefault="00F03E04" w:rsidP="00F03E04">
      <w:pPr>
        <w:widowControl w:val="0"/>
        <w:autoSpaceDE w:val="0"/>
        <w:autoSpaceDN w:val="0"/>
        <w:adjustRightInd w:val="0"/>
        <w:spacing w:line="240" w:lineRule="auto"/>
        <w:ind w:left="640" w:hanging="640"/>
        <w:rPr>
          <w:rFonts w:cs="Segoe UI"/>
          <w:noProof/>
          <w:sz w:val="20"/>
        </w:rPr>
      </w:pPr>
      <w:r w:rsidRPr="006D2754">
        <w:rPr>
          <w:rFonts w:eastAsia="Times New Roman" w:cs="Segoe UI"/>
          <w:noProof/>
          <w:sz w:val="20"/>
        </w:rPr>
        <w:t xml:space="preserve">4. </w:t>
      </w:r>
      <w:r w:rsidRPr="006D2754">
        <w:rPr>
          <w:rFonts w:eastAsia="Times New Roman" w:cs="Segoe UI"/>
          <w:noProof/>
          <w:sz w:val="20"/>
        </w:rPr>
        <w:tab/>
        <w:t xml:space="preserve">Wheeler-Kingshott CAM, Cercignani M. About “axial” and “radial” diffusivities. </w:t>
      </w:r>
      <w:r w:rsidRPr="006D2754">
        <w:rPr>
          <w:rFonts w:eastAsia="Times New Roman" w:cs="Segoe UI"/>
          <w:i/>
          <w:iCs/>
          <w:noProof/>
          <w:sz w:val="20"/>
        </w:rPr>
        <w:t>Magn Reson Med</w:t>
      </w:r>
      <w:r w:rsidRPr="006D2754">
        <w:rPr>
          <w:rFonts w:eastAsia="Times New Roman" w:cs="Segoe UI"/>
          <w:noProof/>
          <w:sz w:val="20"/>
        </w:rPr>
        <w:t>. 2009;61(5):1255-1260. doi:10.1002/mrm.21965.</w:t>
      </w:r>
    </w:p>
    <w:p w14:paraId="008F9C5A" w14:textId="0EED4950" w:rsidR="00337622" w:rsidRDefault="00F03E04">
      <w:r w:rsidRPr="006D2754">
        <w:rPr>
          <w:sz w:val="20"/>
        </w:rPr>
        <w:fldChar w:fldCharType="end"/>
      </w:r>
    </w:p>
    <w:sectPr w:rsidR="00337622" w:rsidSect="00E63D7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C07"/>
    <w:rsid w:val="00135594"/>
    <w:rsid w:val="00337622"/>
    <w:rsid w:val="00627775"/>
    <w:rsid w:val="00681C42"/>
    <w:rsid w:val="006D2754"/>
    <w:rsid w:val="00CD2C07"/>
    <w:rsid w:val="00E63D7A"/>
    <w:rsid w:val="00F03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7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2C07"/>
    <w:pPr>
      <w:spacing w:after="200" w:line="276" w:lineRule="auto"/>
    </w:pPr>
    <w:rPr>
      <w:rFonts w:ascii="Segoe UI" w:hAnsi="Segoe UI"/>
      <w:sz w:val="22"/>
      <w:szCs w:val="22"/>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D2C07"/>
    <w:rPr>
      <w:rFonts w:ascii="Segoe UI" w:hAnsi="Segoe U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2C07"/>
    <w:pPr>
      <w:spacing w:after="200" w:line="276" w:lineRule="auto"/>
    </w:pPr>
    <w:rPr>
      <w:rFonts w:ascii="Segoe UI" w:hAnsi="Segoe UI"/>
      <w:sz w:val="22"/>
      <w:szCs w:val="22"/>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D2C07"/>
    <w:rPr>
      <w:rFonts w:ascii="Segoe UI" w:hAnsi="Segoe U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58AC0DD7</Template>
  <TotalTime>4</TotalTime>
  <Pages>3</Pages>
  <Words>1682</Words>
  <Characters>9257</Characters>
  <Application>Microsoft Office Word</Application>
  <DocSecurity>0</DocSecurity>
  <Lines>77</Lines>
  <Paragraphs>21</Paragraphs>
  <ScaleCrop>false</ScaleCrop>
  <Company>UMC Utrecht</Company>
  <LinksUpToDate>false</LinksUpToDate>
  <CharactersWithSpaces>10918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Nuninga</dc:creator>
  <cp:keywords/>
  <dc:description/>
  <cp:lastModifiedBy>Bohlken, M.M.</cp:lastModifiedBy>
  <cp:revision>5</cp:revision>
  <dcterms:created xsi:type="dcterms:W3CDTF">2016-10-03T09:57:00Z</dcterms:created>
  <dcterms:modified xsi:type="dcterms:W3CDTF">2017-09-20T06:42:00Z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j.nuninga@gmail.com@www.mendeley.com</vt:lpwstr>
  </property>
  <property fmtid="{D5CDD505-2E9C-101B-9397-08002B2CF9AE}" pid="4" name="Mendeley Citation Style_1">
    <vt:lpwstr>http://www.zotero.org/styles/american-medical-association</vt:lpwstr>
  </property>
</Properties>
</file>