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0F4" w:rsidRPr="002870CE" w:rsidRDefault="00330C7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870CE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5C77CF">
        <w:rPr>
          <w:rFonts w:ascii="Times New Roman" w:hAnsi="Times New Roman" w:cs="Times New Roman"/>
          <w:b/>
          <w:sz w:val="24"/>
          <w:szCs w:val="24"/>
        </w:rPr>
        <w:t>T</w:t>
      </w:r>
      <w:r w:rsidRPr="002870CE">
        <w:rPr>
          <w:rFonts w:ascii="Times New Roman" w:hAnsi="Times New Roman" w:cs="Times New Roman"/>
          <w:b/>
          <w:sz w:val="24"/>
          <w:szCs w:val="24"/>
        </w:rPr>
        <w:t>able 1</w:t>
      </w:r>
      <w:r w:rsidR="005C77C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2870CE">
        <w:rPr>
          <w:rFonts w:ascii="Times New Roman" w:hAnsi="Times New Roman" w:cs="Times New Roman"/>
          <w:b/>
          <w:sz w:val="24"/>
          <w:szCs w:val="24"/>
        </w:rPr>
        <w:t xml:space="preserve"> Quality assessment checklist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062"/>
        <w:gridCol w:w="1843"/>
      </w:tblGrid>
      <w:tr w:rsidR="00330C76" w:rsidRPr="002870CE" w:rsidTr="005C77CF">
        <w:tc>
          <w:tcPr>
            <w:tcW w:w="6062" w:type="dxa"/>
            <w:tcBorders>
              <w:bottom w:val="single" w:sz="4" w:space="0" w:color="auto"/>
            </w:tcBorders>
          </w:tcPr>
          <w:p w:rsidR="00330C76" w:rsidRPr="002870CE" w:rsidRDefault="00330C76" w:rsidP="005C7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b/>
                <w:sz w:val="24"/>
                <w:szCs w:val="24"/>
              </w:rPr>
              <w:t>Quality criteria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30C76" w:rsidRPr="002870CE" w:rsidRDefault="00330C76" w:rsidP="005C77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</w:p>
        </w:tc>
      </w:tr>
      <w:tr w:rsidR="00330C76" w:rsidRPr="002870CE" w:rsidTr="005C77CF">
        <w:tc>
          <w:tcPr>
            <w:tcW w:w="6062" w:type="dxa"/>
            <w:tcBorders>
              <w:bottom w:val="nil"/>
            </w:tcBorders>
          </w:tcPr>
          <w:p w:rsidR="00330C76" w:rsidRPr="002870CE" w:rsidRDefault="002870CE" w:rsidP="00330C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b/>
                <w:sz w:val="24"/>
                <w:szCs w:val="24"/>
              </w:rPr>
              <w:t>Type of study</w:t>
            </w:r>
          </w:p>
        </w:tc>
        <w:tc>
          <w:tcPr>
            <w:tcW w:w="1843" w:type="dxa"/>
            <w:tcBorders>
              <w:bottom w:val="nil"/>
            </w:tcBorders>
          </w:tcPr>
          <w:p w:rsidR="00330C76" w:rsidRPr="002870CE" w:rsidRDefault="00330C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330C76" w:rsidRPr="002870CE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Cross-sectional, case-control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30C76" w:rsidRPr="002870CE" w:rsidRDefault="00330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0CE" w:rsidRPr="002870CE" w:rsidTr="005C77CF"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:rsidR="002870CE" w:rsidRPr="002870CE" w:rsidRDefault="002870CE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Cohort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870CE" w:rsidRPr="002870CE" w:rsidRDefault="002870CE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0C76" w:rsidRPr="002870CE" w:rsidTr="005C77CF">
        <w:tc>
          <w:tcPr>
            <w:tcW w:w="6062" w:type="dxa"/>
            <w:tcBorders>
              <w:bottom w:val="nil"/>
            </w:tcBorders>
          </w:tcPr>
          <w:p w:rsidR="00330C76" w:rsidRPr="002870CE" w:rsidRDefault="00330C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b/>
                <w:sz w:val="24"/>
                <w:szCs w:val="24"/>
              </w:rPr>
              <w:t>Exposure</w:t>
            </w:r>
          </w:p>
        </w:tc>
        <w:tc>
          <w:tcPr>
            <w:tcW w:w="1843" w:type="dxa"/>
            <w:tcBorders>
              <w:bottom w:val="nil"/>
            </w:tcBorders>
          </w:tcPr>
          <w:p w:rsidR="00330C76" w:rsidRPr="002870CE" w:rsidRDefault="00330C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:rsidR="00330C76" w:rsidRPr="002870CE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Explicitly defines ethnic density exposure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30C76" w:rsidRPr="002870CE" w:rsidRDefault="00330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0C76" w:rsidRPr="002870CE" w:rsidTr="005C77CF">
        <w:tc>
          <w:tcPr>
            <w:tcW w:w="6062" w:type="dxa"/>
            <w:tcBorders>
              <w:bottom w:val="nil"/>
            </w:tcBorders>
          </w:tcPr>
          <w:p w:rsidR="00330C76" w:rsidRPr="002870CE" w:rsidRDefault="00330C7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b/>
                <w:sz w:val="24"/>
                <w:szCs w:val="24"/>
              </w:rPr>
              <w:t>Ethnicity</w:t>
            </w:r>
          </w:p>
        </w:tc>
        <w:tc>
          <w:tcPr>
            <w:tcW w:w="1843" w:type="dxa"/>
            <w:tcBorders>
              <w:bottom w:val="nil"/>
            </w:tcBorders>
          </w:tcPr>
          <w:p w:rsidR="00330C76" w:rsidRPr="002870CE" w:rsidRDefault="00330C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:rsidR="00330C76" w:rsidRPr="002870CE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Self-ascribed ethnicity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30C76" w:rsidRPr="002870CE" w:rsidRDefault="00330C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0C76" w:rsidRPr="002870CE" w:rsidTr="005C77CF">
        <w:tc>
          <w:tcPr>
            <w:tcW w:w="6062" w:type="dxa"/>
            <w:tcBorders>
              <w:top w:val="single" w:sz="4" w:space="0" w:color="auto"/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b/>
                <w:sz w:val="24"/>
                <w:szCs w:val="24"/>
              </w:rPr>
              <w:t>Language of interview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:rsidR="00330C76" w:rsidRPr="002870CE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Language of interview in own language if English not preferred language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0C76" w:rsidRPr="002870CE" w:rsidTr="005C77CF">
        <w:tc>
          <w:tcPr>
            <w:tcW w:w="6062" w:type="dxa"/>
            <w:tcBorders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b/>
                <w:sz w:val="24"/>
                <w:szCs w:val="24"/>
              </w:rPr>
              <w:t>Outcome</w:t>
            </w:r>
          </w:p>
        </w:tc>
        <w:tc>
          <w:tcPr>
            <w:tcW w:w="1843" w:type="dxa"/>
            <w:tcBorders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330C76" w:rsidRPr="002870CE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 xml:space="preserve">Assessed with structured instrument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330C76" w:rsidRPr="002870CE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Validated instrument used to assess outcome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330C76" w:rsidRPr="002870CE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Reliable instrument used to assess outcome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330C76" w:rsidRPr="002870CE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Instrument validated in racial/ ethnic group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70CE" w:rsidRPr="002870CE" w:rsidTr="005C77CF"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:rsidR="002870CE" w:rsidRPr="002870CE" w:rsidRDefault="002870CE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Outcome assessment blind to exposure status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2870CE" w:rsidRPr="002870CE" w:rsidRDefault="002870CE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0C76" w:rsidRPr="002870CE" w:rsidTr="005C77CF">
        <w:tc>
          <w:tcPr>
            <w:tcW w:w="6062" w:type="dxa"/>
            <w:tcBorders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b/>
                <w:sz w:val="24"/>
                <w:szCs w:val="24"/>
              </w:rPr>
              <w:t>Sample size and power calculation</w:t>
            </w:r>
          </w:p>
        </w:tc>
        <w:tc>
          <w:tcPr>
            <w:tcW w:w="1843" w:type="dxa"/>
            <w:tcBorders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:rsidR="00330C76" w:rsidRPr="002870CE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n&gt;500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77CF" w:rsidRPr="002870CE" w:rsidTr="005C77CF"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:rsidR="005C77CF" w:rsidRPr="005C77CF" w:rsidRDefault="005C77CF" w:rsidP="005C77C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7CF">
              <w:rPr>
                <w:rFonts w:ascii="Times New Roman" w:hAnsi="Times New Roman" w:cs="Times New Roman"/>
                <w:b/>
                <w:sz w:val="24"/>
                <w:szCs w:val="24"/>
              </w:rPr>
              <w:t>Response rates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5C77CF" w:rsidRPr="002870CE" w:rsidRDefault="005C77CF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6" w:rsidRPr="002870CE" w:rsidTr="005C77CF">
        <w:tc>
          <w:tcPr>
            <w:tcW w:w="6062" w:type="dxa"/>
            <w:tcBorders>
              <w:bottom w:val="nil"/>
            </w:tcBorders>
          </w:tcPr>
          <w:p w:rsidR="00330C76" w:rsidRPr="005C77CF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C77CF">
              <w:rPr>
                <w:rFonts w:ascii="Times New Roman" w:hAnsi="Times New Roman" w:cs="Times New Roman"/>
                <w:sz w:val="24"/>
                <w:szCs w:val="24"/>
              </w:rPr>
              <w:t>For case-control/ cross-sectional studies</w:t>
            </w:r>
            <w:r w:rsidR="005C77CF" w:rsidRPr="005C77CF">
              <w:rPr>
                <w:rFonts w:ascii="Times New Roman" w:hAnsi="Times New Roman" w:cs="Times New Roman"/>
                <w:sz w:val="24"/>
                <w:szCs w:val="24"/>
              </w:rPr>
              <w:t xml:space="preserve"> – Response rates</w:t>
            </w:r>
          </w:p>
        </w:tc>
        <w:tc>
          <w:tcPr>
            <w:tcW w:w="1843" w:type="dxa"/>
            <w:tcBorders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330C76" w:rsidRPr="005C77CF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C77CF">
              <w:rPr>
                <w:rFonts w:ascii="Times New Roman" w:hAnsi="Times New Roman" w:cs="Times New Roman"/>
                <w:sz w:val="24"/>
                <w:szCs w:val="24"/>
              </w:rPr>
              <w:t>&gt;60%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330C76" w:rsidRPr="005C77CF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C77CF">
              <w:rPr>
                <w:rFonts w:ascii="Times New Roman" w:hAnsi="Times New Roman" w:cs="Times New Roman"/>
                <w:sz w:val="24"/>
                <w:szCs w:val="24"/>
              </w:rPr>
              <w:t>For cohort studies</w:t>
            </w:r>
            <w:r w:rsidR="005C77CF" w:rsidRPr="005C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77CF" w:rsidRPr="005C77CF">
              <w:rPr>
                <w:rFonts w:ascii="Times New Roman" w:hAnsi="Times New Roman" w:cs="Times New Roman"/>
                <w:sz w:val="24"/>
                <w:szCs w:val="24"/>
              </w:rPr>
              <w:t>– Rate of attrition compared to baseline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330C76" w:rsidRPr="005C77CF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C77CF">
              <w:rPr>
                <w:rFonts w:ascii="Times New Roman" w:hAnsi="Times New Roman" w:cs="Times New Roman"/>
                <w:sz w:val="24"/>
                <w:szCs w:val="24"/>
              </w:rPr>
              <w:t>&gt;60%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:rsidR="00330C76" w:rsidRPr="005C77CF" w:rsidRDefault="002870CE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C77C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30C76" w:rsidRPr="005C77CF">
              <w:rPr>
                <w:rFonts w:ascii="Times New Roman" w:hAnsi="Times New Roman" w:cs="Times New Roman"/>
                <w:sz w:val="24"/>
                <w:szCs w:val="24"/>
              </w:rPr>
              <w:t>esponse rates similar across racial/ ethnic groups or weighted to allow for differential non-response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0C76" w:rsidRPr="002870CE" w:rsidTr="005C77CF">
        <w:tc>
          <w:tcPr>
            <w:tcW w:w="6062" w:type="dxa"/>
            <w:tcBorders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b/>
                <w:sz w:val="24"/>
                <w:szCs w:val="24"/>
              </w:rPr>
              <w:t>Methods</w:t>
            </w:r>
          </w:p>
        </w:tc>
        <w:tc>
          <w:tcPr>
            <w:tcW w:w="1843" w:type="dxa"/>
            <w:tcBorders>
              <w:bottom w:val="nil"/>
            </w:tcBorders>
          </w:tcPr>
          <w:p w:rsidR="00330C76" w:rsidRPr="002870CE" w:rsidRDefault="00330C76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330C76" w:rsidRDefault="00330C76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Estimate available adjusted for area-level deprivation</w:t>
            </w:r>
          </w:p>
          <w:p w:rsidR="005C77CF" w:rsidRPr="005C77CF" w:rsidRDefault="005C77CF" w:rsidP="005C77CF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Adjusts with</w:t>
            </w:r>
            <w:r w:rsidRPr="005C77CF">
              <w:rPr>
                <w:rFonts w:ascii="Times New Roman" w:hAnsi="Times New Roman" w:cs="Times New Roman"/>
                <w:sz w:val="24"/>
                <w:szCs w:val="24"/>
              </w:rPr>
              <w:t xml:space="preserve"> one variable for area-level deprivation</w:t>
            </w:r>
          </w:p>
          <w:p w:rsidR="005C77CF" w:rsidRPr="005C77CF" w:rsidRDefault="005C77CF" w:rsidP="005C77CF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Adjusts with</w:t>
            </w:r>
            <w:r w:rsidRPr="005C77CF">
              <w:rPr>
                <w:rFonts w:ascii="Times New Roman" w:hAnsi="Times New Roman" w:cs="Times New Roman"/>
                <w:sz w:val="24"/>
                <w:szCs w:val="24"/>
              </w:rPr>
              <w:t xml:space="preserve"> composite measure of area-level deprivation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30C76" w:rsidRDefault="00330C76" w:rsidP="005C77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77CF" w:rsidRDefault="005C77CF" w:rsidP="005C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77CF" w:rsidRPr="005C77CF" w:rsidRDefault="005C77CF" w:rsidP="005C7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nil"/>
            </w:tcBorders>
          </w:tcPr>
          <w:p w:rsidR="00330C76" w:rsidRPr="002870CE" w:rsidRDefault="002870CE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Appropriate statistical methods used (</w:t>
            </w:r>
            <w:proofErr w:type="spellStart"/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eg</w:t>
            </w:r>
            <w:proofErr w:type="spellEnd"/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. multi-level modelling or robust standard errors to account for clustered data)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C77CF" w:rsidRDefault="005C77CF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C76" w:rsidRPr="002870CE" w:rsidRDefault="002870CE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30C76" w:rsidRPr="002870CE" w:rsidTr="005C77CF">
        <w:tc>
          <w:tcPr>
            <w:tcW w:w="6062" w:type="dxa"/>
            <w:tcBorders>
              <w:top w:val="nil"/>
              <w:bottom w:val="single" w:sz="4" w:space="0" w:color="auto"/>
            </w:tcBorders>
          </w:tcPr>
          <w:p w:rsidR="00330C76" w:rsidRPr="005C77CF" w:rsidRDefault="002870CE" w:rsidP="005C77CF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C77CF">
              <w:rPr>
                <w:rFonts w:ascii="Times New Roman" w:hAnsi="Times New Roman" w:cs="Times New Roman"/>
                <w:sz w:val="24"/>
                <w:szCs w:val="24"/>
              </w:rPr>
              <w:t>Cohort studies</w:t>
            </w:r>
            <w:r w:rsidR="005C77CF" w:rsidRPr="005C77C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5C77CF" w:rsidRPr="005C77CF">
              <w:rPr>
                <w:rFonts w:ascii="Times New Roman" w:hAnsi="Times New Roman" w:cs="Times New Roman"/>
                <w:sz w:val="24"/>
                <w:szCs w:val="24"/>
              </w:rPr>
              <w:t>Assesses dose-response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30C76" w:rsidRPr="002870CE" w:rsidRDefault="005C77CF" w:rsidP="00407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0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30C76" w:rsidRPr="002870CE" w:rsidRDefault="00330C76">
      <w:pPr>
        <w:rPr>
          <w:rFonts w:ascii="Times New Roman" w:hAnsi="Times New Roman" w:cs="Times New Roman"/>
          <w:sz w:val="24"/>
          <w:szCs w:val="24"/>
        </w:rPr>
      </w:pPr>
    </w:p>
    <w:sectPr w:rsidR="00330C76" w:rsidRPr="002870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4CCF"/>
    <w:multiLevelType w:val="hybridMultilevel"/>
    <w:tmpl w:val="FFDAEC4C"/>
    <w:lvl w:ilvl="0" w:tplc="C3CC19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C76"/>
    <w:rsid w:val="002870CE"/>
    <w:rsid w:val="00330C76"/>
    <w:rsid w:val="005C77CF"/>
    <w:rsid w:val="007C7B42"/>
    <w:rsid w:val="009B6B6B"/>
    <w:rsid w:val="00C1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0C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0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0C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E986FE4-5D98-4D9B-8740-A6D4774AD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King's College London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Das-Munshi, Jayati</dc:creator>
  <cp:lastModifiedBy>Laia Becares</cp:lastModifiedBy>
  <cp:revision>3</cp:revision>
  <dcterms:created xsi:type="dcterms:W3CDTF">2017-05-24T07:35:00Z</dcterms:created>
  <dcterms:modified xsi:type="dcterms:W3CDTF">2017-05-24T08:15:00Z</dcterms:modified>
</cp:coreProperties>
</file>