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86D1F3" w14:textId="4E756485" w:rsidR="001A61B8" w:rsidRPr="00976656" w:rsidRDefault="00BE5AD9" w:rsidP="003F488C">
      <w:pPr>
        <w:spacing w:after="0" w:line="480" w:lineRule="auto"/>
        <w:rPr>
          <w:rFonts w:ascii="Times New Roman" w:hAnsi="Times New Roman" w:cs="Times New Roman"/>
          <w:sz w:val="24"/>
          <w:szCs w:val="24"/>
        </w:rPr>
      </w:pPr>
      <w:r w:rsidRPr="00976656">
        <w:rPr>
          <w:rFonts w:ascii="Times New Roman" w:hAnsi="Times New Roman" w:cs="Times New Roman"/>
          <w:b/>
          <w:sz w:val="24"/>
          <w:szCs w:val="24"/>
        </w:rPr>
        <w:t>Supplement 2</w:t>
      </w:r>
      <w:r w:rsidR="001A61B8" w:rsidRPr="00976656">
        <w:rPr>
          <w:rFonts w:ascii="Times New Roman" w:hAnsi="Times New Roman" w:cs="Times New Roman"/>
          <w:b/>
          <w:sz w:val="24"/>
          <w:szCs w:val="24"/>
        </w:rPr>
        <w:t xml:space="preserve">. </w:t>
      </w:r>
      <w:r w:rsidR="001A61B8" w:rsidRPr="00976656">
        <w:rPr>
          <w:rFonts w:ascii="Times New Roman" w:hAnsi="Times New Roman" w:cs="Times New Roman"/>
          <w:sz w:val="24"/>
          <w:szCs w:val="24"/>
        </w:rPr>
        <w:t>Detail on the inverse probability weighting (IPW) used to address missing data</w:t>
      </w:r>
    </w:p>
    <w:p w14:paraId="0D313817" w14:textId="1FC06893" w:rsidR="001A61B8" w:rsidRPr="00976656" w:rsidRDefault="001A61B8" w:rsidP="003F488C">
      <w:pPr>
        <w:spacing w:after="0" w:line="480" w:lineRule="auto"/>
        <w:rPr>
          <w:rFonts w:ascii="Times New Roman" w:hAnsi="Times New Roman" w:cs="Times New Roman"/>
          <w:sz w:val="24"/>
          <w:szCs w:val="24"/>
        </w:rPr>
      </w:pPr>
      <w:r w:rsidRPr="00976656">
        <w:rPr>
          <w:rFonts w:ascii="Times New Roman" w:hAnsi="Times New Roman" w:cs="Times New Roman"/>
          <w:sz w:val="24"/>
          <w:szCs w:val="24"/>
        </w:rPr>
        <w:t xml:space="preserve">IPW has been recommended over alternative methods for dealing with missing data (such as multiple imputation) in situations where whole blocks of data are missing for a large proportion of individuals </w:t>
      </w:r>
      <w:r w:rsidRPr="00976656">
        <w:rPr>
          <w:rFonts w:ascii="Times New Roman" w:hAnsi="Times New Roman" w:cs="Times New Roman"/>
          <w:sz w:val="24"/>
          <w:szCs w:val="24"/>
        </w:rPr>
        <w:fldChar w:fldCharType="begin" w:fldLock="1"/>
      </w:r>
      <w:r w:rsidR="004971A4" w:rsidRPr="00976656">
        <w:rPr>
          <w:rFonts w:ascii="Times New Roman" w:hAnsi="Times New Roman" w:cs="Times New Roman"/>
          <w:sz w:val="24"/>
          <w:szCs w:val="24"/>
        </w:rPr>
        <w:instrText>ADDIN CSL_CITATION { "citationItems" : [ { "id" : "ITEM-1", "itemData" : { "DOI" : "10.1111/j.1541-0420.2011.01666.x", "ISBN" : "1541-0420 (Electronic)\\n0006-341X (Linking)", "ISSN" : "0006341X", "PMID" : "22050039", "abstract" : "Two approaches commonly used to deal with missing data are multiple imputation (MI) and inverse-probability weighting (IPW). IPW is also used to adjust for unequal sampling fractions. MI is generally more efficient than IPW but more complex. Whereas IPW requires only a model for the probability that an individual has complete data (a univariate outcome), MI needs a model for the joint distribution of the missing data (a multivariate outcome) given the observed data. Inadequacies in either model may lead to important bias if large amounts of data are missing. A third approach combines MI and IPW to give a doubly robust estimator. A fourth approach (IPW/MI) combines MI and IPW but, unlike doubly robust methods, imputes only isolated missing values and uses weights to account for remaining larger blocks of unimputed missing data, such as would arise, e.g., in a cohort study subject to sample attrition, and/or unequal sampling fractions. In this article, we examine the performance, in terms of bias and efficiency, of IPW/MI relative to MI and IPW alone and investigate whether the Rubin's rules variance estimator is valid for IPW/MI. We prove that the Rubin's rules variance estimator is valid for IPW/MI for linear regression with an imputed outcome, we present simulations supporting the use of this variance estimator in more general settings, and we demonstrate that IPW/MI can have advantages over alternatives. IPW/MI is applied to data from the National Child Development Study.", "author" : [ { "dropping-particle" : "", "family" : "Seaman", "given" : "Shaun R.", "non-dropping-particle" : "", "parse-names" : false, "suffix" : "" }, { "dropping-particle" : "", "family" : "White", "given" : "Ian R.", "non-dropping-particle" : "", "parse-names" : false, "suffix" : "" }, { "dropping-particle" : "", "family" : "Copas", "given" : "Andrew J.", "non-dropping-particle" : "", "parse-names" : false, "suffix" : "" }, { "dropping-particle" : "", "family" : "Li", "given" : "Leah", "non-dropping-particle" : "", "parse-names" : false, "suffix" : "" } ], "container-title" : "Biometrics", "id" : "ITEM-1", "issue" : "1", "issued" : { "date-parts" : [ [ "2012" ] ] }, "page" : "129-137", "title" : "Combining Multiple Imputation and Inverse-Probability Weighting", "type" : "article-journal", "volume" : "68" }, "uris" : [ "http://www.mendeley.com/documents/?uuid=a2add0de-8765-4d56-a2ff-0575bb17012a" ] } ], "mendeley" : { "formattedCitation" : "(Seaman, White, Copas, &amp; Li, 2012)", "manualFormatting" : "(Seaman et al., 2012)", "plainTextFormattedCitation" : "(Seaman, White, Copas, &amp; Li, 2012)", "previouslyFormattedCitation" : "(Seaman, White, Copas, &amp; Li, 2012)" }, "properties" : { "noteIndex" : 0 }, "schema" : "https://github.com/citation-style-language/schema/raw/master/csl-citation.json" }</w:instrText>
      </w:r>
      <w:r w:rsidRPr="00976656">
        <w:rPr>
          <w:rFonts w:ascii="Times New Roman" w:hAnsi="Times New Roman" w:cs="Times New Roman"/>
          <w:sz w:val="24"/>
          <w:szCs w:val="24"/>
        </w:rPr>
        <w:fldChar w:fldCharType="separate"/>
      </w:r>
      <w:r w:rsidR="004971A4" w:rsidRPr="00976656">
        <w:rPr>
          <w:rFonts w:ascii="Times New Roman" w:hAnsi="Times New Roman" w:cs="Times New Roman"/>
          <w:noProof/>
          <w:sz w:val="24"/>
          <w:szCs w:val="24"/>
        </w:rPr>
        <w:t xml:space="preserve">(Seaman </w:t>
      </w:r>
      <w:r w:rsidR="004971A4" w:rsidRPr="00976656">
        <w:rPr>
          <w:rFonts w:ascii="Times New Roman" w:hAnsi="Times New Roman" w:cs="Times New Roman"/>
          <w:i/>
          <w:noProof/>
          <w:sz w:val="24"/>
          <w:szCs w:val="24"/>
        </w:rPr>
        <w:t>et al</w:t>
      </w:r>
      <w:r w:rsidR="004971A4" w:rsidRPr="00976656">
        <w:rPr>
          <w:rFonts w:ascii="Times New Roman" w:hAnsi="Times New Roman" w:cs="Times New Roman"/>
          <w:noProof/>
          <w:sz w:val="24"/>
          <w:szCs w:val="24"/>
        </w:rPr>
        <w:t>.</w:t>
      </w:r>
      <w:r w:rsidRPr="00976656">
        <w:rPr>
          <w:rFonts w:ascii="Times New Roman" w:hAnsi="Times New Roman" w:cs="Times New Roman"/>
          <w:noProof/>
          <w:sz w:val="24"/>
          <w:szCs w:val="24"/>
        </w:rPr>
        <w:t>, 2012)</w:t>
      </w:r>
      <w:r w:rsidRPr="00976656">
        <w:rPr>
          <w:rFonts w:ascii="Times New Roman" w:hAnsi="Times New Roman" w:cs="Times New Roman"/>
          <w:sz w:val="24"/>
          <w:szCs w:val="24"/>
        </w:rPr>
        <w:fldChar w:fldCharType="end"/>
      </w:r>
      <w:r w:rsidRPr="00976656">
        <w:rPr>
          <w:rFonts w:ascii="Times New Roman" w:hAnsi="Times New Roman" w:cs="Times New Roman"/>
          <w:sz w:val="24"/>
          <w:szCs w:val="24"/>
        </w:rPr>
        <w:t xml:space="preserve">. Weights were derived from a logistic regression analysis between a set of measures assessed in pregnancy that were independently predictive of missing data </w:t>
      </w:r>
      <w:bookmarkStart w:id="0" w:name="_GoBack"/>
      <w:bookmarkEnd w:id="0"/>
      <w:r w:rsidRPr="00976656">
        <w:rPr>
          <w:rFonts w:ascii="Times New Roman" w:hAnsi="Times New Roman" w:cs="Times New Roman"/>
          <w:sz w:val="24"/>
          <w:szCs w:val="24"/>
        </w:rPr>
        <w:t xml:space="preserve">and/ or variables in the analysis (maternal smoking in pregnancy, marital status, parity, </w:t>
      </w:r>
      <w:r w:rsidR="00FE6CFD" w:rsidRPr="00976656">
        <w:rPr>
          <w:rFonts w:ascii="Times New Roman" w:hAnsi="Times New Roman" w:cs="Times New Roman"/>
          <w:sz w:val="24"/>
          <w:szCs w:val="24"/>
        </w:rPr>
        <w:t>housing tenure</w:t>
      </w:r>
      <w:r w:rsidRPr="00976656">
        <w:rPr>
          <w:rFonts w:ascii="Times New Roman" w:hAnsi="Times New Roman" w:cs="Times New Roman"/>
          <w:sz w:val="24"/>
          <w:szCs w:val="24"/>
        </w:rPr>
        <w:t xml:space="preserve"> and child gender) and inclusion in the final sample (</w:t>
      </w:r>
      <w:r w:rsidRPr="00976656">
        <w:rPr>
          <w:rFonts w:ascii="Times New Roman" w:hAnsi="Times New Roman" w:cs="Times New Roman"/>
          <w:i/>
          <w:sz w:val="24"/>
          <w:szCs w:val="24"/>
        </w:rPr>
        <w:t xml:space="preserve">N </w:t>
      </w:r>
      <w:r w:rsidR="002E017E" w:rsidRPr="00976656">
        <w:rPr>
          <w:rFonts w:ascii="Times New Roman" w:hAnsi="Times New Roman" w:cs="Times New Roman"/>
          <w:sz w:val="24"/>
          <w:szCs w:val="24"/>
        </w:rPr>
        <w:t>= 4,</w:t>
      </w:r>
      <w:r w:rsidRPr="00976656">
        <w:rPr>
          <w:rFonts w:ascii="Times New Roman" w:hAnsi="Times New Roman" w:cs="Times New Roman"/>
          <w:sz w:val="24"/>
          <w:szCs w:val="24"/>
        </w:rPr>
        <w:t>0</w:t>
      </w:r>
      <w:r w:rsidR="00621173" w:rsidRPr="00976656">
        <w:rPr>
          <w:rFonts w:ascii="Times New Roman" w:hAnsi="Times New Roman" w:cs="Times New Roman"/>
          <w:sz w:val="24"/>
          <w:szCs w:val="24"/>
        </w:rPr>
        <w:t>46</w:t>
      </w:r>
      <w:r w:rsidRPr="00976656">
        <w:rPr>
          <w:rFonts w:ascii="Times New Roman" w:hAnsi="Times New Roman" w:cs="Times New Roman"/>
          <w:sz w:val="24"/>
          <w:szCs w:val="24"/>
        </w:rPr>
        <w:t>/11,015). Minimal missing data on indicators used to derive weights were singly imputed as the modal or mean value (</w:t>
      </w:r>
      <w:r w:rsidR="00FE6CFD" w:rsidRPr="00976656">
        <w:rPr>
          <w:rFonts w:ascii="Times New Roman" w:hAnsi="Times New Roman" w:cs="Times New Roman"/>
          <w:sz w:val="24"/>
          <w:szCs w:val="24"/>
        </w:rPr>
        <w:t>all indicators had &lt; 6</w:t>
      </w:r>
      <w:r w:rsidRPr="00976656">
        <w:rPr>
          <w:rFonts w:ascii="Times New Roman" w:hAnsi="Times New Roman" w:cs="Times New Roman"/>
          <w:sz w:val="24"/>
          <w:szCs w:val="24"/>
        </w:rPr>
        <w:t>% of values missing). The Hosmer-</w:t>
      </w:r>
      <w:proofErr w:type="spellStart"/>
      <w:r w:rsidRPr="00976656">
        <w:rPr>
          <w:rFonts w:ascii="Times New Roman" w:hAnsi="Times New Roman" w:cs="Times New Roman"/>
          <w:sz w:val="24"/>
          <w:szCs w:val="24"/>
        </w:rPr>
        <w:t>Lemeshow</w:t>
      </w:r>
      <w:proofErr w:type="spellEnd"/>
      <w:r w:rsidRPr="00976656">
        <w:rPr>
          <w:rFonts w:ascii="Times New Roman" w:hAnsi="Times New Roman" w:cs="Times New Roman"/>
          <w:sz w:val="24"/>
          <w:szCs w:val="24"/>
        </w:rPr>
        <w:t xml:space="preserve"> test was used assess the fit of the </w:t>
      </w:r>
      <w:proofErr w:type="spellStart"/>
      <w:r w:rsidRPr="00976656">
        <w:rPr>
          <w:rFonts w:ascii="Times New Roman" w:hAnsi="Times New Roman" w:cs="Times New Roman"/>
          <w:sz w:val="24"/>
          <w:szCs w:val="24"/>
        </w:rPr>
        <w:t>missingness</w:t>
      </w:r>
      <w:proofErr w:type="spellEnd"/>
      <w:r w:rsidRPr="00976656">
        <w:rPr>
          <w:rFonts w:ascii="Times New Roman" w:hAnsi="Times New Roman" w:cs="Times New Roman"/>
          <w:sz w:val="24"/>
          <w:szCs w:val="24"/>
        </w:rPr>
        <w:t xml:space="preserve"> model, with results showing no indication of poor fit (Hosmer-</w:t>
      </w:r>
      <w:proofErr w:type="spellStart"/>
      <w:r w:rsidRPr="00976656">
        <w:rPr>
          <w:rFonts w:ascii="Times New Roman" w:hAnsi="Times New Roman" w:cs="Times New Roman"/>
          <w:sz w:val="24"/>
          <w:szCs w:val="24"/>
        </w:rPr>
        <w:t>Lemeshow</w:t>
      </w:r>
      <w:proofErr w:type="spellEnd"/>
      <w:r w:rsidRPr="00976656">
        <w:rPr>
          <w:rFonts w:ascii="Times New Roman" w:hAnsi="Times New Roman" w:cs="Times New Roman"/>
          <w:sz w:val="24"/>
          <w:szCs w:val="24"/>
        </w:rPr>
        <w:t xml:space="preserve"> χ</w:t>
      </w:r>
      <w:r w:rsidRPr="00976656">
        <w:rPr>
          <w:rFonts w:ascii="Times New Roman" w:hAnsi="Times New Roman" w:cs="Times New Roman"/>
          <w:sz w:val="24"/>
          <w:szCs w:val="24"/>
          <w:vertAlign w:val="superscript"/>
        </w:rPr>
        <w:t>2</w:t>
      </w:r>
      <w:r w:rsidRPr="00976656">
        <w:rPr>
          <w:rFonts w:ascii="Times New Roman" w:hAnsi="Times New Roman" w:cs="Times New Roman"/>
          <w:sz w:val="24"/>
          <w:szCs w:val="24"/>
        </w:rPr>
        <w:t xml:space="preserve"> (</w:t>
      </w:r>
      <w:proofErr w:type="spellStart"/>
      <w:proofErr w:type="gramStart"/>
      <w:r w:rsidRPr="00976656">
        <w:rPr>
          <w:rFonts w:ascii="Times New Roman" w:hAnsi="Times New Roman" w:cs="Times New Roman"/>
          <w:sz w:val="24"/>
          <w:szCs w:val="24"/>
        </w:rPr>
        <w:t>df</w:t>
      </w:r>
      <w:proofErr w:type="spellEnd"/>
      <w:proofErr w:type="gramEnd"/>
      <w:r w:rsidRPr="00976656">
        <w:rPr>
          <w:rFonts w:ascii="Times New Roman" w:hAnsi="Times New Roman" w:cs="Times New Roman"/>
          <w:sz w:val="24"/>
          <w:szCs w:val="24"/>
        </w:rPr>
        <w:t xml:space="preserve">) = </w:t>
      </w:r>
      <w:r w:rsidR="00E83B24" w:rsidRPr="00976656">
        <w:rPr>
          <w:rFonts w:ascii="Times New Roman" w:hAnsi="Times New Roman" w:cs="Times New Roman"/>
          <w:sz w:val="24"/>
          <w:szCs w:val="24"/>
        </w:rPr>
        <w:t>3</w:t>
      </w:r>
      <w:r w:rsidRPr="00976656">
        <w:rPr>
          <w:rFonts w:ascii="Times New Roman" w:hAnsi="Times New Roman" w:cs="Times New Roman"/>
          <w:sz w:val="24"/>
          <w:szCs w:val="24"/>
        </w:rPr>
        <w:t>.</w:t>
      </w:r>
      <w:r w:rsidR="00E83B24" w:rsidRPr="00976656">
        <w:rPr>
          <w:rFonts w:ascii="Times New Roman" w:hAnsi="Times New Roman" w:cs="Times New Roman"/>
          <w:sz w:val="24"/>
          <w:szCs w:val="24"/>
        </w:rPr>
        <w:t>01</w:t>
      </w:r>
      <w:r w:rsidRPr="00976656">
        <w:rPr>
          <w:rFonts w:ascii="Times New Roman" w:hAnsi="Times New Roman" w:cs="Times New Roman"/>
          <w:sz w:val="24"/>
          <w:szCs w:val="24"/>
        </w:rPr>
        <w:t xml:space="preserve"> (8); </w:t>
      </w:r>
      <w:r w:rsidRPr="00976656">
        <w:rPr>
          <w:rFonts w:ascii="Times New Roman" w:hAnsi="Times New Roman" w:cs="Times New Roman"/>
          <w:i/>
          <w:sz w:val="24"/>
          <w:szCs w:val="24"/>
        </w:rPr>
        <w:t>p</w:t>
      </w:r>
      <w:r w:rsidRPr="00976656">
        <w:rPr>
          <w:rFonts w:ascii="Times New Roman" w:hAnsi="Times New Roman" w:cs="Times New Roman"/>
          <w:sz w:val="24"/>
          <w:szCs w:val="24"/>
        </w:rPr>
        <w:t xml:space="preserve"> = 0.</w:t>
      </w:r>
      <w:r w:rsidR="00FE6CFD" w:rsidRPr="00976656">
        <w:rPr>
          <w:rFonts w:ascii="Times New Roman" w:hAnsi="Times New Roman" w:cs="Times New Roman"/>
          <w:sz w:val="24"/>
          <w:szCs w:val="24"/>
        </w:rPr>
        <w:t>9</w:t>
      </w:r>
      <w:r w:rsidR="00E83B24" w:rsidRPr="00976656">
        <w:rPr>
          <w:rFonts w:ascii="Times New Roman" w:hAnsi="Times New Roman" w:cs="Times New Roman"/>
          <w:sz w:val="24"/>
          <w:szCs w:val="24"/>
        </w:rPr>
        <w:t>3</w:t>
      </w:r>
      <w:r w:rsidRPr="00976656">
        <w:rPr>
          <w:rFonts w:ascii="Times New Roman" w:hAnsi="Times New Roman" w:cs="Times New Roman"/>
          <w:sz w:val="24"/>
          <w:szCs w:val="24"/>
        </w:rPr>
        <w:t xml:space="preserve">). Weights ranged from </w:t>
      </w:r>
      <w:r w:rsidR="00185CEB" w:rsidRPr="00976656">
        <w:rPr>
          <w:rFonts w:ascii="Times New Roman" w:hAnsi="Times New Roman" w:cs="Times New Roman"/>
          <w:sz w:val="24"/>
          <w:szCs w:val="24"/>
        </w:rPr>
        <w:t>2</w:t>
      </w:r>
      <w:r w:rsidRPr="00976656">
        <w:rPr>
          <w:rFonts w:ascii="Times New Roman" w:hAnsi="Times New Roman" w:cs="Times New Roman"/>
          <w:sz w:val="24"/>
          <w:szCs w:val="24"/>
        </w:rPr>
        <w:t>.</w:t>
      </w:r>
      <w:r w:rsidR="00185CEB" w:rsidRPr="00976656">
        <w:rPr>
          <w:rFonts w:ascii="Times New Roman" w:hAnsi="Times New Roman" w:cs="Times New Roman"/>
          <w:sz w:val="24"/>
          <w:szCs w:val="24"/>
        </w:rPr>
        <w:t>0</w:t>
      </w:r>
      <w:r w:rsidRPr="00976656">
        <w:rPr>
          <w:rFonts w:ascii="Times New Roman" w:hAnsi="Times New Roman" w:cs="Times New Roman"/>
          <w:sz w:val="24"/>
          <w:szCs w:val="24"/>
        </w:rPr>
        <w:t xml:space="preserve"> to </w:t>
      </w:r>
      <w:r w:rsidR="00185CEB" w:rsidRPr="00976656">
        <w:rPr>
          <w:rFonts w:ascii="Times New Roman" w:hAnsi="Times New Roman" w:cs="Times New Roman"/>
          <w:sz w:val="24"/>
          <w:szCs w:val="24"/>
        </w:rPr>
        <w:t>1</w:t>
      </w:r>
      <w:r w:rsidR="00E83B24" w:rsidRPr="00976656">
        <w:rPr>
          <w:rFonts w:ascii="Times New Roman" w:hAnsi="Times New Roman" w:cs="Times New Roman"/>
          <w:sz w:val="24"/>
          <w:szCs w:val="24"/>
        </w:rPr>
        <w:t>2</w:t>
      </w:r>
      <w:r w:rsidRPr="00976656">
        <w:rPr>
          <w:rFonts w:ascii="Times New Roman" w:hAnsi="Times New Roman" w:cs="Times New Roman"/>
          <w:sz w:val="24"/>
          <w:szCs w:val="24"/>
        </w:rPr>
        <w:t>.</w:t>
      </w:r>
      <w:r w:rsidR="000105C5" w:rsidRPr="00976656">
        <w:rPr>
          <w:rFonts w:ascii="Times New Roman" w:hAnsi="Times New Roman" w:cs="Times New Roman"/>
          <w:sz w:val="24"/>
          <w:szCs w:val="24"/>
        </w:rPr>
        <w:t>0</w:t>
      </w:r>
      <w:r w:rsidRPr="00976656">
        <w:rPr>
          <w:rFonts w:ascii="Times New Roman" w:hAnsi="Times New Roman" w:cs="Times New Roman"/>
          <w:sz w:val="24"/>
          <w:szCs w:val="24"/>
        </w:rPr>
        <w:t>.</w:t>
      </w:r>
    </w:p>
    <w:p w14:paraId="3EFDCBB7" w14:textId="5D630ACD" w:rsidR="00F33996" w:rsidRPr="00976656" w:rsidRDefault="001A61B8" w:rsidP="003F488C">
      <w:pPr>
        <w:spacing w:after="0" w:line="480" w:lineRule="auto"/>
        <w:ind w:firstLine="720"/>
        <w:rPr>
          <w:rFonts w:ascii="Times New Roman" w:hAnsi="Times New Roman" w:cs="Times New Roman"/>
          <w:sz w:val="24"/>
          <w:szCs w:val="24"/>
        </w:rPr>
        <w:sectPr w:rsidR="00F33996" w:rsidRPr="00976656" w:rsidSect="00945A92">
          <w:footerReference w:type="default" r:id="rId8"/>
          <w:pgSz w:w="11906" w:h="16838"/>
          <w:pgMar w:top="1440" w:right="1440" w:bottom="1440" w:left="1440" w:header="708" w:footer="708" w:gutter="0"/>
          <w:cols w:space="708"/>
          <w:docGrid w:linePitch="360"/>
        </w:sectPr>
      </w:pPr>
      <w:r w:rsidRPr="00976656">
        <w:rPr>
          <w:rFonts w:ascii="Times New Roman" w:hAnsi="Times New Roman" w:cs="Times New Roman"/>
          <w:sz w:val="24"/>
          <w:szCs w:val="24"/>
        </w:rPr>
        <w:t xml:space="preserve">The </w:t>
      </w:r>
      <w:r w:rsidR="00286778" w:rsidRPr="00976656">
        <w:rPr>
          <w:rFonts w:ascii="Times New Roman" w:hAnsi="Times New Roman" w:cs="Times New Roman"/>
          <w:sz w:val="24"/>
          <w:szCs w:val="24"/>
        </w:rPr>
        <w:t>fully-</w:t>
      </w:r>
      <w:r w:rsidR="00593878" w:rsidRPr="00976656">
        <w:rPr>
          <w:rFonts w:ascii="Times New Roman" w:hAnsi="Times New Roman" w:cs="Times New Roman"/>
          <w:sz w:val="24"/>
          <w:szCs w:val="24"/>
        </w:rPr>
        <w:t xml:space="preserve">adjusted </w:t>
      </w:r>
      <w:r w:rsidR="00BD0686" w:rsidRPr="00976656">
        <w:rPr>
          <w:rFonts w:ascii="Times New Roman" w:hAnsi="Times New Roman" w:cs="Times New Roman"/>
          <w:sz w:val="24"/>
          <w:szCs w:val="24"/>
        </w:rPr>
        <w:t>mediation</w:t>
      </w:r>
      <w:r w:rsidRPr="00976656">
        <w:rPr>
          <w:rFonts w:ascii="Times New Roman" w:hAnsi="Times New Roman" w:cs="Times New Roman"/>
          <w:sz w:val="24"/>
          <w:szCs w:val="24"/>
        </w:rPr>
        <w:t xml:space="preserve"> model was rerun using inverse probability weighting to address any potential bias caused by participant drop-out. Weighted estimates </w:t>
      </w:r>
      <w:r w:rsidR="00286778" w:rsidRPr="00976656">
        <w:rPr>
          <w:rFonts w:ascii="Times New Roman" w:hAnsi="Times New Roman" w:cs="Times New Roman"/>
          <w:sz w:val="24"/>
          <w:szCs w:val="24"/>
        </w:rPr>
        <w:t xml:space="preserve">(shown in S2 Table 1) </w:t>
      </w:r>
      <w:r w:rsidRPr="00976656">
        <w:rPr>
          <w:rFonts w:ascii="Times New Roman" w:hAnsi="Times New Roman" w:cs="Times New Roman"/>
          <w:sz w:val="24"/>
          <w:szCs w:val="24"/>
        </w:rPr>
        <w:t>were similar</w:t>
      </w:r>
      <w:r w:rsidR="00286778" w:rsidRPr="00976656">
        <w:rPr>
          <w:rFonts w:ascii="Times New Roman" w:hAnsi="Times New Roman" w:cs="Times New Roman"/>
          <w:sz w:val="24"/>
          <w:szCs w:val="24"/>
        </w:rPr>
        <w:t xml:space="preserve"> to unweighted estimates.</w:t>
      </w:r>
    </w:p>
    <w:p w14:paraId="69CA9A84" w14:textId="5648A12E" w:rsidR="00430995" w:rsidRPr="00976656" w:rsidRDefault="00430995" w:rsidP="00430995">
      <w:pPr>
        <w:spacing w:before="240" w:line="480" w:lineRule="auto"/>
        <w:rPr>
          <w:rFonts w:ascii="Times New Roman" w:hAnsi="Times New Roman" w:cs="Times New Roman"/>
          <w:sz w:val="24"/>
          <w:szCs w:val="24"/>
          <w:shd w:val="clear" w:color="auto" w:fill="FFFFFF"/>
        </w:rPr>
      </w:pPr>
      <w:r w:rsidRPr="00976656">
        <w:rPr>
          <w:rFonts w:ascii="Times New Roman" w:hAnsi="Times New Roman" w:cs="Times New Roman"/>
          <w:b/>
          <w:sz w:val="24"/>
          <w:szCs w:val="24"/>
        </w:rPr>
        <w:lastRenderedPageBreak/>
        <w:t xml:space="preserve">S2 Table 1. </w:t>
      </w:r>
      <w:r w:rsidRPr="00976656">
        <w:rPr>
          <w:rFonts w:ascii="Times New Roman" w:hAnsi="Times New Roman" w:cs="Times New Roman"/>
          <w:sz w:val="24"/>
          <w:szCs w:val="24"/>
        </w:rPr>
        <w:t>Comparison of w</w:t>
      </w:r>
      <w:r w:rsidRPr="00976656">
        <w:rPr>
          <w:rFonts w:ascii="Times New Roman" w:hAnsi="Times New Roman" w:cs="Times New Roman"/>
          <w:sz w:val="24"/>
          <w:szCs w:val="24"/>
          <w:shd w:val="clear" w:color="auto" w:fill="FFFFFF"/>
        </w:rPr>
        <w:t>eighted (from IPW analyses) and unweighted estimates for t</w:t>
      </w:r>
      <w:r w:rsidRPr="00976656">
        <w:rPr>
          <w:rFonts w:ascii="Times New Roman" w:hAnsi="Times New Roman" w:cs="Times New Roman"/>
          <w:sz w:val="24"/>
          <w:szCs w:val="24"/>
        </w:rPr>
        <w:t xml:space="preserve">otal, direct and indirect effects of RHR on ASB growth factors; </w:t>
      </w:r>
      <w:r w:rsidRPr="00976656">
        <w:rPr>
          <w:rFonts w:ascii="Times New Roman" w:hAnsi="Times New Roman" w:cs="Times New Roman"/>
          <w:sz w:val="24"/>
          <w:szCs w:val="24"/>
          <w:shd w:val="clear" w:color="auto" w:fill="FFFFFF"/>
        </w:rPr>
        <w:t xml:space="preserve">showing </w:t>
      </w:r>
      <w:proofErr w:type="spellStart"/>
      <w:r w:rsidRPr="00976656">
        <w:rPr>
          <w:rFonts w:ascii="Times New Roman" w:hAnsi="Times New Roman" w:cs="Times New Roman"/>
          <w:sz w:val="24"/>
          <w:szCs w:val="24"/>
          <w:shd w:val="clear" w:color="auto" w:fill="FFFFFF"/>
        </w:rPr>
        <w:t>unstandardised</w:t>
      </w:r>
      <w:proofErr w:type="spellEnd"/>
      <w:r w:rsidRPr="00976656">
        <w:rPr>
          <w:rFonts w:ascii="Times New Roman" w:hAnsi="Times New Roman" w:cs="Times New Roman"/>
          <w:sz w:val="24"/>
          <w:szCs w:val="24"/>
          <w:shd w:val="clear" w:color="auto" w:fill="FFFFFF"/>
        </w:rPr>
        <w:t xml:space="preserve"> coefficient (95% confidence intervals)</w:t>
      </w:r>
      <w:r w:rsidRPr="00976656">
        <w:rPr>
          <w:rFonts w:ascii="Times New Roman" w:hAnsi="Times New Roman" w:cs="Times New Roman"/>
          <w:sz w:val="24"/>
          <w:szCs w:val="24"/>
        </w:rPr>
        <w:t xml:space="preserve">; </w:t>
      </w:r>
      <w:r w:rsidRPr="00976656">
        <w:rPr>
          <w:rFonts w:ascii="Times New Roman" w:hAnsi="Times New Roman" w:cs="Times New Roman"/>
          <w:i/>
          <w:sz w:val="24"/>
          <w:szCs w:val="24"/>
          <w:shd w:val="clear" w:color="auto" w:fill="FFFFFF"/>
        </w:rPr>
        <w:t xml:space="preserve">N </w:t>
      </w:r>
      <w:r w:rsidRPr="00976656">
        <w:rPr>
          <w:rFonts w:ascii="Times New Roman" w:hAnsi="Times New Roman" w:cs="Times New Roman"/>
          <w:sz w:val="24"/>
          <w:szCs w:val="24"/>
          <w:shd w:val="clear" w:color="auto" w:fill="FFFFFF"/>
        </w:rPr>
        <w:t>= 4,046</w:t>
      </w:r>
    </w:p>
    <w:tbl>
      <w:tblPr>
        <w:tblStyle w:val="PlainTable51"/>
        <w:tblW w:w="14365" w:type="dxa"/>
        <w:tblLook w:val="04A0" w:firstRow="1" w:lastRow="0" w:firstColumn="1" w:lastColumn="0" w:noHBand="0" w:noVBand="1"/>
      </w:tblPr>
      <w:tblGrid>
        <w:gridCol w:w="2251"/>
        <w:gridCol w:w="1976"/>
        <w:gridCol w:w="1976"/>
        <w:gridCol w:w="2086"/>
        <w:gridCol w:w="2123"/>
        <w:gridCol w:w="1940"/>
        <w:gridCol w:w="2013"/>
      </w:tblGrid>
      <w:tr w:rsidR="00976656" w:rsidRPr="00976656" w14:paraId="33C24639" w14:textId="77777777" w:rsidTr="001136F1">
        <w:trPr>
          <w:cnfStyle w:val="100000000000" w:firstRow="1" w:lastRow="0" w:firstColumn="0" w:lastColumn="0" w:oddVBand="0" w:evenVBand="0" w:oddHBand="0" w:evenHBand="0" w:firstRowFirstColumn="0" w:firstRowLastColumn="0" w:lastRowFirstColumn="0" w:lastRowLastColumn="0"/>
          <w:trHeight w:val="510"/>
        </w:trPr>
        <w:tc>
          <w:tcPr>
            <w:cnfStyle w:val="001000000100" w:firstRow="0" w:lastRow="0" w:firstColumn="1" w:lastColumn="0" w:oddVBand="0" w:evenVBand="0" w:oddHBand="0" w:evenHBand="0" w:firstRowFirstColumn="1" w:firstRowLastColumn="0" w:lastRowFirstColumn="0" w:lastRowLastColumn="0"/>
            <w:tcW w:w="2251" w:type="dxa"/>
            <w:tcBorders>
              <w:top w:val="double" w:sz="4" w:space="0" w:color="auto"/>
              <w:bottom w:val="single" w:sz="4" w:space="0" w:color="FFFFFF" w:themeColor="background1"/>
              <w:right w:val="single" w:sz="4" w:space="0" w:color="auto"/>
            </w:tcBorders>
            <w:shd w:val="clear" w:color="auto" w:fill="auto"/>
          </w:tcPr>
          <w:p w14:paraId="4907AC6E" w14:textId="77777777" w:rsidR="00430995" w:rsidRPr="00976656" w:rsidRDefault="00430995" w:rsidP="00F62A70">
            <w:pPr>
              <w:spacing w:line="480" w:lineRule="auto"/>
              <w:rPr>
                <w:rFonts w:ascii="Times New Roman" w:hAnsi="Times New Roman" w:cs="Times New Roman"/>
                <w:sz w:val="22"/>
              </w:rPr>
            </w:pPr>
          </w:p>
        </w:tc>
        <w:tc>
          <w:tcPr>
            <w:tcW w:w="6038" w:type="dxa"/>
            <w:gridSpan w:val="3"/>
            <w:tcBorders>
              <w:top w:val="double" w:sz="4" w:space="0" w:color="auto"/>
              <w:bottom w:val="single" w:sz="4" w:space="0" w:color="auto"/>
              <w:right w:val="single" w:sz="4" w:space="0" w:color="auto"/>
            </w:tcBorders>
            <w:shd w:val="clear" w:color="auto" w:fill="auto"/>
          </w:tcPr>
          <w:p w14:paraId="466ED446" w14:textId="59CD3A7C" w:rsidR="00430995" w:rsidRPr="00976656" w:rsidRDefault="00430995" w:rsidP="00F62A70">
            <w:pPr>
              <w:spacing w:line="48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i w:val="0"/>
                <w:iCs w:val="0"/>
                <w:sz w:val="22"/>
              </w:rPr>
            </w:pPr>
            <w:r w:rsidRPr="00976656">
              <w:rPr>
                <w:rFonts w:ascii="Times New Roman" w:hAnsi="Times New Roman" w:cs="Times New Roman"/>
                <w:i w:val="0"/>
                <w:sz w:val="22"/>
              </w:rPr>
              <w:t>Weighted estimates</w:t>
            </w:r>
          </w:p>
        </w:tc>
        <w:tc>
          <w:tcPr>
            <w:tcW w:w="6076" w:type="dxa"/>
            <w:gridSpan w:val="3"/>
            <w:tcBorders>
              <w:top w:val="double" w:sz="4" w:space="0" w:color="auto"/>
              <w:left w:val="single" w:sz="4" w:space="0" w:color="auto"/>
              <w:bottom w:val="single" w:sz="4" w:space="0" w:color="auto"/>
            </w:tcBorders>
            <w:shd w:val="clear" w:color="auto" w:fill="auto"/>
          </w:tcPr>
          <w:p w14:paraId="24D252E1" w14:textId="33913ECC" w:rsidR="00430995" w:rsidRPr="00976656" w:rsidRDefault="00430995" w:rsidP="00F62A70">
            <w:pPr>
              <w:spacing w:line="48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2"/>
              </w:rPr>
            </w:pPr>
            <w:r w:rsidRPr="00976656">
              <w:rPr>
                <w:rFonts w:ascii="Times New Roman" w:hAnsi="Times New Roman" w:cs="Times New Roman"/>
                <w:i w:val="0"/>
                <w:sz w:val="22"/>
              </w:rPr>
              <w:t>Unweighted estimates</w:t>
            </w:r>
          </w:p>
        </w:tc>
      </w:tr>
      <w:tr w:rsidR="00976656" w:rsidRPr="00976656" w14:paraId="222C0887" w14:textId="77777777" w:rsidTr="001136F1">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251" w:type="dxa"/>
            <w:tcBorders>
              <w:top w:val="single" w:sz="4" w:space="0" w:color="FFFFFF" w:themeColor="background1"/>
              <w:bottom w:val="single" w:sz="4" w:space="0" w:color="FFFFFF" w:themeColor="background1"/>
              <w:right w:val="single" w:sz="4" w:space="0" w:color="auto"/>
            </w:tcBorders>
            <w:shd w:val="clear" w:color="auto" w:fill="auto"/>
          </w:tcPr>
          <w:p w14:paraId="3F0CD34C" w14:textId="77777777" w:rsidR="00430995" w:rsidRPr="00976656" w:rsidRDefault="00430995" w:rsidP="00F62A70">
            <w:pPr>
              <w:spacing w:line="480" w:lineRule="auto"/>
              <w:rPr>
                <w:rFonts w:ascii="Times New Roman" w:hAnsi="Times New Roman" w:cs="Times New Roman"/>
                <w:sz w:val="22"/>
              </w:rPr>
            </w:pPr>
          </w:p>
        </w:tc>
        <w:tc>
          <w:tcPr>
            <w:tcW w:w="1976" w:type="dxa"/>
            <w:tcBorders>
              <w:top w:val="single" w:sz="4" w:space="0" w:color="auto"/>
              <w:bottom w:val="single" w:sz="4" w:space="0" w:color="auto"/>
            </w:tcBorders>
            <w:shd w:val="clear" w:color="auto" w:fill="auto"/>
          </w:tcPr>
          <w:p w14:paraId="6A12D53C" w14:textId="77777777" w:rsidR="00430995" w:rsidRPr="00976656" w:rsidRDefault="00430995" w:rsidP="00F62A70">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976656">
              <w:rPr>
                <w:rFonts w:ascii="Times New Roman" w:hAnsi="Times New Roman" w:cs="Times New Roman"/>
              </w:rPr>
              <w:t>ASB intercept</w:t>
            </w:r>
          </w:p>
        </w:tc>
        <w:tc>
          <w:tcPr>
            <w:tcW w:w="1976" w:type="dxa"/>
            <w:tcBorders>
              <w:top w:val="single" w:sz="4" w:space="0" w:color="auto"/>
              <w:bottom w:val="single" w:sz="4" w:space="0" w:color="auto"/>
            </w:tcBorders>
            <w:shd w:val="clear" w:color="auto" w:fill="auto"/>
          </w:tcPr>
          <w:p w14:paraId="6F8B5BB3" w14:textId="77777777" w:rsidR="00430995" w:rsidRPr="00976656" w:rsidRDefault="00430995" w:rsidP="00F62A70">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976656">
              <w:rPr>
                <w:rFonts w:ascii="Times New Roman" w:hAnsi="Times New Roman" w:cs="Times New Roman"/>
              </w:rPr>
              <w:t>ASB half-life</w:t>
            </w:r>
          </w:p>
        </w:tc>
        <w:tc>
          <w:tcPr>
            <w:tcW w:w="2086" w:type="dxa"/>
            <w:tcBorders>
              <w:top w:val="single" w:sz="4" w:space="0" w:color="auto"/>
              <w:bottom w:val="single" w:sz="4" w:space="0" w:color="auto"/>
              <w:right w:val="single" w:sz="4" w:space="0" w:color="auto"/>
            </w:tcBorders>
            <w:shd w:val="clear" w:color="auto" w:fill="auto"/>
          </w:tcPr>
          <w:p w14:paraId="5049DA5D" w14:textId="77777777" w:rsidR="00430995" w:rsidRPr="00976656" w:rsidRDefault="00430995" w:rsidP="00F62A70">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976656">
              <w:rPr>
                <w:rFonts w:ascii="Times New Roman" w:hAnsi="Times New Roman" w:cs="Times New Roman"/>
              </w:rPr>
              <w:t>ASB asymptote</w:t>
            </w:r>
          </w:p>
        </w:tc>
        <w:tc>
          <w:tcPr>
            <w:tcW w:w="2123" w:type="dxa"/>
            <w:tcBorders>
              <w:top w:val="single" w:sz="4" w:space="0" w:color="auto"/>
              <w:left w:val="single" w:sz="4" w:space="0" w:color="auto"/>
              <w:bottom w:val="single" w:sz="4" w:space="0" w:color="auto"/>
            </w:tcBorders>
            <w:shd w:val="clear" w:color="auto" w:fill="auto"/>
          </w:tcPr>
          <w:p w14:paraId="3C4AF0D6" w14:textId="77777777" w:rsidR="00430995" w:rsidRPr="00976656" w:rsidRDefault="00430995" w:rsidP="00F62A70">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976656">
              <w:rPr>
                <w:rFonts w:ascii="Times New Roman" w:hAnsi="Times New Roman" w:cs="Times New Roman"/>
              </w:rPr>
              <w:t>ASB intercept</w:t>
            </w:r>
          </w:p>
        </w:tc>
        <w:tc>
          <w:tcPr>
            <w:tcW w:w="1940" w:type="dxa"/>
            <w:tcBorders>
              <w:top w:val="single" w:sz="4" w:space="0" w:color="auto"/>
              <w:bottom w:val="single" w:sz="4" w:space="0" w:color="auto"/>
            </w:tcBorders>
            <w:shd w:val="clear" w:color="auto" w:fill="auto"/>
          </w:tcPr>
          <w:p w14:paraId="22060D6C" w14:textId="77777777" w:rsidR="00430995" w:rsidRPr="00976656" w:rsidRDefault="00430995" w:rsidP="00F62A70">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976656">
              <w:rPr>
                <w:rFonts w:ascii="Times New Roman" w:hAnsi="Times New Roman" w:cs="Times New Roman"/>
              </w:rPr>
              <w:t>ASB half-life</w:t>
            </w:r>
          </w:p>
        </w:tc>
        <w:tc>
          <w:tcPr>
            <w:tcW w:w="2013" w:type="dxa"/>
            <w:tcBorders>
              <w:top w:val="single" w:sz="4" w:space="0" w:color="auto"/>
              <w:bottom w:val="single" w:sz="4" w:space="0" w:color="auto"/>
            </w:tcBorders>
            <w:shd w:val="clear" w:color="auto" w:fill="auto"/>
          </w:tcPr>
          <w:p w14:paraId="5D3DAD3E" w14:textId="77777777" w:rsidR="00430995" w:rsidRPr="00976656" w:rsidRDefault="00430995" w:rsidP="00F62A70">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976656">
              <w:rPr>
                <w:rFonts w:ascii="Times New Roman" w:hAnsi="Times New Roman" w:cs="Times New Roman"/>
              </w:rPr>
              <w:t>ASB asymptote</w:t>
            </w:r>
          </w:p>
        </w:tc>
      </w:tr>
      <w:tr w:rsidR="00976656" w:rsidRPr="00976656" w14:paraId="0FE253CB" w14:textId="77777777" w:rsidTr="001136F1">
        <w:trPr>
          <w:trHeight w:val="510"/>
        </w:trPr>
        <w:tc>
          <w:tcPr>
            <w:cnfStyle w:val="001000000000" w:firstRow="0" w:lastRow="0" w:firstColumn="1" w:lastColumn="0" w:oddVBand="0" w:evenVBand="0" w:oddHBand="0" w:evenHBand="0" w:firstRowFirstColumn="0" w:firstRowLastColumn="0" w:lastRowFirstColumn="0" w:lastRowLastColumn="0"/>
            <w:tcW w:w="2251" w:type="dxa"/>
            <w:tcBorders>
              <w:top w:val="single" w:sz="4" w:space="0" w:color="auto"/>
            </w:tcBorders>
            <w:shd w:val="clear" w:color="auto" w:fill="auto"/>
          </w:tcPr>
          <w:p w14:paraId="0E4FF731" w14:textId="77777777" w:rsidR="00095BB8" w:rsidRPr="00976656" w:rsidRDefault="00095BB8" w:rsidP="00095BB8">
            <w:pPr>
              <w:spacing w:line="480" w:lineRule="auto"/>
              <w:rPr>
                <w:rFonts w:ascii="Times New Roman" w:hAnsi="Times New Roman" w:cs="Times New Roman"/>
                <w:i w:val="0"/>
                <w:sz w:val="22"/>
              </w:rPr>
            </w:pPr>
            <w:r w:rsidRPr="00976656">
              <w:rPr>
                <w:rFonts w:ascii="Times New Roman" w:hAnsi="Times New Roman" w:cs="Times New Roman"/>
                <w:i w:val="0"/>
                <w:sz w:val="22"/>
              </w:rPr>
              <w:t>Total effect</w:t>
            </w:r>
          </w:p>
        </w:tc>
        <w:tc>
          <w:tcPr>
            <w:tcW w:w="1976" w:type="dxa"/>
            <w:tcBorders>
              <w:top w:val="single" w:sz="4" w:space="0" w:color="auto"/>
              <w:left w:val="single" w:sz="4" w:space="0" w:color="auto"/>
            </w:tcBorders>
            <w:shd w:val="clear" w:color="auto" w:fill="auto"/>
          </w:tcPr>
          <w:p w14:paraId="2CCAC59B" w14:textId="335A93C4" w:rsidR="00095BB8" w:rsidRPr="00976656" w:rsidRDefault="00095BB8" w:rsidP="00095BB8">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976656">
              <w:rPr>
                <w:rFonts w:ascii="Times New Roman" w:hAnsi="Times New Roman" w:cs="Times New Roman"/>
              </w:rPr>
              <w:t>-0.01 (-0.07, 0.05)</w:t>
            </w:r>
          </w:p>
        </w:tc>
        <w:tc>
          <w:tcPr>
            <w:tcW w:w="1976" w:type="dxa"/>
            <w:tcBorders>
              <w:top w:val="single" w:sz="4" w:space="0" w:color="auto"/>
            </w:tcBorders>
            <w:shd w:val="clear" w:color="auto" w:fill="auto"/>
          </w:tcPr>
          <w:p w14:paraId="7A0B84A0" w14:textId="6C124448" w:rsidR="00095BB8" w:rsidRPr="00976656" w:rsidRDefault="00095BB8" w:rsidP="00095BB8">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976656">
              <w:rPr>
                <w:rFonts w:ascii="Times New Roman" w:hAnsi="Times New Roman" w:cs="Times New Roman"/>
              </w:rPr>
              <w:t>-0.05 (-0.36, 0.26)</w:t>
            </w:r>
          </w:p>
        </w:tc>
        <w:tc>
          <w:tcPr>
            <w:tcW w:w="2086" w:type="dxa"/>
            <w:tcBorders>
              <w:top w:val="single" w:sz="4" w:space="0" w:color="auto"/>
              <w:right w:val="single" w:sz="4" w:space="0" w:color="auto"/>
            </w:tcBorders>
            <w:shd w:val="clear" w:color="auto" w:fill="auto"/>
          </w:tcPr>
          <w:p w14:paraId="26EBEC9B" w14:textId="3C8612EC" w:rsidR="00095BB8" w:rsidRPr="00976656" w:rsidRDefault="00095BB8" w:rsidP="00095BB8">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976656">
              <w:rPr>
                <w:rFonts w:ascii="Times New Roman" w:hAnsi="Times New Roman" w:cs="Times New Roman"/>
              </w:rPr>
              <w:t>0.003 (-0.06, 0.06)</w:t>
            </w:r>
          </w:p>
        </w:tc>
        <w:tc>
          <w:tcPr>
            <w:tcW w:w="2123" w:type="dxa"/>
            <w:tcBorders>
              <w:top w:val="single" w:sz="4" w:space="0" w:color="auto"/>
              <w:left w:val="single" w:sz="4" w:space="0" w:color="auto"/>
            </w:tcBorders>
            <w:shd w:val="clear" w:color="auto" w:fill="auto"/>
          </w:tcPr>
          <w:p w14:paraId="43E0C129" w14:textId="77777777" w:rsidR="00095BB8" w:rsidRPr="00976656" w:rsidRDefault="00095BB8" w:rsidP="00095BB8">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976656">
              <w:rPr>
                <w:rFonts w:ascii="Times New Roman" w:hAnsi="Times New Roman" w:cs="Times New Roman"/>
              </w:rPr>
              <w:t>-0.01 (-0.05, 0.04)</w:t>
            </w:r>
          </w:p>
        </w:tc>
        <w:tc>
          <w:tcPr>
            <w:tcW w:w="1940" w:type="dxa"/>
            <w:tcBorders>
              <w:top w:val="single" w:sz="4" w:space="0" w:color="auto"/>
            </w:tcBorders>
            <w:shd w:val="clear" w:color="auto" w:fill="auto"/>
          </w:tcPr>
          <w:p w14:paraId="205F2D58" w14:textId="77777777" w:rsidR="00095BB8" w:rsidRPr="00976656" w:rsidRDefault="00095BB8" w:rsidP="00095BB8">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976656">
              <w:rPr>
                <w:rFonts w:ascii="Times New Roman" w:hAnsi="Times New Roman" w:cs="Times New Roman"/>
              </w:rPr>
              <w:t>-0.05 (-0.35, 0.25)</w:t>
            </w:r>
          </w:p>
        </w:tc>
        <w:tc>
          <w:tcPr>
            <w:tcW w:w="2013" w:type="dxa"/>
            <w:tcBorders>
              <w:top w:val="single" w:sz="4" w:space="0" w:color="auto"/>
            </w:tcBorders>
            <w:shd w:val="clear" w:color="auto" w:fill="auto"/>
          </w:tcPr>
          <w:p w14:paraId="7E5B4E93" w14:textId="77777777" w:rsidR="00095BB8" w:rsidRPr="00976656" w:rsidRDefault="00095BB8" w:rsidP="00095BB8">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976656">
              <w:rPr>
                <w:rFonts w:ascii="Times New Roman" w:hAnsi="Times New Roman" w:cs="Times New Roman"/>
              </w:rPr>
              <w:t>0.00 (-0.05, 0.05)</w:t>
            </w:r>
          </w:p>
        </w:tc>
      </w:tr>
      <w:tr w:rsidR="00976656" w:rsidRPr="00976656" w14:paraId="53885934" w14:textId="77777777" w:rsidTr="001136F1">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251" w:type="dxa"/>
            <w:shd w:val="clear" w:color="auto" w:fill="auto"/>
          </w:tcPr>
          <w:p w14:paraId="78B545EB" w14:textId="77777777" w:rsidR="00095BB8" w:rsidRPr="00976656" w:rsidRDefault="00095BB8" w:rsidP="00095BB8">
            <w:pPr>
              <w:spacing w:line="480" w:lineRule="auto"/>
              <w:rPr>
                <w:rFonts w:ascii="Times New Roman" w:hAnsi="Times New Roman" w:cs="Times New Roman"/>
                <w:i w:val="0"/>
                <w:sz w:val="22"/>
              </w:rPr>
            </w:pPr>
            <w:r w:rsidRPr="00976656">
              <w:rPr>
                <w:rFonts w:ascii="Times New Roman" w:hAnsi="Times New Roman" w:cs="Times New Roman"/>
                <w:i w:val="0"/>
                <w:sz w:val="22"/>
              </w:rPr>
              <w:t>Indirect effect via SS</w:t>
            </w:r>
          </w:p>
        </w:tc>
        <w:tc>
          <w:tcPr>
            <w:tcW w:w="1976" w:type="dxa"/>
            <w:tcBorders>
              <w:left w:val="single" w:sz="4" w:space="0" w:color="auto"/>
            </w:tcBorders>
            <w:shd w:val="clear" w:color="auto" w:fill="auto"/>
          </w:tcPr>
          <w:p w14:paraId="5D484AE5" w14:textId="51A0EDB4" w:rsidR="00095BB8" w:rsidRPr="00976656" w:rsidRDefault="00095BB8" w:rsidP="00095BB8">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976656">
              <w:rPr>
                <w:rFonts w:ascii="Times New Roman" w:hAnsi="Times New Roman" w:cs="Times New Roman"/>
              </w:rPr>
              <w:t>-0.01 (-0.02, 0.00)</w:t>
            </w:r>
          </w:p>
        </w:tc>
        <w:tc>
          <w:tcPr>
            <w:tcW w:w="1976" w:type="dxa"/>
            <w:shd w:val="clear" w:color="auto" w:fill="auto"/>
          </w:tcPr>
          <w:p w14:paraId="396E1D37" w14:textId="5AE1BB7E" w:rsidR="00095BB8" w:rsidRPr="00976656" w:rsidRDefault="00095BB8" w:rsidP="00095BB8">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976656">
              <w:rPr>
                <w:rFonts w:ascii="Times New Roman" w:hAnsi="Times New Roman" w:cs="Times New Roman"/>
              </w:rPr>
              <w:t>0.01 (-0.01, 0.03)</w:t>
            </w:r>
          </w:p>
        </w:tc>
        <w:tc>
          <w:tcPr>
            <w:tcW w:w="2086" w:type="dxa"/>
            <w:tcBorders>
              <w:right w:val="single" w:sz="4" w:space="0" w:color="auto"/>
            </w:tcBorders>
            <w:shd w:val="clear" w:color="auto" w:fill="auto"/>
          </w:tcPr>
          <w:p w14:paraId="5063A1A5" w14:textId="74D63F27" w:rsidR="00095BB8" w:rsidRPr="00976656" w:rsidRDefault="00095BB8" w:rsidP="00095BB8">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976656">
              <w:rPr>
                <w:rFonts w:ascii="Times New Roman" w:hAnsi="Times New Roman" w:cs="Times New Roman"/>
              </w:rPr>
              <w:t>-0.003 (-0.01, 0.00)</w:t>
            </w:r>
          </w:p>
        </w:tc>
        <w:tc>
          <w:tcPr>
            <w:tcW w:w="2123" w:type="dxa"/>
            <w:tcBorders>
              <w:left w:val="single" w:sz="4" w:space="0" w:color="auto"/>
            </w:tcBorders>
            <w:shd w:val="clear" w:color="auto" w:fill="auto"/>
          </w:tcPr>
          <w:p w14:paraId="193D088A" w14:textId="77777777" w:rsidR="00095BB8" w:rsidRPr="00976656" w:rsidRDefault="00095BB8" w:rsidP="00095BB8">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976656">
              <w:rPr>
                <w:rFonts w:ascii="Times New Roman" w:hAnsi="Times New Roman" w:cs="Times New Roman"/>
              </w:rPr>
              <w:t>-0.01 (-0.03, -0.003)</w:t>
            </w:r>
          </w:p>
        </w:tc>
        <w:tc>
          <w:tcPr>
            <w:tcW w:w="1940" w:type="dxa"/>
            <w:shd w:val="clear" w:color="auto" w:fill="auto"/>
          </w:tcPr>
          <w:p w14:paraId="557D688E" w14:textId="77777777" w:rsidR="00095BB8" w:rsidRPr="00976656" w:rsidRDefault="00095BB8" w:rsidP="00095BB8">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976656">
              <w:rPr>
                <w:rFonts w:ascii="Times New Roman" w:hAnsi="Times New Roman" w:cs="Times New Roman"/>
              </w:rPr>
              <w:t>0.02 (-0.01, 0.05)</w:t>
            </w:r>
          </w:p>
        </w:tc>
        <w:tc>
          <w:tcPr>
            <w:tcW w:w="2013" w:type="dxa"/>
            <w:shd w:val="clear" w:color="auto" w:fill="auto"/>
          </w:tcPr>
          <w:p w14:paraId="4720E1EF" w14:textId="77777777" w:rsidR="00095BB8" w:rsidRPr="00976656" w:rsidRDefault="00095BB8" w:rsidP="00095BB8">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976656">
              <w:rPr>
                <w:rFonts w:ascii="Times New Roman" w:hAnsi="Times New Roman" w:cs="Times New Roman"/>
              </w:rPr>
              <w:t>-0.01 (-0.01, -0.00)</w:t>
            </w:r>
          </w:p>
        </w:tc>
      </w:tr>
      <w:tr w:rsidR="00976656" w:rsidRPr="00976656" w14:paraId="453B31A7" w14:textId="77777777" w:rsidTr="001136F1">
        <w:trPr>
          <w:trHeight w:val="510"/>
        </w:trPr>
        <w:tc>
          <w:tcPr>
            <w:cnfStyle w:val="001000000000" w:firstRow="0" w:lastRow="0" w:firstColumn="1" w:lastColumn="0" w:oddVBand="0" w:evenVBand="0" w:oddHBand="0" w:evenHBand="0" w:firstRowFirstColumn="0" w:firstRowLastColumn="0" w:lastRowFirstColumn="0" w:lastRowLastColumn="0"/>
            <w:tcW w:w="2251" w:type="dxa"/>
            <w:shd w:val="clear" w:color="auto" w:fill="auto"/>
          </w:tcPr>
          <w:p w14:paraId="30D2EF64" w14:textId="77777777" w:rsidR="00095BB8" w:rsidRPr="00976656" w:rsidRDefault="00095BB8" w:rsidP="00095BB8">
            <w:pPr>
              <w:spacing w:line="480" w:lineRule="auto"/>
              <w:rPr>
                <w:rFonts w:ascii="Times New Roman" w:hAnsi="Times New Roman" w:cs="Times New Roman"/>
                <w:i w:val="0"/>
                <w:sz w:val="22"/>
              </w:rPr>
            </w:pPr>
            <w:r w:rsidRPr="00976656">
              <w:rPr>
                <w:rFonts w:ascii="Times New Roman" w:hAnsi="Times New Roman" w:cs="Times New Roman"/>
                <w:i w:val="0"/>
                <w:sz w:val="22"/>
              </w:rPr>
              <w:t>Indirect effect via CU</w:t>
            </w:r>
          </w:p>
        </w:tc>
        <w:tc>
          <w:tcPr>
            <w:tcW w:w="1976" w:type="dxa"/>
            <w:tcBorders>
              <w:left w:val="single" w:sz="4" w:space="0" w:color="auto"/>
            </w:tcBorders>
            <w:shd w:val="clear" w:color="auto" w:fill="auto"/>
          </w:tcPr>
          <w:p w14:paraId="27369E74" w14:textId="0985528F" w:rsidR="00095BB8" w:rsidRPr="00976656" w:rsidRDefault="00095BB8" w:rsidP="00095BB8">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976656">
              <w:rPr>
                <w:rFonts w:ascii="Times New Roman" w:hAnsi="Times New Roman" w:cs="Times New Roman"/>
              </w:rPr>
              <w:t>-0.00 (-0.01, 0.01)</w:t>
            </w:r>
          </w:p>
        </w:tc>
        <w:tc>
          <w:tcPr>
            <w:tcW w:w="1976" w:type="dxa"/>
            <w:shd w:val="clear" w:color="auto" w:fill="auto"/>
          </w:tcPr>
          <w:p w14:paraId="75699AC9" w14:textId="6DC3BF0D" w:rsidR="00095BB8" w:rsidRPr="00976656" w:rsidRDefault="00095BB8" w:rsidP="00095BB8">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976656">
              <w:rPr>
                <w:rFonts w:ascii="Times New Roman" w:hAnsi="Times New Roman" w:cs="Times New Roman"/>
              </w:rPr>
              <w:t>0.00 (-0.004, 0.01)</w:t>
            </w:r>
          </w:p>
        </w:tc>
        <w:tc>
          <w:tcPr>
            <w:tcW w:w="2086" w:type="dxa"/>
            <w:tcBorders>
              <w:right w:val="single" w:sz="4" w:space="0" w:color="auto"/>
            </w:tcBorders>
            <w:shd w:val="clear" w:color="auto" w:fill="auto"/>
          </w:tcPr>
          <w:p w14:paraId="6F63F845" w14:textId="5D1BDEB9" w:rsidR="00095BB8" w:rsidRPr="00976656" w:rsidRDefault="00095BB8" w:rsidP="00095BB8">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976656">
              <w:rPr>
                <w:rFonts w:ascii="Times New Roman" w:hAnsi="Times New Roman" w:cs="Times New Roman"/>
              </w:rPr>
              <w:t>-0.00 (-0.004, 0.003)</w:t>
            </w:r>
          </w:p>
        </w:tc>
        <w:tc>
          <w:tcPr>
            <w:tcW w:w="2123" w:type="dxa"/>
            <w:tcBorders>
              <w:left w:val="single" w:sz="4" w:space="0" w:color="auto"/>
            </w:tcBorders>
            <w:shd w:val="clear" w:color="auto" w:fill="auto"/>
          </w:tcPr>
          <w:p w14:paraId="69385498" w14:textId="77777777" w:rsidR="00095BB8" w:rsidRPr="00976656" w:rsidRDefault="00095BB8" w:rsidP="00095BB8">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976656">
              <w:rPr>
                <w:rFonts w:ascii="Times New Roman" w:hAnsi="Times New Roman" w:cs="Times New Roman"/>
              </w:rPr>
              <w:t>-0.00 (-0.01, 0.01)</w:t>
            </w:r>
          </w:p>
        </w:tc>
        <w:tc>
          <w:tcPr>
            <w:tcW w:w="1940" w:type="dxa"/>
            <w:shd w:val="clear" w:color="auto" w:fill="auto"/>
          </w:tcPr>
          <w:p w14:paraId="311229DB" w14:textId="77777777" w:rsidR="00095BB8" w:rsidRPr="00976656" w:rsidRDefault="00095BB8" w:rsidP="00095BB8">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976656">
              <w:rPr>
                <w:rFonts w:ascii="Times New Roman" w:hAnsi="Times New Roman" w:cs="Times New Roman"/>
              </w:rPr>
              <w:t>0.00 (-0.01, 0.01)</w:t>
            </w:r>
          </w:p>
        </w:tc>
        <w:tc>
          <w:tcPr>
            <w:tcW w:w="2013" w:type="dxa"/>
            <w:shd w:val="clear" w:color="auto" w:fill="auto"/>
          </w:tcPr>
          <w:p w14:paraId="20DC79D9" w14:textId="77777777" w:rsidR="00095BB8" w:rsidRPr="00976656" w:rsidRDefault="00095BB8" w:rsidP="00095BB8">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976656">
              <w:rPr>
                <w:rFonts w:ascii="Times New Roman" w:hAnsi="Times New Roman" w:cs="Times New Roman"/>
              </w:rPr>
              <w:t>0.00 (-0.004, 0.003)</w:t>
            </w:r>
          </w:p>
        </w:tc>
      </w:tr>
      <w:tr w:rsidR="00976656" w:rsidRPr="00976656" w14:paraId="3CFFFB62" w14:textId="77777777" w:rsidTr="001136F1">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251" w:type="dxa"/>
            <w:tcBorders>
              <w:bottom w:val="double" w:sz="4" w:space="0" w:color="auto"/>
            </w:tcBorders>
            <w:shd w:val="clear" w:color="auto" w:fill="auto"/>
          </w:tcPr>
          <w:p w14:paraId="0AECB9E0" w14:textId="77777777" w:rsidR="005A4A8D" w:rsidRPr="00976656" w:rsidRDefault="005A4A8D" w:rsidP="005A4A8D">
            <w:pPr>
              <w:spacing w:line="480" w:lineRule="auto"/>
              <w:rPr>
                <w:rFonts w:ascii="Times New Roman" w:hAnsi="Times New Roman" w:cs="Times New Roman"/>
                <w:i w:val="0"/>
                <w:sz w:val="22"/>
              </w:rPr>
            </w:pPr>
            <w:r w:rsidRPr="00976656">
              <w:rPr>
                <w:rFonts w:ascii="Times New Roman" w:hAnsi="Times New Roman" w:cs="Times New Roman"/>
                <w:i w:val="0"/>
                <w:sz w:val="22"/>
              </w:rPr>
              <w:t>Direct effect</w:t>
            </w:r>
          </w:p>
        </w:tc>
        <w:tc>
          <w:tcPr>
            <w:tcW w:w="1976" w:type="dxa"/>
            <w:tcBorders>
              <w:left w:val="single" w:sz="4" w:space="0" w:color="auto"/>
              <w:bottom w:val="double" w:sz="4" w:space="0" w:color="auto"/>
            </w:tcBorders>
            <w:shd w:val="clear" w:color="auto" w:fill="auto"/>
          </w:tcPr>
          <w:p w14:paraId="36A3708F" w14:textId="49024064" w:rsidR="005A4A8D" w:rsidRPr="00976656" w:rsidRDefault="005A4A8D" w:rsidP="005A4A8D">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976656">
              <w:rPr>
                <w:rFonts w:ascii="Times New Roman" w:hAnsi="Times New Roman" w:cs="Times New Roman"/>
              </w:rPr>
              <w:t>0.00 (-0.06, 0.06)</w:t>
            </w:r>
          </w:p>
        </w:tc>
        <w:tc>
          <w:tcPr>
            <w:tcW w:w="1976" w:type="dxa"/>
            <w:tcBorders>
              <w:bottom w:val="double" w:sz="4" w:space="0" w:color="auto"/>
            </w:tcBorders>
            <w:shd w:val="clear" w:color="auto" w:fill="auto"/>
          </w:tcPr>
          <w:p w14:paraId="372201E8" w14:textId="7FA4E4BA" w:rsidR="005A4A8D" w:rsidRPr="00976656" w:rsidRDefault="005A4A8D" w:rsidP="005A4A8D">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976656">
              <w:rPr>
                <w:rFonts w:ascii="Times New Roman" w:hAnsi="Times New Roman" w:cs="Times New Roman"/>
              </w:rPr>
              <w:t>-0.06 (-0.37, 0.26)</w:t>
            </w:r>
          </w:p>
        </w:tc>
        <w:tc>
          <w:tcPr>
            <w:tcW w:w="2086" w:type="dxa"/>
            <w:tcBorders>
              <w:bottom w:val="double" w:sz="4" w:space="0" w:color="auto"/>
              <w:right w:val="single" w:sz="4" w:space="0" w:color="auto"/>
            </w:tcBorders>
            <w:shd w:val="clear" w:color="auto" w:fill="auto"/>
          </w:tcPr>
          <w:p w14:paraId="2EAFE099" w14:textId="3D795882" w:rsidR="005A4A8D" w:rsidRPr="00976656" w:rsidRDefault="005A4A8D" w:rsidP="005A4A8D">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976656">
              <w:rPr>
                <w:rFonts w:ascii="Times New Roman" w:hAnsi="Times New Roman" w:cs="Times New Roman"/>
              </w:rPr>
              <w:t>0.01 (-0.05, 0.07)</w:t>
            </w:r>
          </w:p>
        </w:tc>
        <w:tc>
          <w:tcPr>
            <w:tcW w:w="2123" w:type="dxa"/>
            <w:tcBorders>
              <w:left w:val="single" w:sz="4" w:space="0" w:color="auto"/>
              <w:bottom w:val="double" w:sz="4" w:space="0" w:color="auto"/>
            </w:tcBorders>
            <w:shd w:val="clear" w:color="auto" w:fill="auto"/>
          </w:tcPr>
          <w:p w14:paraId="2C4813B7" w14:textId="77777777" w:rsidR="005A4A8D" w:rsidRPr="00976656" w:rsidRDefault="005A4A8D" w:rsidP="005A4A8D">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976656">
              <w:rPr>
                <w:rFonts w:ascii="Times New Roman" w:hAnsi="Times New Roman" w:cs="Times New Roman"/>
              </w:rPr>
              <w:t>0.01 (-0.04, 0.05)</w:t>
            </w:r>
          </w:p>
        </w:tc>
        <w:tc>
          <w:tcPr>
            <w:tcW w:w="1940" w:type="dxa"/>
            <w:tcBorders>
              <w:bottom w:val="double" w:sz="4" w:space="0" w:color="auto"/>
            </w:tcBorders>
            <w:shd w:val="clear" w:color="auto" w:fill="auto"/>
          </w:tcPr>
          <w:p w14:paraId="64292DEB" w14:textId="77777777" w:rsidR="005A4A8D" w:rsidRPr="00976656" w:rsidRDefault="005A4A8D" w:rsidP="005A4A8D">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976656">
              <w:rPr>
                <w:rFonts w:ascii="Times New Roman" w:hAnsi="Times New Roman" w:cs="Times New Roman"/>
              </w:rPr>
              <w:t>-0.07 (-0.37, 0.23)</w:t>
            </w:r>
          </w:p>
        </w:tc>
        <w:tc>
          <w:tcPr>
            <w:tcW w:w="2013" w:type="dxa"/>
            <w:tcBorders>
              <w:bottom w:val="double" w:sz="4" w:space="0" w:color="auto"/>
            </w:tcBorders>
            <w:shd w:val="clear" w:color="auto" w:fill="auto"/>
          </w:tcPr>
          <w:p w14:paraId="1AD3736E" w14:textId="77777777" w:rsidR="005A4A8D" w:rsidRPr="00976656" w:rsidRDefault="005A4A8D" w:rsidP="005A4A8D">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976656">
              <w:rPr>
                <w:rFonts w:ascii="Times New Roman" w:hAnsi="Times New Roman" w:cs="Times New Roman"/>
              </w:rPr>
              <w:t>0.01 (-0.05, 0.06)</w:t>
            </w:r>
          </w:p>
        </w:tc>
      </w:tr>
    </w:tbl>
    <w:p w14:paraId="446A283A" w14:textId="77777777" w:rsidR="00430995" w:rsidRPr="00976656" w:rsidRDefault="00430995" w:rsidP="00430995">
      <w:pPr>
        <w:spacing w:after="0" w:line="480" w:lineRule="auto"/>
        <w:rPr>
          <w:rFonts w:ascii="Times New Roman" w:hAnsi="Times New Roman" w:cs="Times New Roman"/>
          <w:sz w:val="24"/>
          <w:szCs w:val="24"/>
        </w:rPr>
      </w:pPr>
      <w:r w:rsidRPr="00976656">
        <w:rPr>
          <w:rFonts w:ascii="Times New Roman" w:hAnsi="Times New Roman" w:cs="Times New Roman"/>
          <w:sz w:val="24"/>
          <w:szCs w:val="24"/>
        </w:rPr>
        <w:t>Note: ASB: antisocial behaviour; SS: sensation seeking; CU: callous-unemotional traits; results adjusted for all potential</w:t>
      </w:r>
      <w:r w:rsidRPr="00976656">
        <w:rPr>
          <w:rFonts w:ascii="Times New Roman" w:hAnsi="Times New Roman" w:cs="Times New Roman"/>
          <w:sz w:val="24"/>
          <w:szCs w:val="24"/>
          <w:shd w:val="clear" w:color="auto" w:fill="FFFFFF"/>
          <w:vertAlign w:val="superscript"/>
        </w:rPr>
        <w:t xml:space="preserve"> </w:t>
      </w:r>
      <w:r w:rsidRPr="00976656">
        <w:rPr>
          <w:rFonts w:ascii="Times New Roman" w:hAnsi="Times New Roman" w:cs="Times New Roman"/>
          <w:sz w:val="24"/>
          <w:szCs w:val="24"/>
          <w:shd w:val="clear" w:color="auto" w:fill="FFFFFF"/>
        </w:rPr>
        <w:t>confounders including sociodemographic factors assessed in pregnancy (child sex, household crowding index, housing tenure, maternal education, and ethnicity), child factors at approximately age 11 years</w:t>
      </w:r>
      <w:r w:rsidRPr="00976656">
        <w:rPr>
          <w:rFonts w:ascii="Times New Roman" w:hAnsi="Times New Roman" w:cs="Times New Roman"/>
          <w:sz w:val="24"/>
          <w:szCs w:val="24"/>
        </w:rPr>
        <w:t xml:space="preserve"> (age, BMI, diastolic blood pressure, medication use, frequency of vigorous activity, alcohol and cigarette use) and parent factors (crime and alcohol problems</w:t>
      </w:r>
    </w:p>
    <w:p w14:paraId="46AE647A" w14:textId="6184F2F9" w:rsidR="00783FDE" w:rsidRPr="00976656" w:rsidRDefault="00783FDE" w:rsidP="00430995">
      <w:pPr>
        <w:spacing w:after="0" w:line="480" w:lineRule="auto"/>
        <w:rPr>
          <w:rFonts w:ascii="Times New Roman" w:hAnsi="Times New Roman" w:cs="Times New Roman"/>
          <w:sz w:val="24"/>
          <w:szCs w:val="24"/>
        </w:rPr>
      </w:pPr>
    </w:p>
    <w:sectPr w:rsidR="00783FDE" w:rsidRPr="00976656" w:rsidSect="00D04B69">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B5287C" w14:textId="77777777" w:rsidR="00B4407B" w:rsidRDefault="00B4407B" w:rsidP="00952455">
      <w:pPr>
        <w:spacing w:after="0" w:line="240" w:lineRule="auto"/>
      </w:pPr>
      <w:r>
        <w:separator/>
      </w:r>
    </w:p>
  </w:endnote>
  <w:endnote w:type="continuationSeparator" w:id="0">
    <w:p w14:paraId="5E7A6619" w14:textId="77777777" w:rsidR="00B4407B" w:rsidRDefault="00B4407B" w:rsidP="009524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PCEMH J+ Helvetica">
    <w:altName w:val="Helvetica"/>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A201C9" w14:textId="77777777" w:rsidR="001E4C50" w:rsidRDefault="001E4C5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7957A1" w14:textId="77777777" w:rsidR="00B4407B" w:rsidRDefault="00B4407B" w:rsidP="00952455">
      <w:pPr>
        <w:spacing w:after="0" w:line="240" w:lineRule="auto"/>
      </w:pPr>
      <w:r>
        <w:separator/>
      </w:r>
    </w:p>
  </w:footnote>
  <w:footnote w:type="continuationSeparator" w:id="0">
    <w:p w14:paraId="579DC649" w14:textId="77777777" w:rsidR="00B4407B" w:rsidRDefault="00B4407B" w:rsidP="0095245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2C510B1"/>
    <w:multiLevelType w:val="hybridMultilevel"/>
    <w:tmpl w:val="24A8A560"/>
    <w:lvl w:ilvl="0" w:tplc="DDFC93B6">
      <w:start w:val="1"/>
      <w:numFmt w:val="bullet"/>
      <w:lvlText w:val="•"/>
      <w:lvlJc w:val="left"/>
      <w:pPr>
        <w:tabs>
          <w:tab w:val="num" w:pos="720"/>
        </w:tabs>
        <w:ind w:left="720" w:hanging="360"/>
      </w:pPr>
      <w:rPr>
        <w:rFonts w:ascii="Arial" w:hAnsi="Arial" w:hint="default"/>
      </w:rPr>
    </w:lvl>
    <w:lvl w:ilvl="1" w:tplc="45ECDBB6">
      <w:numFmt w:val="bullet"/>
      <w:lvlText w:val="–"/>
      <w:lvlJc w:val="left"/>
      <w:pPr>
        <w:tabs>
          <w:tab w:val="num" w:pos="1440"/>
        </w:tabs>
        <w:ind w:left="1440" w:hanging="360"/>
      </w:pPr>
      <w:rPr>
        <w:rFonts w:ascii="Arial" w:hAnsi="Arial" w:hint="default"/>
      </w:rPr>
    </w:lvl>
    <w:lvl w:ilvl="2" w:tplc="5088F718" w:tentative="1">
      <w:start w:val="1"/>
      <w:numFmt w:val="bullet"/>
      <w:lvlText w:val="•"/>
      <w:lvlJc w:val="left"/>
      <w:pPr>
        <w:tabs>
          <w:tab w:val="num" w:pos="2160"/>
        </w:tabs>
        <w:ind w:left="2160" w:hanging="360"/>
      </w:pPr>
      <w:rPr>
        <w:rFonts w:ascii="Arial" w:hAnsi="Arial" w:hint="default"/>
      </w:rPr>
    </w:lvl>
    <w:lvl w:ilvl="3" w:tplc="ECF402BE" w:tentative="1">
      <w:start w:val="1"/>
      <w:numFmt w:val="bullet"/>
      <w:lvlText w:val="•"/>
      <w:lvlJc w:val="left"/>
      <w:pPr>
        <w:tabs>
          <w:tab w:val="num" w:pos="2880"/>
        </w:tabs>
        <w:ind w:left="2880" w:hanging="360"/>
      </w:pPr>
      <w:rPr>
        <w:rFonts w:ascii="Arial" w:hAnsi="Arial" w:hint="default"/>
      </w:rPr>
    </w:lvl>
    <w:lvl w:ilvl="4" w:tplc="78CEFDB8" w:tentative="1">
      <w:start w:val="1"/>
      <w:numFmt w:val="bullet"/>
      <w:lvlText w:val="•"/>
      <w:lvlJc w:val="left"/>
      <w:pPr>
        <w:tabs>
          <w:tab w:val="num" w:pos="3600"/>
        </w:tabs>
        <w:ind w:left="3600" w:hanging="360"/>
      </w:pPr>
      <w:rPr>
        <w:rFonts w:ascii="Arial" w:hAnsi="Arial" w:hint="default"/>
      </w:rPr>
    </w:lvl>
    <w:lvl w:ilvl="5" w:tplc="3620C76E" w:tentative="1">
      <w:start w:val="1"/>
      <w:numFmt w:val="bullet"/>
      <w:lvlText w:val="•"/>
      <w:lvlJc w:val="left"/>
      <w:pPr>
        <w:tabs>
          <w:tab w:val="num" w:pos="4320"/>
        </w:tabs>
        <w:ind w:left="4320" w:hanging="360"/>
      </w:pPr>
      <w:rPr>
        <w:rFonts w:ascii="Arial" w:hAnsi="Arial" w:hint="default"/>
      </w:rPr>
    </w:lvl>
    <w:lvl w:ilvl="6" w:tplc="5B7618E0" w:tentative="1">
      <w:start w:val="1"/>
      <w:numFmt w:val="bullet"/>
      <w:lvlText w:val="•"/>
      <w:lvlJc w:val="left"/>
      <w:pPr>
        <w:tabs>
          <w:tab w:val="num" w:pos="5040"/>
        </w:tabs>
        <w:ind w:left="5040" w:hanging="360"/>
      </w:pPr>
      <w:rPr>
        <w:rFonts w:ascii="Arial" w:hAnsi="Arial" w:hint="default"/>
      </w:rPr>
    </w:lvl>
    <w:lvl w:ilvl="7" w:tplc="B5A6275E" w:tentative="1">
      <w:start w:val="1"/>
      <w:numFmt w:val="bullet"/>
      <w:lvlText w:val="•"/>
      <w:lvlJc w:val="left"/>
      <w:pPr>
        <w:tabs>
          <w:tab w:val="num" w:pos="5760"/>
        </w:tabs>
        <w:ind w:left="5760" w:hanging="360"/>
      </w:pPr>
      <w:rPr>
        <w:rFonts w:ascii="Arial" w:hAnsi="Arial" w:hint="default"/>
      </w:rPr>
    </w:lvl>
    <w:lvl w:ilvl="8" w:tplc="A828858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68FD088C"/>
    <w:multiLevelType w:val="hybridMultilevel"/>
    <w:tmpl w:val="CFC68B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9885C13"/>
    <w:multiLevelType w:val="hybridMultilevel"/>
    <w:tmpl w:val="7318DC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500F"/>
    <w:rsid w:val="00000259"/>
    <w:rsid w:val="00000524"/>
    <w:rsid w:val="00001F7B"/>
    <w:rsid w:val="000105C5"/>
    <w:rsid w:val="000133F8"/>
    <w:rsid w:val="00016473"/>
    <w:rsid w:val="000171DC"/>
    <w:rsid w:val="0001777F"/>
    <w:rsid w:val="00020759"/>
    <w:rsid w:val="00021F66"/>
    <w:rsid w:val="00025F3D"/>
    <w:rsid w:val="00025FAA"/>
    <w:rsid w:val="00031E6A"/>
    <w:rsid w:val="00032748"/>
    <w:rsid w:val="0003553C"/>
    <w:rsid w:val="000358ED"/>
    <w:rsid w:val="000374B1"/>
    <w:rsid w:val="000418E6"/>
    <w:rsid w:val="00042CC8"/>
    <w:rsid w:val="00043653"/>
    <w:rsid w:val="00043EF4"/>
    <w:rsid w:val="00044CB7"/>
    <w:rsid w:val="00045309"/>
    <w:rsid w:val="00063F53"/>
    <w:rsid w:val="00064355"/>
    <w:rsid w:val="00065B87"/>
    <w:rsid w:val="00071358"/>
    <w:rsid w:val="00071FD2"/>
    <w:rsid w:val="00072FA6"/>
    <w:rsid w:val="00074F3F"/>
    <w:rsid w:val="00075714"/>
    <w:rsid w:val="00080A05"/>
    <w:rsid w:val="000821BF"/>
    <w:rsid w:val="00084A17"/>
    <w:rsid w:val="00084EE3"/>
    <w:rsid w:val="000861A3"/>
    <w:rsid w:val="00091F60"/>
    <w:rsid w:val="0009257D"/>
    <w:rsid w:val="00092B7A"/>
    <w:rsid w:val="00094BC6"/>
    <w:rsid w:val="00094CB6"/>
    <w:rsid w:val="00095BB8"/>
    <w:rsid w:val="000A1B18"/>
    <w:rsid w:val="000A1D5F"/>
    <w:rsid w:val="000A496F"/>
    <w:rsid w:val="000A55CC"/>
    <w:rsid w:val="000A6311"/>
    <w:rsid w:val="000A6635"/>
    <w:rsid w:val="000B06A3"/>
    <w:rsid w:val="000B09FD"/>
    <w:rsid w:val="000B20F5"/>
    <w:rsid w:val="000B30CB"/>
    <w:rsid w:val="000B3954"/>
    <w:rsid w:val="000B4371"/>
    <w:rsid w:val="000C2300"/>
    <w:rsid w:val="000C2ACF"/>
    <w:rsid w:val="000C3D7B"/>
    <w:rsid w:val="000C45AE"/>
    <w:rsid w:val="000C53DF"/>
    <w:rsid w:val="000C6C7D"/>
    <w:rsid w:val="000D4281"/>
    <w:rsid w:val="000D5B70"/>
    <w:rsid w:val="000D6AF2"/>
    <w:rsid w:val="000D7502"/>
    <w:rsid w:val="000E2140"/>
    <w:rsid w:val="000F6426"/>
    <w:rsid w:val="000F66DF"/>
    <w:rsid w:val="00100F09"/>
    <w:rsid w:val="0010289B"/>
    <w:rsid w:val="00102931"/>
    <w:rsid w:val="00112809"/>
    <w:rsid w:val="001136F1"/>
    <w:rsid w:val="00123986"/>
    <w:rsid w:val="001243EC"/>
    <w:rsid w:val="00126020"/>
    <w:rsid w:val="0013537D"/>
    <w:rsid w:val="00136AAB"/>
    <w:rsid w:val="00140862"/>
    <w:rsid w:val="00155DA2"/>
    <w:rsid w:val="00160A47"/>
    <w:rsid w:val="00164387"/>
    <w:rsid w:val="00167E07"/>
    <w:rsid w:val="0017033D"/>
    <w:rsid w:val="0017405B"/>
    <w:rsid w:val="00174120"/>
    <w:rsid w:val="00185CEB"/>
    <w:rsid w:val="00186688"/>
    <w:rsid w:val="00192936"/>
    <w:rsid w:val="00194383"/>
    <w:rsid w:val="001944D3"/>
    <w:rsid w:val="00195F43"/>
    <w:rsid w:val="001A137F"/>
    <w:rsid w:val="001A61B8"/>
    <w:rsid w:val="001B1B45"/>
    <w:rsid w:val="001C0003"/>
    <w:rsid w:val="001C002C"/>
    <w:rsid w:val="001C0F91"/>
    <w:rsid w:val="001C71D1"/>
    <w:rsid w:val="001D030E"/>
    <w:rsid w:val="001D08D5"/>
    <w:rsid w:val="001D0942"/>
    <w:rsid w:val="001D1048"/>
    <w:rsid w:val="001D6F9D"/>
    <w:rsid w:val="001D7D11"/>
    <w:rsid w:val="001E4C50"/>
    <w:rsid w:val="001E5544"/>
    <w:rsid w:val="001F1A5D"/>
    <w:rsid w:val="001F2745"/>
    <w:rsid w:val="001F70C5"/>
    <w:rsid w:val="00204319"/>
    <w:rsid w:val="00210F32"/>
    <w:rsid w:val="00221917"/>
    <w:rsid w:val="00222D4E"/>
    <w:rsid w:val="002312DF"/>
    <w:rsid w:val="00233244"/>
    <w:rsid w:val="002342C6"/>
    <w:rsid w:val="00234C6C"/>
    <w:rsid w:val="00234D58"/>
    <w:rsid w:val="0023645A"/>
    <w:rsid w:val="002370A1"/>
    <w:rsid w:val="00241BD9"/>
    <w:rsid w:val="002441D3"/>
    <w:rsid w:val="00245BAC"/>
    <w:rsid w:val="00245EC1"/>
    <w:rsid w:val="00246838"/>
    <w:rsid w:val="00247462"/>
    <w:rsid w:val="00250D4B"/>
    <w:rsid w:val="002534C0"/>
    <w:rsid w:val="00257F47"/>
    <w:rsid w:val="00262517"/>
    <w:rsid w:val="00263E83"/>
    <w:rsid w:val="002663D9"/>
    <w:rsid w:val="002679DF"/>
    <w:rsid w:val="00274397"/>
    <w:rsid w:val="002769DB"/>
    <w:rsid w:val="00280CDF"/>
    <w:rsid w:val="002823A8"/>
    <w:rsid w:val="00283C1B"/>
    <w:rsid w:val="002860A2"/>
    <w:rsid w:val="00286778"/>
    <w:rsid w:val="00286827"/>
    <w:rsid w:val="00290941"/>
    <w:rsid w:val="00291D34"/>
    <w:rsid w:val="002932C8"/>
    <w:rsid w:val="00294C12"/>
    <w:rsid w:val="002966D4"/>
    <w:rsid w:val="00296E44"/>
    <w:rsid w:val="002A10CA"/>
    <w:rsid w:val="002A72EC"/>
    <w:rsid w:val="002A76B4"/>
    <w:rsid w:val="002B0C28"/>
    <w:rsid w:val="002B0C88"/>
    <w:rsid w:val="002B1FAD"/>
    <w:rsid w:val="002B1FBB"/>
    <w:rsid w:val="002B395B"/>
    <w:rsid w:val="002B3F09"/>
    <w:rsid w:val="002B6246"/>
    <w:rsid w:val="002B6C33"/>
    <w:rsid w:val="002B7FB0"/>
    <w:rsid w:val="002C06FD"/>
    <w:rsid w:val="002C1478"/>
    <w:rsid w:val="002C3BEC"/>
    <w:rsid w:val="002C4801"/>
    <w:rsid w:val="002C7288"/>
    <w:rsid w:val="002C7339"/>
    <w:rsid w:val="002D05DA"/>
    <w:rsid w:val="002D65EB"/>
    <w:rsid w:val="002D7317"/>
    <w:rsid w:val="002D79C8"/>
    <w:rsid w:val="002E017E"/>
    <w:rsid w:val="002E2AEA"/>
    <w:rsid w:val="002E7EB5"/>
    <w:rsid w:val="002F0283"/>
    <w:rsid w:val="002F0AEC"/>
    <w:rsid w:val="002F126C"/>
    <w:rsid w:val="002F2B7C"/>
    <w:rsid w:val="00301491"/>
    <w:rsid w:val="00302868"/>
    <w:rsid w:val="00307633"/>
    <w:rsid w:val="00312275"/>
    <w:rsid w:val="00323CFE"/>
    <w:rsid w:val="00323DE9"/>
    <w:rsid w:val="003276B9"/>
    <w:rsid w:val="0033115C"/>
    <w:rsid w:val="003365FA"/>
    <w:rsid w:val="00337776"/>
    <w:rsid w:val="003443BB"/>
    <w:rsid w:val="00351C02"/>
    <w:rsid w:val="00356165"/>
    <w:rsid w:val="0036116D"/>
    <w:rsid w:val="003648AC"/>
    <w:rsid w:val="00366701"/>
    <w:rsid w:val="00373B43"/>
    <w:rsid w:val="00374069"/>
    <w:rsid w:val="003757B0"/>
    <w:rsid w:val="00376780"/>
    <w:rsid w:val="003838E0"/>
    <w:rsid w:val="0039745A"/>
    <w:rsid w:val="003A0990"/>
    <w:rsid w:val="003A0B66"/>
    <w:rsid w:val="003A48A6"/>
    <w:rsid w:val="003A7E28"/>
    <w:rsid w:val="003B11FA"/>
    <w:rsid w:val="003B2A2A"/>
    <w:rsid w:val="003B4626"/>
    <w:rsid w:val="003B5A56"/>
    <w:rsid w:val="003B5ECE"/>
    <w:rsid w:val="003B6F2C"/>
    <w:rsid w:val="003C05E5"/>
    <w:rsid w:val="003C1763"/>
    <w:rsid w:val="003C1F1E"/>
    <w:rsid w:val="003D7401"/>
    <w:rsid w:val="003E03A8"/>
    <w:rsid w:val="003E17A3"/>
    <w:rsid w:val="003E5294"/>
    <w:rsid w:val="003E6E96"/>
    <w:rsid w:val="003E7AB0"/>
    <w:rsid w:val="003F095A"/>
    <w:rsid w:val="003F143C"/>
    <w:rsid w:val="003F1E0E"/>
    <w:rsid w:val="003F488C"/>
    <w:rsid w:val="00404196"/>
    <w:rsid w:val="00404B71"/>
    <w:rsid w:val="00413CB6"/>
    <w:rsid w:val="00421599"/>
    <w:rsid w:val="00430995"/>
    <w:rsid w:val="0043604B"/>
    <w:rsid w:val="00437E25"/>
    <w:rsid w:val="0044063A"/>
    <w:rsid w:val="00444C21"/>
    <w:rsid w:val="00445C5F"/>
    <w:rsid w:val="004471DF"/>
    <w:rsid w:val="00447F6F"/>
    <w:rsid w:val="00450EFD"/>
    <w:rsid w:val="004540EA"/>
    <w:rsid w:val="00454BD8"/>
    <w:rsid w:val="004552C1"/>
    <w:rsid w:val="00462DB9"/>
    <w:rsid w:val="0046581B"/>
    <w:rsid w:val="00466177"/>
    <w:rsid w:val="00466350"/>
    <w:rsid w:val="00467AA2"/>
    <w:rsid w:val="004745F2"/>
    <w:rsid w:val="00482EC5"/>
    <w:rsid w:val="00485B52"/>
    <w:rsid w:val="0048671E"/>
    <w:rsid w:val="004873A4"/>
    <w:rsid w:val="00496D89"/>
    <w:rsid w:val="00496F19"/>
    <w:rsid w:val="004971A4"/>
    <w:rsid w:val="004A411E"/>
    <w:rsid w:val="004A4B3B"/>
    <w:rsid w:val="004A5073"/>
    <w:rsid w:val="004A6382"/>
    <w:rsid w:val="004A70B4"/>
    <w:rsid w:val="004A7BB9"/>
    <w:rsid w:val="004B677D"/>
    <w:rsid w:val="004C0A7D"/>
    <w:rsid w:val="004C1B88"/>
    <w:rsid w:val="004C2322"/>
    <w:rsid w:val="004D120E"/>
    <w:rsid w:val="004D5D3C"/>
    <w:rsid w:val="004D7CCD"/>
    <w:rsid w:val="004D7FD1"/>
    <w:rsid w:val="004E309C"/>
    <w:rsid w:val="004E68B2"/>
    <w:rsid w:val="004F0612"/>
    <w:rsid w:val="004F3251"/>
    <w:rsid w:val="004F462F"/>
    <w:rsid w:val="005002A9"/>
    <w:rsid w:val="00505580"/>
    <w:rsid w:val="00505761"/>
    <w:rsid w:val="00512650"/>
    <w:rsid w:val="005135CE"/>
    <w:rsid w:val="00515343"/>
    <w:rsid w:val="00515B55"/>
    <w:rsid w:val="00516191"/>
    <w:rsid w:val="00516C0F"/>
    <w:rsid w:val="00517011"/>
    <w:rsid w:val="00520939"/>
    <w:rsid w:val="00520A0E"/>
    <w:rsid w:val="00520BBC"/>
    <w:rsid w:val="00524B1E"/>
    <w:rsid w:val="005259D0"/>
    <w:rsid w:val="00525C4B"/>
    <w:rsid w:val="00526E48"/>
    <w:rsid w:val="00530760"/>
    <w:rsid w:val="00533B7B"/>
    <w:rsid w:val="005356E9"/>
    <w:rsid w:val="00537BD5"/>
    <w:rsid w:val="00540288"/>
    <w:rsid w:val="00542683"/>
    <w:rsid w:val="00545223"/>
    <w:rsid w:val="00546D33"/>
    <w:rsid w:val="0055047C"/>
    <w:rsid w:val="00550D17"/>
    <w:rsid w:val="00555E8B"/>
    <w:rsid w:val="0055772B"/>
    <w:rsid w:val="00557EBE"/>
    <w:rsid w:val="00564329"/>
    <w:rsid w:val="00565712"/>
    <w:rsid w:val="005700E4"/>
    <w:rsid w:val="00571732"/>
    <w:rsid w:val="005743CB"/>
    <w:rsid w:val="005744B2"/>
    <w:rsid w:val="00580A55"/>
    <w:rsid w:val="00583871"/>
    <w:rsid w:val="0058677F"/>
    <w:rsid w:val="005870E1"/>
    <w:rsid w:val="00593878"/>
    <w:rsid w:val="005A1ECD"/>
    <w:rsid w:val="005A4A8D"/>
    <w:rsid w:val="005B2A8A"/>
    <w:rsid w:val="005B2DE9"/>
    <w:rsid w:val="005B502A"/>
    <w:rsid w:val="005B6472"/>
    <w:rsid w:val="005C05E7"/>
    <w:rsid w:val="005C1976"/>
    <w:rsid w:val="005C217B"/>
    <w:rsid w:val="005C2D25"/>
    <w:rsid w:val="005C42AA"/>
    <w:rsid w:val="005C53C0"/>
    <w:rsid w:val="005D301B"/>
    <w:rsid w:val="005D507C"/>
    <w:rsid w:val="005D708A"/>
    <w:rsid w:val="005E2A3D"/>
    <w:rsid w:val="005F3040"/>
    <w:rsid w:val="005F496D"/>
    <w:rsid w:val="00600132"/>
    <w:rsid w:val="00600EEE"/>
    <w:rsid w:val="00601D07"/>
    <w:rsid w:val="00610A27"/>
    <w:rsid w:val="0061417D"/>
    <w:rsid w:val="0061644A"/>
    <w:rsid w:val="006179BF"/>
    <w:rsid w:val="006203DD"/>
    <w:rsid w:val="00621173"/>
    <w:rsid w:val="006255E7"/>
    <w:rsid w:val="006354ED"/>
    <w:rsid w:val="0064166D"/>
    <w:rsid w:val="00642311"/>
    <w:rsid w:val="00647CCD"/>
    <w:rsid w:val="006523B9"/>
    <w:rsid w:val="00654C5E"/>
    <w:rsid w:val="00656E9B"/>
    <w:rsid w:val="0065730A"/>
    <w:rsid w:val="00661CAD"/>
    <w:rsid w:val="006625F9"/>
    <w:rsid w:val="00664DDF"/>
    <w:rsid w:val="00674BEC"/>
    <w:rsid w:val="00677124"/>
    <w:rsid w:val="00677A6D"/>
    <w:rsid w:val="0068674B"/>
    <w:rsid w:val="0068781C"/>
    <w:rsid w:val="00690432"/>
    <w:rsid w:val="006960FE"/>
    <w:rsid w:val="006A1447"/>
    <w:rsid w:val="006A38B6"/>
    <w:rsid w:val="006A4343"/>
    <w:rsid w:val="006A494C"/>
    <w:rsid w:val="006C0F1D"/>
    <w:rsid w:val="006C60BE"/>
    <w:rsid w:val="006C62BC"/>
    <w:rsid w:val="006C79B3"/>
    <w:rsid w:val="006C7A6D"/>
    <w:rsid w:val="006D030B"/>
    <w:rsid w:val="006D098F"/>
    <w:rsid w:val="006D7A55"/>
    <w:rsid w:val="006E09D9"/>
    <w:rsid w:val="006E3490"/>
    <w:rsid w:val="006E7314"/>
    <w:rsid w:val="006F079B"/>
    <w:rsid w:val="006F1BC4"/>
    <w:rsid w:val="006F3291"/>
    <w:rsid w:val="006F62F5"/>
    <w:rsid w:val="006F6C15"/>
    <w:rsid w:val="00701757"/>
    <w:rsid w:val="00704EBE"/>
    <w:rsid w:val="007059CE"/>
    <w:rsid w:val="00705B58"/>
    <w:rsid w:val="00707481"/>
    <w:rsid w:val="00711916"/>
    <w:rsid w:val="0071222E"/>
    <w:rsid w:val="0071291A"/>
    <w:rsid w:val="00720344"/>
    <w:rsid w:val="00720C4F"/>
    <w:rsid w:val="007261A1"/>
    <w:rsid w:val="00726EAB"/>
    <w:rsid w:val="00727C6F"/>
    <w:rsid w:val="00732CC6"/>
    <w:rsid w:val="007345CB"/>
    <w:rsid w:val="0074203C"/>
    <w:rsid w:val="00743E30"/>
    <w:rsid w:val="007523A1"/>
    <w:rsid w:val="00756104"/>
    <w:rsid w:val="00756581"/>
    <w:rsid w:val="00762A35"/>
    <w:rsid w:val="00765834"/>
    <w:rsid w:val="00765B83"/>
    <w:rsid w:val="0076775E"/>
    <w:rsid w:val="00767D7E"/>
    <w:rsid w:val="00775836"/>
    <w:rsid w:val="00780962"/>
    <w:rsid w:val="00783FDE"/>
    <w:rsid w:val="0079142D"/>
    <w:rsid w:val="0079270D"/>
    <w:rsid w:val="0079626E"/>
    <w:rsid w:val="007965CB"/>
    <w:rsid w:val="00796A96"/>
    <w:rsid w:val="007A1ED2"/>
    <w:rsid w:val="007A3B7F"/>
    <w:rsid w:val="007A65CD"/>
    <w:rsid w:val="007A7C30"/>
    <w:rsid w:val="007B08F8"/>
    <w:rsid w:val="007B58C2"/>
    <w:rsid w:val="007B5E81"/>
    <w:rsid w:val="007B615E"/>
    <w:rsid w:val="007B62F1"/>
    <w:rsid w:val="007D1E55"/>
    <w:rsid w:val="007D4EBA"/>
    <w:rsid w:val="007D6EB6"/>
    <w:rsid w:val="007D7954"/>
    <w:rsid w:val="007E1964"/>
    <w:rsid w:val="007E52FE"/>
    <w:rsid w:val="007E73D8"/>
    <w:rsid w:val="007F6F34"/>
    <w:rsid w:val="00800D65"/>
    <w:rsid w:val="00801902"/>
    <w:rsid w:val="00801B66"/>
    <w:rsid w:val="00802BDF"/>
    <w:rsid w:val="00804FE8"/>
    <w:rsid w:val="008058ED"/>
    <w:rsid w:val="00805D62"/>
    <w:rsid w:val="008072B5"/>
    <w:rsid w:val="00810708"/>
    <w:rsid w:val="00814242"/>
    <w:rsid w:val="00834FBA"/>
    <w:rsid w:val="0083571A"/>
    <w:rsid w:val="008415FB"/>
    <w:rsid w:val="0084197D"/>
    <w:rsid w:val="00842D59"/>
    <w:rsid w:val="008432EC"/>
    <w:rsid w:val="0084499A"/>
    <w:rsid w:val="00850F86"/>
    <w:rsid w:val="008521CC"/>
    <w:rsid w:val="00853A94"/>
    <w:rsid w:val="00855330"/>
    <w:rsid w:val="008639F5"/>
    <w:rsid w:val="00863E84"/>
    <w:rsid w:val="0086563F"/>
    <w:rsid w:val="00867AEA"/>
    <w:rsid w:val="00870320"/>
    <w:rsid w:val="00873438"/>
    <w:rsid w:val="008761DB"/>
    <w:rsid w:val="00877743"/>
    <w:rsid w:val="00877B21"/>
    <w:rsid w:val="0088225B"/>
    <w:rsid w:val="008827C1"/>
    <w:rsid w:val="008852B4"/>
    <w:rsid w:val="008877CF"/>
    <w:rsid w:val="00890AC8"/>
    <w:rsid w:val="00890B90"/>
    <w:rsid w:val="0089281B"/>
    <w:rsid w:val="008A2FA5"/>
    <w:rsid w:val="008A55A1"/>
    <w:rsid w:val="008A60C2"/>
    <w:rsid w:val="008B2A62"/>
    <w:rsid w:val="008C0767"/>
    <w:rsid w:val="008C0A04"/>
    <w:rsid w:val="008C38F7"/>
    <w:rsid w:val="008C51C7"/>
    <w:rsid w:val="008C62C2"/>
    <w:rsid w:val="008C7038"/>
    <w:rsid w:val="008C76C3"/>
    <w:rsid w:val="008D1B03"/>
    <w:rsid w:val="008D3E0D"/>
    <w:rsid w:val="008D3E32"/>
    <w:rsid w:val="008D677A"/>
    <w:rsid w:val="008D771C"/>
    <w:rsid w:val="008E7CD4"/>
    <w:rsid w:val="008F18EA"/>
    <w:rsid w:val="009006EE"/>
    <w:rsid w:val="00904004"/>
    <w:rsid w:val="009100F9"/>
    <w:rsid w:val="0091060A"/>
    <w:rsid w:val="00910856"/>
    <w:rsid w:val="00917B55"/>
    <w:rsid w:val="009239B9"/>
    <w:rsid w:val="0092520D"/>
    <w:rsid w:val="009258FE"/>
    <w:rsid w:val="009313FF"/>
    <w:rsid w:val="00931695"/>
    <w:rsid w:val="00933648"/>
    <w:rsid w:val="0093623D"/>
    <w:rsid w:val="00941AAA"/>
    <w:rsid w:val="0094478F"/>
    <w:rsid w:val="00945A92"/>
    <w:rsid w:val="00952455"/>
    <w:rsid w:val="00953517"/>
    <w:rsid w:val="00954A1D"/>
    <w:rsid w:val="00956717"/>
    <w:rsid w:val="00964956"/>
    <w:rsid w:val="0097251E"/>
    <w:rsid w:val="00972F02"/>
    <w:rsid w:val="00973963"/>
    <w:rsid w:val="00976656"/>
    <w:rsid w:val="00977036"/>
    <w:rsid w:val="00981DB1"/>
    <w:rsid w:val="00985EE3"/>
    <w:rsid w:val="00985FEE"/>
    <w:rsid w:val="00986D59"/>
    <w:rsid w:val="00986F5C"/>
    <w:rsid w:val="00993361"/>
    <w:rsid w:val="00995305"/>
    <w:rsid w:val="0099558D"/>
    <w:rsid w:val="00995967"/>
    <w:rsid w:val="009A1B6E"/>
    <w:rsid w:val="009A22B4"/>
    <w:rsid w:val="009A4332"/>
    <w:rsid w:val="009A6C80"/>
    <w:rsid w:val="009A7CDD"/>
    <w:rsid w:val="009B3506"/>
    <w:rsid w:val="009B3905"/>
    <w:rsid w:val="009B7E05"/>
    <w:rsid w:val="009C1641"/>
    <w:rsid w:val="009C625C"/>
    <w:rsid w:val="009C753F"/>
    <w:rsid w:val="009C7617"/>
    <w:rsid w:val="009D3C83"/>
    <w:rsid w:val="009E0EB0"/>
    <w:rsid w:val="009E3187"/>
    <w:rsid w:val="009E4968"/>
    <w:rsid w:val="009E4BB1"/>
    <w:rsid w:val="009E5803"/>
    <w:rsid w:val="009F2F0B"/>
    <w:rsid w:val="00A025EB"/>
    <w:rsid w:val="00A03E73"/>
    <w:rsid w:val="00A03FB5"/>
    <w:rsid w:val="00A15837"/>
    <w:rsid w:val="00A1584C"/>
    <w:rsid w:val="00A25977"/>
    <w:rsid w:val="00A25E86"/>
    <w:rsid w:val="00A261D6"/>
    <w:rsid w:val="00A26F0A"/>
    <w:rsid w:val="00A31D6F"/>
    <w:rsid w:val="00A34EF6"/>
    <w:rsid w:val="00A35049"/>
    <w:rsid w:val="00A40E36"/>
    <w:rsid w:val="00A4311B"/>
    <w:rsid w:val="00A446B2"/>
    <w:rsid w:val="00A53649"/>
    <w:rsid w:val="00A53790"/>
    <w:rsid w:val="00A53DCB"/>
    <w:rsid w:val="00A55E2C"/>
    <w:rsid w:val="00A57E88"/>
    <w:rsid w:val="00A63601"/>
    <w:rsid w:val="00A70763"/>
    <w:rsid w:val="00A72648"/>
    <w:rsid w:val="00A76A8D"/>
    <w:rsid w:val="00A77807"/>
    <w:rsid w:val="00A85F08"/>
    <w:rsid w:val="00A877AC"/>
    <w:rsid w:val="00A91DCF"/>
    <w:rsid w:val="00A96915"/>
    <w:rsid w:val="00AA4B01"/>
    <w:rsid w:val="00AA7B8B"/>
    <w:rsid w:val="00AB0257"/>
    <w:rsid w:val="00AB56D4"/>
    <w:rsid w:val="00AB6922"/>
    <w:rsid w:val="00AC0537"/>
    <w:rsid w:val="00AC12E6"/>
    <w:rsid w:val="00AC60C3"/>
    <w:rsid w:val="00AD26D7"/>
    <w:rsid w:val="00AE26B6"/>
    <w:rsid w:val="00AE2952"/>
    <w:rsid w:val="00AE4730"/>
    <w:rsid w:val="00AE615E"/>
    <w:rsid w:val="00AF3F39"/>
    <w:rsid w:val="00AF45F3"/>
    <w:rsid w:val="00AF535F"/>
    <w:rsid w:val="00AF5C8F"/>
    <w:rsid w:val="00AF7FD3"/>
    <w:rsid w:val="00B006C5"/>
    <w:rsid w:val="00B00A30"/>
    <w:rsid w:val="00B01717"/>
    <w:rsid w:val="00B040A4"/>
    <w:rsid w:val="00B1465E"/>
    <w:rsid w:val="00B16E47"/>
    <w:rsid w:val="00B26E82"/>
    <w:rsid w:val="00B33585"/>
    <w:rsid w:val="00B378DB"/>
    <w:rsid w:val="00B42C71"/>
    <w:rsid w:val="00B4407B"/>
    <w:rsid w:val="00B443D6"/>
    <w:rsid w:val="00B46FD9"/>
    <w:rsid w:val="00B47BA5"/>
    <w:rsid w:val="00B713BF"/>
    <w:rsid w:val="00B7154B"/>
    <w:rsid w:val="00B728DF"/>
    <w:rsid w:val="00B72E4F"/>
    <w:rsid w:val="00B85D45"/>
    <w:rsid w:val="00B90524"/>
    <w:rsid w:val="00BA271D"/>
    <w:rsid w:val="00BA493F"/>
    <w:rsid w:val="00BA5355"/>
    <w:rsid w:val="00BA6244"/>
    <w:rsid w:val="00BB150A"/>
    <w:rsid w:val="00BB3F00"/>
    <w:rsid w:val="00BB3F09"/>
    <w:rsid w:val="00BB6A40"/>
    <w:rsid w:val="00BB7543"/>
    <w:rsid w:val="00BC1C0E"/>
    <w:rsid w:val="00BC2C53"/>
    <w:rsid w:val="00BC3D02"/>
    <w:rsid w:val="00BC6966"/>
    <w:rsid w:val="00BD0686"/>
    <w:rsid w:val="00BD1232"/>
    <w:rsid w:val="00BD487F"/>
    <w:rsid w:val="00BD77B2"/>
    <w:rsid w:val="00BE1560"/>
    <w:rsid w:val="00BE4A04"/>
    <w:rsid w:val="00BE5AD9"/>
    <w:rsid w:val="00BE7599"/>
    <w:rsid w:val="00BF1CF9"/>
    <w:rsid w:val="00BF30F5"/>
    <w:rsid w:val="00BF34F5"/>
    <w:rsid w:val="00BF3D4C"/>
    <w:rsid w:val="00BF4D20"/>
    <w:rsid w:val="00BF5B6B"/>
    <w:rsid w:val="00C00646"/>
    <w:rsid w:val="00C00EA9"/>
    <w:rsid w:val="00C06E76"/>
    <w:rsid w:val="00C07BCD"/>
    <w:rsid w:val="00C104EC"/>
    <w:rsid w:val="00C106F2"/>
    <w:rsid w:val="00C1170B"/>
    <w:rsid w:val="00C13F9C"/>
    <w:rsid w:val="00C21F42"/>
    <w:rsid w:val="00C226C0"/>
    <w:rsid w:val="00C2345D"/>
    <w:rsid w:val="00C237EC"/>
    <w:rsid w:val="00C262C7"/>
    <w:rsid w:val="00C26F11"/>
    <w:rsid w:val="00C30115"/>
    <w:rsid w:val="00C32C93"/>
    <w:rsid w:val="00C37C6E"/>
    <w:rsid w:val="00C428E5"/>
    <w:rsid w:val="00C43F06"/>
    <w:rsid w:val="00C44B90"/>
    <w:rsid w:val="00C469E7"/>
    <w:rsid w:val="00C52EE7"/>
    <w:rsid w:val="00C54643"/>
    <w:rsid w:val="00C555AF"/>
    <w:rsid w:val="00C63069"/>
    <w:rsid w:val="00C63C78"/>
    <w:rsid w:val="00C6429E"/>
    <w:rsid w:val="00C675DD"/>
    <w:rsid w:val="00C75595"/>
    <w:rsid w:val="00C84985"/>
    <w:rsid w:val="00C86470"/>
    <w:rsid w:val="00C936C5"/>
    <w:rsid w:val="00CA3A08"/>
    <w:rsid w:val="00CA41D9"/>
    <w:rsid w:val="00CA4E6C"/>
    <w:rsid w:val="00CA654C"/>
    <w:rsid w:val="00CA6EB6"/>
    <w:rsid w:val="00CB1DF0"/>
    <w:rsid w:val="00CB5201"/>
    <w:rsid w:val="00CB7885"/>
    <w:rsid w:val="00CB7BF9"/>
    <w:rsid w:val="00CC4D67"/>
    <w:rsid w:val="00CC736A"/>
    <w:rsid w:val="00CD137F"/>
    <w:rsid w:val="00CD1580"/>
    <w:rsid w:val="00CD7B68"/>
    <w:rsid w:val="00CE54EF"/>
    <w:rsid w:val="00CE7544"/>
    <w:rsid w:val="00CE7CF1"/>
    <w:rsid w:val="00D00551"/>
    <w:rsid w:val="00D01117"/>
    <w:rsid w:val="00D0304D"/>
    <w:rsid w:val="00D04B69"/>
    <w:rsid w:val="00D062C3"/>
    <w:rsid w:val="00D12C6B"/>
    <w:rsid w:val="00D16F01"/>
    <w:rsid w:val="00D21518"/>
    <w:rsid w:val="00D272A8"/>
    <w:rsid w:val="00D33F9E"/>
    <w:rsid w:val="00D3513C"/>
    <w:rsid w:val="00D353BE"/>
    <w:rsid w:val="00D47FB3"/>
    <w:rsid w:val="00D51289"/>
    <w:rsid w:val="00D560B9"/>
    <w:rsid w:val="00D56D8A"/>
    <w:rsid w:val="00D57ECE"/>
    <w:rsid w:val="00D609B7"/>
    <w:rsid w:val="00D61E8B"/>
    <w:rsid w:val="00D6268B"/>
    <w:rsid w:val="00D63554"/>
    <w:rsid w:val="00D73DA5"/>
    <w:rsid w:val="00D8008D"/>
    <w:rsid w:val="00D83FD7"/>
    <w:rsid w:val="00D8671E"/>
    <w:rsid w:val="00D900C7"/>
    <w:rsid w:val="00D922CA"/>
    <w:rsid w:val="00DA103D"/>
    <w:rsid w:val="00DA1C31"/>
    <w:rsid w:val="00DA265E"/>
    <w:rsid w:val="00DA3470"/>
    <w:rsid w:val="00DA4768"/>
    <w:rsid w:val="00DB2B25"/>
    <w:rsid w:val="00DB590B"/>
    <w:rsid w:val="00DB6B56"/>
    <w:rsid w:val="00DB78AA"/>
    <w:rsid w:val="00DC3140"/>
    <w:rsid w:val="00DD47A6"/>
    <w:rsid w:val="00DD4A15"/>
    <w:rsid w:val="00DD500F"/>
    <w:rsid w:val="00DD60C6"/>
    <w:rsid w:val="00DD675C"/>
    <w:rsid w:val="00DD7185"/>
    <w:rsid w:val="00DE4248"/>
    <w:rsid w:val="00DE4F55"/>
    <w:rsid w:val="00DE6E32"/>
    <w:rsid w:val="00DF00C1"/>
    <w:rsid w:val="00DF5192"/>
    <w:rsid w:val="00E015DD"/>
    <w:rsid w:val="00E06682"/>
    <w:rsid w:val="00E126BC"/>
    <w:rsid w:val="00E179C7"/>
    <w:rsid w:val="00E20D4D"/>
    <w:rsid w:val="00E21741"/>
    <w:rsid w:val="00E2644B"/>
    <w:rsid w:val="00E300D0"/>
    <w:rsid w:val="00E30354"/>
    <w:rsid w:val="00E37D1D"/>
    <w:rsid w:val="00E401D6"/>
    <w:rsid w:val="00E4088E"/>
    <w:rsid w:val="00E416B7"/>
    <w:rsid w:val="00E45C8F"/>
    <w:rsid w:val="00E47002"/>
    <w:rsid w:val="00E47599"/>
    <w:rsid w:val="00E47CA6"/>
    <w:rsid w:val="00E50DA7"/>
    <w:rsid w:val="00E5503E"/>
    <w:rsid w:val="00E571A0"/>
    <w:rsid w:val="00E6244A"/>
    <w:rsid w:val="00E64D62"/>
    <w:rsid w:val="00E66A14"/>
    <w:rsid w:val="00E6717D"/>
    <w:rsid w:val="00E6749C"/>
    <w:rsid w:val="00E71187"/>
    <w:rsid w:val="00E711BE"/>
    <w:rsid w:val="00E7136C"/>
    <w:rsid w:val="00E71E2E"/>
    <w:rsid w:val="00E72FE0"/>
    <w:rsid w:val="00E766FE"/>
    <w:rsid w:val="00E815DC"/>
    <w:rsid w:val="00E82F22"/>
    <w:rsid w:val="00E839E3"/>
    <w:rsid w:val="00E83B24"/>
    <w:rsid w:val="00E83DA4"/>
    <w:rsid w:val="00E877A2"/>
    <w:rsid w:val="00E92B73"/>
    <w:rsid w:val="00E92E66"/>
    <w:rsid w:val="00E97C8A"/>
    <w:rsid w:val="00EA0340"/>
    <w:rsid w:val="00EA1FD2"/>
    <w:rsid w:val="00EA2BAE"/>
    <w:rsid w:val="00EA306A"/>
    <w:rsid w:val="00EA6C4F"/>
    <w:rsid w:val="00EB19D6"/>
    <w:rsid w:val="00EB1BBC"/>
    <w:rsid w:val="00EB2DD0"/>
    <w:rsid w:val="00EB34D3"/>
    <w:rsid w:val="00EB56EB"/>
    <w:rsid w:val="00EB72F1"/>
    <w:rsid w:val="00EC61A4"/>
    <w:rsid w:val="00ED27DD"/>
    <w:rsid w:val="00ED7E9D"/>
    <w:rsid w:val="00EE2F91"/>
    <w:rsid w:val="00EE766C"/>
    <w:rsid w:val="00EF1B89"/>
    <w:rsid w:val="00EF1EDA"/>
    <w:rsid w:val="00EF2471"/>
    <w:rsid w:val="00EF4B13"/>
    <w:rsid w:val="00EF798B"/>
    <w:rsid w:val="00F031E5"/>
    <w:rsid w:val="00F03ED0"/>
    <w:rsid w:val="00F054F1"/>
    <w:rsid w:val="00F148EA"/>
    <w:rsid w:val="00F32621"/>
    <w:rsid w:val="00F3393C"/>
    <w:rsid w:val="00F33996"/>
    <w:rsid w:val="00F361BD"/>
    <w:rsid w:val="00F408B7"/>
    <w:rsid w:val="00F40BCB"/>
    <w:rsid w:val="00F42425"/>
    <w:rsid w:val="00F4657F"/>
    <w:rsid w:val="00F51329"/>
    <w:rsid w:val="00F55EDE"/>
    <w:rsid w:val="00F6053C"/>
    <w:rsid w:val="00F732B7"/>
    <w:rsid w:val="00F75E44"/>
    <w:rsid w:val="00F75FD8"/>
    <w:rsid w:val="00F83DD6"/>
    <w:rsid w:val="00F8673A"/>
    <w:rsid w:val="00F90396"/>
    <w:rsid w:val="00F917E6"/>
    <w:rsid w:val="00F918E0"/>
    <w:rsid w:val="00F91C1D"/>
    <w:rsid w:val="00F94F49"/>
    <w:rsid w:val="00FA0F90"/>
    <w:rsid w:val="00FA0FF3"/>
    <w:rsid w:val="00FA16A2"/>
    <w:rsid w:val="00FA58C5"/>
    <w:rsid w:val="00FA62B9"/>
    <w:rsid w:val="00FA6AD1"/>
    <w:rsid w:val="00FA71EE"/>
    <w:rsid w:val="00FB0E24"/>
    <w:rsid w:val="00FB431B"/>
    <w:rsid w:val="00FB5F0B"/>
    <w:rsid w:val="00FB76E0"/>
    <w:rsid w:val="00FC052D"/>
    <w:rsid w:val="00FC42B8"/>
    <w:rsid w:val="00FC5A57"/>
    <w:rsid w:val="00FC6678"/>
    <w:rsid w:val="00FD22E3"/>
    <w:rsid w:val="00FD344A"/>
    <w:rsid w:val="00FD5320"/>
    <w:rsid w:val="00FD56CB"/>
    <w:rsid w:val="00FE1F5B"/>
    <w:rsid w:val="00FE3319"/>
    <w:rsid w:val="00FE3E1C"/>
    <w:rsid w:val="00FE4D0D"/>
    <w:rsid w:val="00FE576A"/>
    <w:rsid w:val="00FE6CFD"/>
    <w:rsid w:val="00FE7B1A"/>
    <w:rsid w:val="00FF07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402678"/>
  <w15:docId w15:val="{AABA3FFA-25E5-4A73-8B01-665A99D66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E766F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2B7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2B7A"/>
    <w:rPr>
      <w:rFonts w:ascii="Segoe UI" w:hAnsi="Segoe UI" w:cs="Segoe UI"/>
      <w:sz w:val="18"/>
      <w:szCs w:val="18"/>
    </w:rPr>
  </w:style>
  <w:style w:type="table" w:styleId="TableGrid">
    <w:name w:val="Table Grid"/>
    <w:basedOn w:val="TableNormal"/>
    <w:uiPriority w:val="39"/>
    <w:rsid w:val="00AE47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51">
    <w:name w:val="Plain Table 51"/>
    <w:basedOn w:val="TableNormal"/>
    <w:uiPriority w:val="45"/>
    <w:rsid w:val="008D3E0D"/>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Heading1Char">
    <w:name w:val="Heading 1 Char"/>
    <w:basedOn w:val="DefaultParagraphFont"/>
    <w:link w:val="Heading1"/>
    <w:uiPriority w:val="9"/>
    <w:rsid w:val="00E766FE"/>
    <w:rPr>
      <w:rFonts w:asciiTheme="majorHAnsi" w:eastAsiaTheme="majorEastAsia" w:hAnsiTheme="majorHAnsi" w:cstheme="majorBidi"/>
      <w:color w:val="2E74B5" w:themeColor="accent1" w:themeShade="BF"/>
      <w:sz w:val="32"/>
      <w:szCs w:val="32"/>
    </w:rPr>
  </w:style>
  <w:style w:type="paragraph" w:styleId="NormalWeb">
    <w:name w:val="Normal (Web)"/>
    <w:basedOn w:val="Normal"/>
    <w:uiPriority w:val="99"/>
    <w:unhideWhenUsed/>
    <w:rsid w:val="00E766FE"/>
    <w:pPr>
      <w:spacing w:before="100" w:beforeAutospacing="1" w:after="100" w:afterAutospacing="1" w:line="240" w:lineRule="auto"/>
    </w:pPr>
    <w:rPr>
      <w:rFonts w:ascii="Times New Roman" w:eastAsiaTheme="minorEastAsia" w:hAnsi="Times New Roman" w:cs="Times New Roman"/>
      <w:sz w:val="24"/>
      <w:szCs w:val="24"/>
      <w:lang w:eastAsia="en-GB"/>
    </w:rPr>
  </w:style>
  <w:style w:type="character" w:styleId="Hyperlink">
    <w:name w:val="Hyperlink"/>
    <w:basedOn w:val="DefaultParagraphFont"/>
    <w:uiPriority w:val="99"/>
    <w:rsid w:val="00E766FE"/>
    <w:rPr>
      <w:rFonts w:cs="Times New Roman"/>
      <w:color w:val="0000FF"/>
      <w:u w:val="single"/>
    </w:rPr>
  </w:style>
  <w:style w:type="character" w:styleId="Emphasis">
    <w:name w:val="Emphasis"/>
    <w:uiPriority w:val="20"/>
    <w:qFormat/>
    <w:rsid w:val="00E766FE"/>
    <w:rPr>
      <w:i/>
      <w:iCs/>
    </w:rPr>
  </w:style>
  <w:style w:type="paragraph" w:styleId="Header">
    <w:name w:val="header"/>
    <w:basedOn w:val="Normal"/>
    <w:link w:val="HeaderChar"/>
    <w:uiPriority w:val="99"/>
    <w:unhideWhenUsed/>
    <w:rsid w:val="00952455"/>
    <w:pPr>
      <w:tabs>
        <w:tab w:val="center" w:pos="4513"/>
        <w:tab w:val="right" w:pos="9026"/>
      </w:tabs>
      <w:spacing w:after="0" w:line="240" w:lineRule="auto"/>
    </w:pPr>
  </w:style>
  <w:style w:type="character" w:customStyle="1" w:styleId="HeaderChar">
    <w:name w:val="Header Char"/>
    <w:basedOn w:val="DefaultParagraphFont"/>
    <w:link w:val="Header"/>
    <w:uiPriority w:val="99"/>
    <w:rsid w:val="00952455"/>
  </w:style>
  <w:style w:type="paragraph" w:styleId="Footer">
    <w:name w:val="footer"/>
    <w:basedOn w:val="Normal"/>
    <w:link w:val="FooterChar"/>
    <w:uiPriority w:val="99"/>
    <w:unhideWhenUsed/>
    <w:rsid w:val="00952455"/>
    <w:pPr>
      <w:tabs>
        <w:tab w:val="center" w:pos="4513"/>
        <w:tab w:val="right" w:pos="9026"/>
      </w:tabs>
      <w:spacing w:after="0" w:line="240" w:lineRule="auto"/>
    </w:pPr>
  </w:style>
  <w:style w:type="character" w:customStyle="1" w:styleId="FooterChar">
    <w:name w:val="Footer Char"/>
    <w:basedOn w:val="DefaultParagraphFont"/>
    <w:link w:val="Footer"/>
    <w:uiPriority w:val="99"/>
    <w:rsid w:val="00952455"/>
  </w:style>
  <w:style w:type="paragraph" w:styleId="ListParagraph">
    <w:name w:val="List Paragraph"/>
    <w:basedOn w:val="Normal"/>
    <w:uiPriority w:val="34"/>
    <w:qFormat/>
    <w:rsid w:val="004F462F"/>
    <w:pPr>
      <w:ind w:left="720"/>
      <w:contextualSpacing/>
    </w:pPr>
  </w:style>
  <w:style w:type="character" w:styleId="CommentReference">
    <w:name w:val="annotation reference"/>
    <w:basedOn w:val="DefaultParagraphFont"/>
    <w:uiPriority w:val="99"/>
    <w:semiHidden/>
    <w:unhideWhenUsed/>
    <w:rsid w:val="00FC052D"/>
    <w:rPr>
      <w:sz w:val="16"/>
      <w:szCs w:val="16"/>
    </w:rPr>
  </w:style>
  <w:style w:type="paragraph" w:styleId="CommentText">
    <w:name w:val="annotation text"/>
    <w:basedOn w:val="Normal"/>
    <w:link w:val="CommentTextChar"/>
    <w:uiPriority w:val="99"/>
    <w:unhideWhenUsed/>
    <w:rsid w:val="00FC052D"/>
    <w:pPr>
      <w:spacing w:line="240" w:lineRule="auto"/>
    </w:pPr>
    <w:rPr>
      <w:sz w:val="20"/>
      <w:szCs w:val="20"/>
    </w:rPr>
  </w:style>
  <w:style w:type="character" w:customStyle="1" w:styleId="CommentTextChar">
    <w:name w:val="Comment Text Char"/>
    <w:basedOn w:val="DefaultParagraphFont"/>
    <w:link w:val="CommentText"/>
    <w:uiPriority w:val="99"/>
    <w:rsid w:val="00FC052D"/>
    <w:rPr>
      <w:sz w:val="20"/>
      <w:szCs w:val="20"/>
    </w:rPr>
  </w:style>
  <w:style w:type="paragraph" w:styleId="CommentSubject">
    <w:name w:val="annotation subject"/>
    <w:basedOn w:val="CommentText"/>
    <w:next w:val="CommentText"/>
    <w:link w:val="CommentSubjectChar"/>
    <w:uiPriority w:val="99"/>
    <w:semiHidden/>
    <w:unhideWhenUsed/>
    <w:rsid w:val="00FC052D"/>
    <w:rPr>
      <w:b/>
      <w:bCs/>
    </w:rPr>
  </w:style>
  <w:style w:type="character" w:customStyle="1" w:styleId="CommentSubjectChar">
    <w:name w:val="Comment Subject Char"/>
    <w:basedOn w:val="CommentTextChar"/>
    <w:link w:val="CommentSubject"/>
    <w:uiPriority w:val="99"/>
    <w:semiHidden/>
    <w:rsid w:val="00FC052D"/>
    <w:rPr>
      <w:b/>
      <w:bCs/>
      <w:sz w:val="20"/>
      <w:szCs w:val="20"/>
    </w:rPr>
  </w:style>
  <w:style w:type="paragraph" w:customStyle="1" w:styleId="Default">
    <w:name w:val="Default"/>
    <w:rsid w:val="00E5503E"/>
    <w:pPr>
      <w:autoSpaceDE w:val="0"/>
      <w:autoSpaceDN w:val="0"/>
      <w:adjustRightInd w:val="0"/>
      <w:spacing w:after="0" w:line="240" w:lineRule="auto"/>
    </w:pPr>
    <w:rPr>
      <w:rFonts w:ascii="PCEMH J+ Helvetica" w:hAnsi="PCEMH J+ Helvetica" w:cs="PCEMH J+ Helvetica"/>
      <w:color w:val="000000"/>
      <w:sz w:val="24"/>
      <w:szCs w:val="24"/>
    </w:rPr>
  </w:style>
  <w:style w:type="character" w:customStyle="1" w:styleId="apple-converted-space">
    <w:name w:val="apple-converted-space"/>
    <w:basedOn w:val="DefaultParagraphFont"/>
    <w:rsid w:val="00505580"/>
    <w:rPr>
      <w:rFonts w:cs="Times New Roman"/>
    </w:rPr>
  </w:style>
  <w:style w:type="character" w:customStyle="1" w:styleId="il">
    <w:name w:val="il"/>
    <w:basedOn w:val="DefaultParagraphFont"/>
    <w:rsid w:val="00AB6922"/>
  </w:style>
  <w:style w:type="character" w:styleId="LineNumber">
    <w:name w:val="line number"/>
    <w:basedOn w:val="DefaultParagraphFont"/>
    <w:uiPriority w:val="99"/>
    <w:semiHidden/>
    <w:unhideWhenUsed/>
    <w:rsid w:val="009649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67791">
      <w:bodyDiv w:val="1"/>
      <w:marLeft w:val="0"/>
      <w:marRight w:val="0"/>
      <w:marTop w:val="0"/>
      <w:marBottom w:val="0"/>
      <w:divBdr>
        <w:top w:val="none" w:sz="0" w:space="0" w:color="auto"/>
        <w:left w:val="none" w:sz="0" w:space="0" w:color="auto"/>
        <w:bottom w:val="none" w:sz="0" w:space="0" w:color="auto"/>
        <w:right w:val="none" w:sz="0" w:space="0" w:color="auto"/>
      </w:divBdr>
      <w:divsChild>
        <w:div w:id="2142530685">
          <w:marLeft w:val="0"/>
          <w:marRight w:val="0"/>
          <w:marTop w:val="0"/>
          <w:marBottom w:val="0"/>
          <w:divBdr>
            <w:top w:val="none" w:sz="0" w:space="0" w:color="auto"/>
            <w:left w:val="none" w:sz="0" w:space="0" w:color="auto"/>
            <w:bottom w:val="none" w:sz="0" w:space="0" w:color="auto"/>
            <w:right w:val="none" w:sz="0" w:space="0" w:color="auto"/>
          </w:divBdr>
          <w:divsChild>
            <w:div w:id="1057823038">
              <w:marLeft w:val="0"/>
              <w:marRight w:val="0"/>
              <w:marTop w:val="0"/>
              <w:marBottom w:val="0"/>
              <w:divBdr>
                <w:top w:val="none" w:sz="0" w:space="0" w:color="auto"/>
                <w:left w:val="none" w:sz="0" w:space="0" w:color="auto"/>
                <w:bottom w:val="none" w:sz="0" w:space="0" w:color="auto"/>
                <w:right w:val="none" w:sz="0" w:space="0" w:color="auto"/>
              </w:divBdr>
              <w:divsChild>
                <w:div w:id="2097969006">
                  <w:marLeft w:val="0"/>
                  <w:marRight w:val="0"/>
                  <w:marTop w:val="0"/>
                  <w:marBottom w:val="0"/>
                  <w:divBdr>
                    <w:top w:val="none" w:sz="0" w:space="0" w:color="auto"/>
                    <w:left w:val="none" w:sz="0" w:space="0" w:color="auto"/>
                    <w:bottom w:val="none" w:sz="0" w:space="0" w:color="auto"/>
                    <w:right w:val="none" w:sz="0" w:space="0" w:color="auto"/>
                  </w:divBdr>
                  <w:divsChild>
                    <w:div w:id="2008240433">
                      <w:marLeft w:val="0"/>
                      <w:marRight w:val="0"/>
                      <w:marTop w:val="0"/>
                      <w:marBottom w:val="0"/>
                      <w:divBdr>
                        <w:top w:val="none" w:sz="0" w:space="0" w:color="auto"/>
                        <w:left w:val="none" w:sz="0" w:space="0" w:color="auto"/>
                        <w:bottom w:val="none" w:sz="0" w:space="0" w:color="auto"/>
                        <w:right w:val="none" w:sz="0" w:space="0" w:color="auto"/>
                      </w:divBdr>
                      <w:divsChild>
                        <w:div w:id="1400713878">
                          <w:marLeft w:val="0"/>
                          <w:marRight w:val="0"/>
                          <w:marTop w:val="0"/>
                          <w:marBottom w:val="0"/>
                          <w:divBdr>
                            <w:top w:val="none" w:sz="0" w:space="0" w:color="auto"/>
                            <w:left w:val="none" w:sz="0" w:space="0" w:color="auto"/>
                            <w:bottom w:val="none" w:sz="0" w:space="0" w:color="auto"/>
                            <w:right w:val="none" w:sz="0" w:space="0" w:color="auto"/>
                          </w:divBdr>
                          <w:divsChild>
                            <w:div w:id="1905875922">
                              <w:marLeft w:val="0"/>
                              <w:marRight w:val="0"/>
                              <w:marTop w:val="0"/>
                              <w:marBottom w:val="0"/>
                              <w:divBdr>
                                <w:top w:val="none" w:sz="0" w:space="0" w:color="auto"/>
                                <w:left w:val="none" w:sz="0" w:space="0" w:color="auto"/>
                                <w:bottom w:val="none" w:sz="0" w:space="0" w:color="auto"/>
                                <w:right w:val="none" w:sz="0" w:space="0" w:color="auto"/>
                              </w:divBdr>
                              <w:divsChild>
                                <w:div w:id="2023623651">
                                  <w:marLeft w:val="0"/>
                                  <w:marRight w:val="0"/>
                                  <w:marTop w:val="0"/>
                                  <w:marBottom w:val="0"/>
                                  <w:divBdr>
                                    <w:top w:val="none" w:sz="0" w:space="0" w:color="auto"/>
                                    <w:left w:val="none" w:sz="0" w:space="0" w:color="auto"/>
                                    <w:bottom w:val="none" w:sz="0" w:space="0" w:color="auto"/>
                                    <w:right w:val="none" w:sz="0" w:space="0" w:color="auto"/>
                                  </w:divBdr>
                                  <w:divsChild>
                                    <w:div w:id="1543667647">
                                      <w:marLeft w:val="0"/>
                                      <w:marRight w:val="0"/>
                                      <w:marTop w:val="0"/>
                                      <w:marBottom w:val="0"/>
                                      <w:divBdr>
                                        <w:top w:val="none" w:sz="0" w:space="0" w:color="auto"/>
                                        <w:left w:val="none" w:sz="0" w:space="0" w:color="auto"/>
                                        <w:bottom w:val="none" w:sz="0" w:space="0" w:color="auto"/>
                                        <w:right w:val="none" w:sz="0" w:space="0" w:color="auto"/>
                                      </w:divBdr>
                                      <w:divsChild>
                                        <w:div w:id="1333070686">
                                          <w:marLeft w:val="0"/>
                                          <w:marRight w:val="0"/>
                                          <w:marTop w:val="0"/>
                                          <w:marBottom w:val="0"/>
                                          <w:divBdr>
                                            <w:top w:val="none" w:sz="0" w:space="0" w:color="auto"/>
                                            <w:left w:val="none" w:sz="0" w:space="0" w:color="auto"/>
                                            <w:bottom w:val="none" w:sz="0" w:space="0" w:color="auto"/>
                                            <w:right w:val="none" w:sz="0" w:space="0" w:color="auto"/>
                                          </w:divBdr>
                                          <w:divsChild>
                                            <w:div w:id="986469354">
                                              <w:marLeft w:val="0"/>
                                              <w:marRight w:val="0"/>
                                              <w:marTop w:val="0"/>
                                              <w:marBottom w:val="0"/>
                                              <w:divBdr>
                                                <w:top w:val="none" w:sz="0" w:space="0" w:color="auto"/>
                                                <w:left w:val="none" w:sz="0" w:space="0" w:color="auto"/>
                                                <w:bottom w:val="none" w:sz="0" w:space="0" w:color="auto"/>
                                                <w:right w:val="none" w:sz="0" w:space="0" w:color="auto"/>
                                              </w:divBdr>
                                              <w:divsChild>
                                                <w:div w:id="519514564">
                                                  <w:marLeft w:val="0"/>
                                                  <w:marRight w:val="0"/>
                                                  <w:marTop w:val="0"/>
                                                  <w:marBottom w:val="0"/>
                                                  <w:divBdr>
                                                    <w:top w:val="none" w:sz="0" w:space="0" w:color="auto"/>
                                                    <w:left w:val="none" w:sz="0" w:space="0" w:color="auto"/>
                                                    <w:bottom w:val="none" w:sz="0" w:space="0" w:color="auto"/>
                                                    <w:right w:val="none" w:sz="0" w:space="0" w:color="auto"/>
                                                  </w:divBdr>
                                                  <w:divsChild>
                                                    <w:div w:id="1333030219">
                                                      <w:marLeft w:val="0"/>
                                                      <w:marRight w:val="0"/>
                                                      <w:marTop w:val="0"/>
                                                      <w:marBottom w:val="0"/>
                                                      <w:divBdr>
                                                        <w:top w:val="none" w:sz="0" w:space="0" w:color="auto"/>
                                                        <w:left w:val="none" w:sz="0" w:space="0" w:color="auto"/>
                                                        <w:bottom w:val="none" w:sz="0" w:space="0" w:color="auto"/>
                                                        <w:right w:val="none" w:sz="0" w:space="0" w:color="auto"/>
                                                      </w:divBdr>
                                                      <w:divsChild>
                                                        <w:div w:id="558516795">
                                                          <w:marLeft w:val="0"/>
                                                          <w:marRight w:val="0"/>
                                                          <w:marTop w:val="0"/>
                                                          <w:marBottom w:val="0"/>
                                                          <w:divBdr>
                                                            <w:top w:val="none" w:sz="0" w:space="0" w:color="auto"/>
                                                            <w:left w:val="none" w:sz="0" w:space="0" w:color="auto"/>
                                                            <w:bottom w:val="none" w:sz="0" w:space="0" w:color="auto"/>
                                                            <w:right w:val="none" w:sz="0" w:space="0" w:color="auto"/>
                                                          </w:divBdr>
                                                          <w:divsChild>
                                                            <w:div w:id="358969950">
                                                              <w:marLeft w:val="0"/>
                                                              <w:marRight w:val="0"/>
                                                              <w:marTop w:val="0"/>
                                                              <w:marBottom w:val="0"/>
                                                              <w:divBdr>
                                                                <w:top w:val="none" w:sz="0" w:space="0" w:color="auto"/>
                                                                <w:left w:val="none" w:sz="0" w:space="0" w:color="auto"/>
                                                                <w:bottom w:val="none" w:sz="0" w:space="0" w:color="auto"/>
                                                                <w:right w:val="none" w:sz="0" w:space="0" w:color="auto"/>
                                                              </w:divBdr>
                                                              <w:divsChild>
                                                                <w:div w:id="1272321406">
                                                                  <w:marLeft w:val="0"/>
                                                                  <w:marRight w:val="0"/>
                                                                  <w:marTop w:val="0"/>
                                                                  <w:marBottom w:val="0"/>
                                                                  <w:divBdr>
                                                                    <w:top w:val="none" w:sz="0" w:space="0" w:color="auto"/>
                                                                    <w:left w:val="none" w:sz="0" w:space="0" w:color="auto"/>
                                                                    <w:bottom w:val="none" w:sz="0" w:space="0" w:color="auto"/>
                                                                    <w:right w:val="none" w:sz="0" w:space="0" w:color="auto"/>
                                                                  </w:divBdr>
                                                                  <w:divsChild>
                                                                    <w:div w:id="1863012028">
                                                                      <w:marLeft w:val="0"/>
                                                                      <w:marRight w:val="0"/>
                                                                      <w:marTop w:val="0"/>
                                                                      <w:marBottom w:val="0"/>
                                                                      <w:divBdr>
                                                                        <w:top w:val="none" w:sz="0" w:space="0" w:color="auto"/>
                                                                        <w:left w:val="none" w:sz="0" w:space="0" w:color="auto"/>
                                                                        <w:bottom w:val="none" w:sz="0" w:space="0" w:color="auto"/>
                                                                        <w:right w:val="none" w:sz="0" w:space="0" w:color="auto"/>
                                                                      </w:divBdr>
                                                                      <w:divsChild>
                                                                        <w:div w:id="1004093858">
                                                                          <w:marLeft w:val="0"/>
                                                                          <w:marRight w:val="0"/>
                                                                          <w:marTop w:val="0"/>
                                                                          <w:marBottom w:val="0"/>
                                                                          <w:divBdr>
                                                                            <w:top w:val="none" w:sz="0" w:space="0" w:color="auto"/>
                                                                            <w:left w:val="none" w:sz="0" w:space="0" w:color="auto"/>
                                                                            <w:bottom w:val="none" w:sz="0" w:space="0" w:color="auto"/>
                                                                            <w:right w:val="none" w:sz="0" w:space="0" w:color="auto"/>
                                                                          </w:divBdr>
                                                                          <w:divsChild>
                                                                            <w:div w:id="2133476495">
                                                                              <w:marLeft w:val="0"/>
                                                                              <w:marRight w:val="0"/>
                                                                              <w:marTop w:val="0"/>
                                                                              <w:marBottom w:val="0"/>
                                                                              <w:divBdr>
                                                                                <w:top w:val="none" w:sz="0" w:space="0" w:color="auto"/>
                                                                                <w:left w:val="none" w:sz="0" w:space="0" w:color="auto"/>
                                                                                <w:bottom w:val="none" w:sz="0" w:space="0" w:color="auto"/>
                                                                                <w:right w:val="none" w:sz="0" w:space="0" w:color="auto"/>
                                                                              </w:divBdr>
                                                                              <w:divsChild>
                                                                                <w:div w:id="1825123194">
                                                                                  <w:marLeft w:val="0"/>
                                                                                  <w:marRight w:val="0"/>
                                                                                  <w:marTop w:val="0"/>
                                                                                  <w:marBottom w:val="0"/>
                                                                                  <w:divBdr>
                                                                                    <w:top w:val="none" w:sz="0" w:space="0" w:color="auto"/>
                                                                                    <w:left w:val="none" w:sz="0" w:space="0" w:color="auto"/>
                                                                                    <w:bottom w:val="none" w:sz="0" w:space="0" w:color="auto"/>
                                                                                    <w:right w:val="none" w:sz="0" w:space="0" w:color="auto"/>
                                                                                  </w:divBdr>
                                                                                  <w:divsChild>
                                                                                    <w:div w:id="75173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607706">
      <w:bodyDiv w:val="1"/>
      <w:marLeft w:val="0"/>
      <w:marRight w:val="0"/>
      <w:marTop w:val="0"/>
      <w:marBottom w:val="0"/>
      <w:divBdr>
        <w:top w:val="none" w:sz="0" w:space="0" w:color="auto"/>
        <w:left w:val="none" w:sz="0" w:space="0" w:color="auto"/>
        <w:bottom w:val="none" w:sz="0" w:space="0" w:color="auto"/>
        <w:right w:val="none" w:sz="0" w:space="0" w:color="auto"/>
      </w:divBdr>
      <w:divsChild>
        <w:div w:id="1878422291">
          <w:marLeft w:val="547"/>
          <w:marRight w:val="0"/>
          <w:marTop w:val="134"/>
          <w:marBottom w:val="0"/>
          <w:divBdr>
            <w:top w:val="none" w:sz="0" w:space="0" w:color="auto"/>
            <w:left w:val="none" w:sz="0" w:space="0" w:color="auto"/>
            <w:bottom w:val="none" w:sz="0" w:space="0" w:color="auto"/>
            <w:right w:val="none" w:sz="0" w:space="0" w:color="auto"/>
          </w:divBdr>
        </w:div>
        <w:div w:id="1950316299">
          <w:marLeft w:val="547"/>
          <w:marRight w:val="0"/>
          <w:marTop w:val="134"/>
          <w:marBottom w:val="0"/>
          <w:divBdr>
            <w:top w:val="none" w:sz="0" w:space="0" w:color="auto"/>
            <w:left w:val="none" w:sz="0" w:space="0" w:color="auto"/>
            <w:bottom w:val="none" w:sz="0" w:space="0" w:color="auto"/>
            <w:right w:val="none" w:sz="0" w:space="0" w:color="auto"/>
          </w:divBdr>
        </w:div>
        <w:div w:id="1522938448">
          <w:marLeft w:val="547"/>
          <w:marRight w:val="0"/>
          <w:marTop w:val="134"/>
          <w:marBottom w:val="0"/>
          <w:divBdr>
            <w:top w:val="none" w:sz="0" w:space="0" w:color="auto"/>
            <w:left w:val="none" w:sz="0" w:space="0" w:color="auto"/>
            <w:bottom w:val="none" w:sz="0" w:space="0" w:color="auto"/>
            <w:right w:val="none" w:sz="0" w:space="0" w:color="auto"/>
          </w:divBdr>
        </w:div>
        <w:div w:id="2033651861">
          <w:marLeft w:val="1166"/>
          <w:marRight w:val="0"/>
          <w:marTop w:val="115"/>
          <w:marBottom w:val="0"/>
          <w:divBdr>
            <w:top w:val="none" w:sz="0" w:space="0" w:color="auto"/>
            <w:left w:val="none" w:sz="0" w:space="0" w:color="auto"/>
            <w:bottom w:val="none" w:sz="0" w:space="0" w:color="auto"/>
            <w:right w:val="none" w:sz="0" w:space="0" w:color="auto"/>
          </w:divBdr>
        </w:div>
        <w:div w:id="1688824626">
          <w:marLeft w:val="1166"/>
          <w:marRight w:val="0"/>
          <w:marTop w:val="115"/>
          <w:marBottom w:val="0"/>
          <w:divBdr>
            <w:top w:val="none" w:sz="0" w:space="0" w:color="auto"/>
            <w:left w:val="none" w:sz="0" w:space="0" w:color="auto"/>
            <w:bottom w:val="none" w:sz="0" w:space="0" w:color="auto"/>
            <w:right w:val="none" w:sz="0" w:space="0" w:color="auto"/>
          </w:divBdr>
        </w:div>
      </w:divsChild>
    </w:div>
    <w:div w:id="558517448">
      <w:bodyDiv w:val="1"/>
      <w:marLeft w:val="0"/>
      <w:marRight w:val="0"/>
      <w:marTop w:val="0"/>
      <w:marBottom w:val="0"/>
      <w:divBdr>
        <w:top w:val="none" w:sz="0" w:space="0" w:color="auto"/>
        <w:left w:val="none" w:sz="0" w:space="0" w:color="auto"/>
        <w:bottom w:val="none" w:sz="0" w:space="0" w:color="auto"/>
        <w:right w:val="none" w:sz="0" w:space="0" w:color="auto"/>
      </w:divBdr>
      <w:divsChild>
        <w:div w:id="1704136689">
          <w:marLeft w:val="0"/>
          <w:marRight w:val="0"/>
          <w:marTop w:val="0"/>
          <w:marBottom w:val="0"/>
          <w:divBdr>
            <w:top w:val="none" w:sz="0" w:space="0" w:color="auto"/>
            <w:left w:val="none" w:sz="0" w:space="0" w:color="auto"/>
            <w:bottom w:val="none" w:sz="0" w:space="0" w:color="auto"/>
            <w:right w:val="none" w:sz="0" w:space="0" w:color="auto"/>
          </w:divBdr>
        </w:div>
      </w:divsChild>
    </w:div>
    <w:div w:id="600794628">
      <w:bodyDiv w:val="1"/>
      <w:marLeft w:val="0"/>
      <w:marRight w:val="0"/>
      <w:marTop w:val="0"/>
      <w:marBottom w:val="0"/>
      <w:divBdr>
        <w:top w:val="none" w:sz="0" w:space="0" w:color="auto"/>
        <w:left w:val="none" w:sz="0" w:space="0" w:color="auto"/>
        <w:bottom w:val="none" w:sz="0" w:space="0" w:color="auto"/>
        <w:right w:val="none" w:sz="0" w:space="0" w:color="auto"/>
      </w:divBdr>
      <w:divsChild>
        <w:div w:id="1980911458">
          <w:marLeft w:val="0"/>
          <w:marRight w:val="0"/>
          <w:marTop w:val="0"/>
          <w:marBottom w:val="0"/>
          <w:divBdr>
            <w:top w:val="none" w:sz="0" w:space="0" w:color="auto"/>
            <w:left w:val="none" w:sz="0" w:space="0" w:color="auto"/>
            <w:bottom w:val="none" w:sz="0" w:space="0" w:color="auto"/>
            <w:right w:val="none" w:sz="0" w:space="0" w:color="auto"/>
          </w:divBdr>
          <w:divsChild>
            <w:div w:id="1163548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188206">
      <w:bodyDiv w:val="1"/>
      <w:marLeft w:val="0"/>
      <w:marRight w:val="0"/>
      <w:marTop w:val="0"/>
      <w:marBottom w:val="0"/>
      <w:divBdr>
        <w:top w:val="none" w:sz="0" w:space="0" w:color="auto"/>
        <w:left w:val="none" w:sz="0" w:space="0" w:color="auto"/>
        <w:bottom w:val="none" w:sz="0" w:space="0" w:color="auto"/>
        <w:right w:val="none" w:sz="0" w:space="0" w:color="auto"/>
      </w:divBdr>
      <w:divsChild>
        <w:div w:id="1275944123">
          <w:marLeft w:val="0"/>
          <w:marRight w:val="0"/>
          <w:marTop w:val="0"/>
          <w:marBottom w:val="0"/>
          <w:divBdr>
            <w:top w:val="none" w:sz="0" w:space="0" w:color="auto"/>
            <w:left w:val="none" w:sz="0" w:space="0" w:color="auto"/>
            <w:bottom w:val="none" w:sz="0" w:space="0" w:color="auto"/>
            <w:right w:val="none" w:sz="0" w:space="0" w:color="auto"/>
          </w:divBdr>
        </w:div>
        <w:div w:id="432242213">
          <w:marLeft w:val="0"/>
          <w:marRight w:val="0"/>
          <w:marTop w:val="0"/>
          <w:marBottom w:val="0"/>
          <w:divBdr>
            <w:top w:val="none" w:sz="0" w:space="0" w:color="auto"/>
            <w:left w:val="none" w:sz="0" w:space="0" w:color="auto"/>
            <w:bottom w:val="none" w:sz="0" w:space="0" w:color="auto"/>
            <w:right w:val="none" w:sz="0" w:space="0" w:color="auto"/>
          </w:divBdr>
        </w:div>
        <w:div w:id="1933389376">
          <w:marLeft w:val="0"/>
          <w:marRight w:val="0"/>
          <w:marTop w:val="0"/>
          <w:marBottom w:val="0"/>
          <w:divBdr>
            <w:top w:val="none" w:sz="0" w:space="0" w:color="auto"/>
            <w:left w:val="none" w:sz="0" w:space="0" w:color="auto"/>
            <w:bottom w:val="none" w:sz="0" w:space="0" w:color="auto"/>
            <w:right w:val="none" w:sz="0" w:space="0" w:color="auto"/>
          </w:divBdr>
        </w:div>
        <w:div w:id="1761296071">
          <w:marLeft w:val="0"/>
          <w:marRight w:val="0"/>
          <w:marTop w:val="0"/>
          <w:marBottom w:val="0"/>
          <w:divBdr>
            <w:top w:val="none" w:sz="0" w:space="0" w:color="auto"/>
            <w:left w:val="none" w:sz="0" w:space="0" w:color="auto"/>
            <w:bottom w:val="none" w:sz="0" w:space="0" w:color="auto"/>
            <w:right w:val="none" w:sz="0" w:space="0" w:color="auto"/>
          </w:divBdr>
        </w:div>
        <w:div w:id="93865644">
          <w:marLeft w:val="0"/>
          <w:marRight w:val="0"/>
          <w:marTop w:val="0"/>
          <w:marBottom w:val="0"/>
          <w:divBdr>
            <w:top w:val="none" w:sz="0" w:space="0" w:color="auto"/>
            <w:left w:val="none" w:sz="0" w:space="0" w:color="auto"/>
            <w:bottom w:val="none" w:sz="0" w:space="0" w:color="auto"/>
            <w:right w:val="none" w:sz="0" w:space="0" w:color="auto"/>
          </w:divBdr>
        </w:div>
        <w:div w:id="1102602638">
          <w:marLeft w:val="0"/>
          <w:marRight w:val="0"/>
          <w:marTop w:val="0"/>
          <w:marBottom w:val="0"/>
          <w:divBdr>
            <w:top w:val="none" w:sz="0" w:space="0" w:color="auto"/>
            <w:left w:val="none" w:sz="0" w:space="0" w:color="auto"/>
            <w:bottom w:val="none" w:sz="0" w:space="0" w:color="auto"/>
            <w:right w:val="none" w:sz="0" w:space="0" w:color="auto"/>
          </w:divBdr>
        </w:div>
        <w:div w:id="491407400">
          <w:marLeft w:val="0"/>
          <w:marRight w:val="0"/>
          <w:marTop w:val="0"/>
          <w:marBottom w:val="0"/>
          <w:divBdr>
            <w:top w:val="none" w:sz="0" w:space="0" w:color="auto"/>
            <w:left w:val="none" w:sz="0" w:space="0" w:color="auto"/>
            <w:bottom w:val="none" w:sz="0" w:space="0" w:color="auto"/>
            <w:right w:val="none" w:sz="0" w:space="0" w:color="auto"/>
          </w:divBdr>
        </w:div>
      </w:divsChild>
    </w:div>
    <w:div w:id="889070243">
      <w:bodyDiv w:val="1"/>
      <w:marLeft w:val="0"/>
      <w:marRight w:val="0"/>
      <w:marTop w:val="0"/>
      <w:marBottom w:val="0"/>
      <w:divBdr>
        <w:top w:val="none" w:sz="0" w:space="0" w:color="auto"/>
        <w:left w:val="none" w:sz="0" w:space="0" w:color="auto"/>
        <w:bottom w:val="none" w:sz="0" w:space="0" w:color="auto"/>
        <w:right w:val="none" w:sz="0" w:space="0" w:color="auto"/>
      </w:divBdr>
    </w:div>
    <w:div w:id="1318803931">
      <w:bodyDiv w:val="1"/>
      <w:marLeft w:val="0"/>
      <w:marRight w:val="0"/>
      <w:marTop w:val="0"/>
      <w:marBottom w:val="0"/>
      <w:divBdr>
        <w:top w:val="none" w:sz="0" w:space="0" w:color="auto"/>
        <w:left w:val="none" w:sz="0" w:space="0" w:color="auto"/>
        <w:bottom w:val="none" w:sz="0" w:space="0" w:color="auto"/>
        <w:right w:val="none" w:sz="0" w:space="0" w:color="auto"/>
      </w:divBdr>
      <w:divsChild>
        <w:div w:id="496385567">
          <w:marLeft w:val="0"/>
          <w:marRight w:val="0"/>
          <w:marTop w:val="0"/>
          <w:marBottom w:val="0"/>
          <w:divBdr>
            <w:top w:val="none" w:sz="0" w:space="0" w:color="auto"/>
            <w:left w:val="none" w:sz="0" w:space="0" w:color="auto"/>
            <w:bottom w:val="none" w:sz="0" w:space="0" w:color="auto"/>
            <w:right w:val="none" w:sz="0" w:space="0" w:color="auto"/>
          </w:divBdr>
          <w:divsChild>
            <w:div w:id="85006145">
              <w:marLeft w:val="0"/>
              <w:marRight w:val="0"/>
              <w:marTop w:val="0"/>
              <w:marBottom w:val="0"/>
              <w:divBdr>
                <w:top w:val="none" w:sz="0" w:space="0" w:color="auto"/>
                <w:left w:val="none" w:sz="0" w:space="0" w:color="auto"/>
                <w:bottom w:val="none" w:sz="0" w:space="0" w:color="auto"/>
                <w:right w:val="none" w:sz="0" w:space="0" w:color="auto"/>
              </w:divBdr>
              <w:divsChild>
                <w:div w:id="395858065">
                  <w:marLeft w:val="0"/>
                  <w:marRight w:val="0"/>
                  <w:marTop w:val="0"/>
                  <w:marBottom w:val="0"/>
                  <w:divBdr>
                    <w:top w:val="none" w:sz="0" w:space="0" w:color="auto"/>
                    <w:left w:val="none" w:sz="0" w:space="0" w:color="auto"/>
                    <w:bottom w:val="none" w:sz="0" w:space="0" w:color="auto"/>
                    <w:right w:val="none" w:sz="0" w:space="0" w:color="auto"/>
                  </w:divBdr>
                  <w:divsChild>
                    <w:div w:id="540941603">
                      <w:marLeft w:val="0"/>
                      <w:marRight w:val="0"/>
                      <w:marTop w:val="0"/>
                      <w:marBottom w:val="0"/>
                      <w:divBdr>
                        <w:top w:val="none" w:sz="0" w:space="0" w:color="auto"/>
                        <w:left w:val="none" w:sz="0" w:space="0" w:color="auto"/>
                        <w:bottom w:val="none" w:sz="0" w:space="0" w:color="auto"/>
                        <w:right w:val="none" w:sz="0" w:space="0" w:color="auto"/>
                      </w:divBdr>
                      <w:divsChild>
                        <w:div w:id="757991813">
                          <w:marLeft w:val="0"/>
                          <w:marRight w:val="0"/>
                          <w:marTop w:val="0"/>
                          <w:marBottom w:val="0"/>
                          <w:divBdr>
                            <w:top w:val="none" w:sz="0" w:space="0" w:color="auto"/>
                            <w:left w:val="none" w:sz="0" w:space="0" w:color="auto"/>
                            <w:bottom w:val="none" w:sz="0" w:space="0" w:color="auto"/>
                            <w:right w:val="none" w:sz="0" w:space="0" w:color="auto"/>
                          </w:divBdr>
                          <w:divsChild>
                            <w:div w:id="115099098">
                              <w:marLeft w:val="0"/>
                              <w:marRight w:val="0"/>
                              <w:marTop w:val="0"/>
                              <w:marBottom w:val="0"/>
                              <w:divBdr>
                                <w:top w:val="none" w:sz="0" w:space="0" w:color="auto"/>
                                <w:left w:val="none" w:sz="0" w:space="0" w:color="auto"/>
                                <w:bottom w:val="none" w:sz="0" w:space="0" w:color="auto"/>
                                <w:right w:val="none" w:sz="0" w:space="0" w:color="auto"/>
                              </w:divBdr>
                              <w:divsChild>
                                <w:div w:id="1956061974">
                                  <w:marLeft w:val="0"/>
                                  <w:marRight w:val="0"/>
                                  <w:marTop w:val="0"/>
                                  <w:marBottom w:val="0"/>
                                  <w:divBdr>
                                    <w:top w:val="none" w:sz="0" w:space="0" w:color="auto"/>
                                    <w:left w:val="none" w:sz="0" w:space="0" w:color="auto"/>
                                    <w:bottom w:val="none" w:sz="0" w:space="0" w:color="auto"/>
                                    <w:right w:val="none" w:sz="0" w:space="0" w:color="auto"/>
                                  </w:divBdr>
                                  <w:divsChild>
                                    <w:div w:id="601424474">
                                      <w:marLeft w:val="0"/>
                                      <w:marRight w:val="0"/>
                                      <w:marTop w:val="0"/>
                                      <w:marBottom w:val="0"/>
                                      <w:divBdr>
                                        <w:top w:val="none" w:sz="0" w:space="0" w:color="auto"/>
                                        <w:left w:val="none" w:sz="0" w:space="0" w:color="auto"/>
                                        <w:bottom w:val="none" w:sz="0" w:space="0" w:color="auto"/>
                                        <w:right w:val="none" w:sz="0" w:space="0" w:color="auto"/>
                                      </w:divBdr>
                                      <w:divsChild>
                                        <w:div w:id="347754805">
                                          <w:marLeft w:val="0"/>
                                          <w:marRight w:val="0"/>
                                          <w:marTop w:val="0"/>
                                          <w:marBottom w:val="0"/>
                                          <w:divBdr>
                                            <w:top w:val="none" w:sz="0" w:space="0" w:color="auto"/>
                                            <w:left w:val="none" w:sz="0" w:space="0" w:color="auto"/>
                                            <w:bottom w:val="none" w:sz="0" w:space="0" w:color="auto"/>
                                            <w:right w:val="none" w:sz="0" w:space="0" w:color="auto"/>
                                          </w:divBdr>
                                          <w:divsChild>
                                            <w:div w:id="1265108969">
                                              <w:marLeft w:val="0"/>
                                              <w:marRight w:val="0"/>
                                              <w:marTop w:val="0"/>
                                              <w:marBottom w:val="0"/>
                                              <w:divBdr>
                                                <w:top w:val="none" w:sz="0" w:space="0" w:color="auto"/>
                                                <w:left w:val="none" w:sz="0" w:space="0" w:color="auto"/>
                                                <w:bottom w:val="none" w:sz="0" w:space="0" w:color="auto"/>
                                                <w:right w:val="none" w:sz="0" w:space="0" w:color="auto"/>
                                              </w:divBdr>
                                              <w:divsChild>
                                                <w:div w:id="131755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7799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4DA538-7B4C-49BE-8FF5-D803E266B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2</Pages>
  <Words>845</Words>
  <Characters>4820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University of Bristol</Company>
  <LinksUpToDate>false</LinksUpToDate>
  <CharactersWithSpaces>5654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 Hammerton</dc:creator>
  <cp:lastModifiedBy>G Hammerton</cp:lastModifiedBy>
  <cp:revision>15</cp:revision>
  <cp:lastPrinted>2016-08-04T11:18:00Z</cp:lastPrinted>
  <dcterms:created xsi:type="dcterms:W3CDTF">2017-03-22T14:12:00Z</dcterms:created>
  <dcterms:modified xsi:type="dcterms:W3CDTF">2017-09-20T09:23:00Z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gemma.hammerton@bristol.ac.uk@www.mendeley.com</vt:lpwstr>
  </property>
  <property fmtid="{D5CDD505-2E9C-101B-9397-08002B2CF9AE}" pid="4" name="Mendeley Citation Style_1">
    <vt:lpwstr>http://www.zotero.org/styles/apa</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16th edition (author-date)</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(author-date)</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7th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