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5B" w:rsidRPr="0023307E" w:rsidRDefault="00B05D5B" w:rsidP="00B05D5B">
      <w:pPr>
        <w:rPr>
          <w:rFonts w:ascii="Arial" w:hAnsi="Arial" w:cs="Arial"/>
        </w:rPr>
      </w:pPr>
      <w:r w:rsidRPr="0023307E">
        <w:rPr>
          <w:rFonts w:ascii="Arial" w:hAnsi="Arial" w:cs="Arial"/>
        </w:rPr>
        <w:t xml:space="preserve">Table 1. Summary of Participant Characteristics and Treatment Details as a Function of Study Focus (Relapse Prevention vs. Medication Adherence vs. Smoking/ Healthy Lifestyles) and Comparison Condition (Active vs. Treatment as Usual) </w:t>
      </w:r>
    </w:p>
    <w:tbl>
      <w:tblPr>
        <w:tblStyle w:val="TableGrid"/>
        <w:tblW w:w="1448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143"/>
        <w:gridCol w:w="46"/>
        <w:gridCol w:w="653"/>
        <w:gridCol w:w="611"/>
        <w:gridCol w:w="47"/>
        <w:gridCol w:w="21"/>
        <w:gridCol w:w="36"/>
        <w:gridCol w:w="795"/>
        <w:gridCol w:w="21"/>
        <w:gridCol w:w="36"/>
        <w:gridCol w:w="652"/>
        <w:gridCol w:w="21"/>
        <w:gridCol w:w="36"/>
        <w:gridCol w:w="3620"/>
        <w:gridCol w:w="11"/>
        <w:gridCol w:w="36"/>
        <w:gridCol w:w="3506"/>
        <w:gridCol w:w="36"/>
        <w:gridCol w:w="1300"/>
        <w:gridCol w:w="1712"/>
        <w:gridCol w:w="10"/>
        <w:gridCol w:w="33"/>
        <w:gridCol w:w="8"/>
        <w:gridCol w:w="93"/>
      </w:tblGrid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499726576"/>
            <w:r w:rsidRPr="0023307E">
              <w:rPr>
                <w:rFonts w:ascii="Arial" w:hAnsi="Arial" w:cs="Arial"/>
                <w:b/>
                <w:sz w:val="16"/>
                <w:szCs w:val="16"/>
              </w:rPr>
              <w:t>Study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Setting, Country</w:t>
            </w:r>
          </w:p>
        </w:tc>
        <w:tc>
          <w:tcPr>
            <w:tcW w:w="699" w:type="dxa"/>
            <w:gridSpan w:val="2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N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 (n phone)</w:t>
            </w:r>
          </w:p>
        </w:tc>
        <w:tc>
          <w:tcPr>
            <w:tcW w:w="611" w:type="dxa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Mean Age 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(years)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gridSpan w:val="4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% Male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% White</w:t>
            </w:r>
          </w:p>
        </w:tc>
        <w:tc>
          <w:tcPr>
            <w:tcW w:w="3677" w:type="dxa"/>
            <w:gridSpan w:val="3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Clinical Characteristics</w:t>
            </w:r>
          </w:p>
        </w:tc>
        <w:tc>
          <w:tcPr>
            <w:tcW w:w="4889" w:type="dxa"/>
            <w:gridSpan w:val="5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Intervention Summary</w:t>
            </w:r>
          </w:p>
        </w:tc>
        <w:tc>
          <w:tcPr>
            <w:tcW w:w="1712" w:type="dxa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Summary of control Sessions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RELAPSE PREVENTION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sz w:val="16"/>
                <w:szCs w:val="16"/>
              </w:rPr>
              <w:t>Telephone vs Active Comparison Condition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Beebe (2001)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USA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gridSpan w:val="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37 (15)</w:t>
            </w:r>
          </w:p>
        </w:tc>
        <w:tc>
          <w:tcPr>
            <w:tcW w:w="611" w:type="dxa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40.4</w:t>
            </w:r>
          </w:p>
        </w:tc>
        <w:tc>
          <w:tcPr>
            <w:tcW w:w="899" w:type="dxa"/>
            <w:gridSpan w:val="4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73.0% </w:t>
            </w:r>
          </w:p>
        </w:tc>
        <w:tc>
          <w:tcPr>
            <w:tcW w:w="709" w:type="dxa"/>
            <w:gridSpan w:val="3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76.0% </w:t>
            </w:r>
          </w:p>
        </w:tc>
        <w:tc>
          <w:tcPr>
            <w:tcW w:w="3677" w:type="dxa"/>
            <w:gridSpan w:val="3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DSM-IV diagnosis of schizophrenia; no details on how diagnosis was made.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Mean of 5.8 prior psychiatric hospital admissions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Post discharge from psychiatric hospital.</w:t>
            </w:r>
          </w:p>
        </w:tc>
        <w:tc>
          <w:tcPr>
            <w:tcW w:w="4889" w:type="dxa"/>
            <w:gridSpan w:val="5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Delivered alongside routine community-based follow-up care focussing on: attendance at appointments, medication, symptoms; new issues/worries/ any other topics.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Session frequency/length: 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weekly, about 10 mins/session.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3 months (commencing about </w:t>
            </w:r>
            <w:proofErr w:type="gramStart"/>
            <w:r w:rsidRPr="0023307E">
              <w:rPr>
                <w:rFonts w:ascii="Arial" w:hAnsi="Arial" w:cs="Arial"/>
                <w:sz w:val="16"/>
                <w:szCs w:val="16"/>
              </w:rPr>
              <w:t>one month</w:t>
            </w:r>
            <w:proofErr w:type="gramEnd"/>
            <w:r w:rsidRPr="0023307E">
              <w:rPr>
                <w:rFonts w:ascii="Arial" w:hAnsi="Arial" w:cs="Arial"/>
                <w:sz w:val="16"/>
                <w:szCs w:val="16"/>
              </w:rPr>
              <w:t xml:space="preserve"> post-discharge).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Delivered by: </w:t>
            </w:r>
            <w:r w:rsidRPr="0023307E">
              <w:rPr>
                <w:rFonts w:ascii="Arial" w:hAnsi="Arial" w:cs="Arial"/>
                <w:sz w:val="16"/>
                <w:szCs w:val="16"/>
              </w:rPr>
              <w:t>nurse investigator.</w:t>
            </w:r>
          </w:p>
        </w:tc>
        <w:tc>
          <w:tcPr>
            <w:tcW w:w="1712" w:type="dxa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Routine community-based follow-up care &amp; informational phone contact (1-3 mins) at 6 &amp; 12 weeks from nurse investigator.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Castle et al (2007)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Outpatient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Australia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17 (8)</w:t>
            </w:r>
          </w:p>
        </w:tc>
        <w:tc>
          <w:tcPr>
            <w:tcW w:w="611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44.0 </w:t>
            </w:r>
          </w:p>
        </w:tc>
        <w:tc>
          <w:tcPr>
            <w:tcW w:w="899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17.6%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Not reported</w:t>
            </w:r>
          </w:p>
        </w:tc>
        <w:tc>
          <w:tcPr>
            <w:tcW w:w="367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Diagnosis of Bipolar I (58.8%) or II (41.2%) on the MINI.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Under the management of a medical practitioner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Receiving usual pharmacological treatment.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89" w:type="dxa"/>
            <w:gridSpan w:val="5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Group sessions (manual guided) &amp; telephone checks (prompt attendance &amp; assist with homework).  Groups comprised education, peer support, new coping strategies &amp; relapse prevention.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Session frequency/length</w:t>
            </w:r>
            <w:r w:rsidRPr="0023307E">
              <w:rPr>
                <w:rFonts w:ascii="Arial" w:hAnsi="Arial" w:cs="Arial"/>
                <w:sz w:val="16"/>
                <w:szCs w:val="16"/>
              </w:rPr>
              <w:t>: weekly; group 90 mins/session, telephone not reported; 3 group booster sessions conducted at monthly intervals.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12 weeks (excl. booster sessions).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research assistants with training &amp; clinical experience in group delivery.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Weekly phone </w:t>
            </w:r>
            <w:proofErr w:type="gramStart"/>
            <w:r w:rsidRPr="0023307E">
              <w:rPr>
                <w:rFonts w:ascii="Arial" w:hAnsi="Arial" w:cs="Arial"/>
                <w:sz w:val="16"/>
                <w:szCs w:val="16"/>
              </w:rPr>
              <w:t>calls  (</w:t>
            </w:r>
            <w:proofErr w:type="gramEnd"/>
            <w:r w:rsidRPr="0023307E">
              <w:rPr>
                <w:rFonts w:ascii="Arial" w:hAnsi="Arial" w:cs="Arial"/>
                <w:sz w:val="16"/>
                <w:szCs w:val="16"/>
              </w:rPr>
              <w:t>content not specified) controlling for extra contact time with researchers outside of the structured group intervention.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Castle et al (2010)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Outpatient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Australia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gridSpan w:val="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82 (32)</w:t>
            </w:r>
          </w:p>
        </w:tc>
        <w:tc>
          <w:tcPr>
            <w:tcW w:w="611" w:type="dxa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42.1 </w:t>
            </w:r>
          </w:p>
        </w:tc>
        <w:tc>
          <w:tcPr>
            <w:tcW w:w="899" w:type="dxa"/>
            <w:gridSpan w:val="4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23.8%</w:t>
            </w:r>
          </w:p>
        </w:tc>
        <w:tc>
          <w:tcPr>
            <w:tcW w:w="709" w:type="dxa"/>
            <w:gridSpan w:val="3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Not reported</w:t>
            </w:r>
          </w:p>
        </w:tc>
        <w:tc>
          <w:tcPr>
            <w:tcW w:w="3677" w:type="dxa"/>
            <w:gridSpan w:val="3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DSM-IV-TR criteria for Bipolar I (73.8%) or II (25%), or not otherwise specified (1.2%) on the MINI.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Average age of diagnosis 32 years, (10 years prior to the study)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Number of weeks spent in hospital in previous 12 months: ~2 weeks.</w:t>
            </w:r>
          </w:p>
        </w:tc>
        <w:tc>
          <w:tcPr>
            <w:tcW w:w="4889" w:type="dxa"/>
            <w:gridSpan w:val="5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Intervention description, session frequency, length &amp; duration as above (Castle et al 2007)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one senior research clinician from the project team &amp; a clinician recruited from a clinical site.</w:t>
            </w:r>
          </w:p>
        </w:tc>
        <w:tc>
          <w:tcPr>
            <w:tcW w:w="1712" w:type="dxa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As above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Komatsu et al (2013)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Outpatient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Japan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45 (22)</w:t>
            </w:r>
          </w:p>
        </w:tc>
        <w:tc>
          <w:tcPr>
            <w:tcW w:w="611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43.1 </w:t>
            </w:r>
          </w:p>
        </w:tc>
        <w:tc>
          <w:tcPr>
            <w:tcW w:w="899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55.5%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Not reported</w:t>
            </w:r>
          </w:p>
        </w:tc>
        <w:tc>
          <w:tcPr>
            <w:tcW w:w="367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DSM-IV-TR diagnosis of schizophrenia (diagnostic interview not specified, likely clinical diagnosis)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Outpatients with a mean period following last hospital discharge of 35 months (SD 61, telephone) and 46 months (SD 51, control)</w:t>
            </w:r>
          </w:p>
        </w:tc>
        <w:tc>
          <w:tcPr>
            <w:tcW w:w="4889" w:type="dxa"/>
            <w:gridSpan w:val="5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10-item Early Warning Sign Questionnaire (EWSQ) via weekly phone calls. If the computer-generated score exceeded a given threshold, patients were instructed to increase their antipsychotic by 20% of baseline within the next 24 hours. Nurses visited patients' homes to verify increases in oral medication.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Session frequency: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Weekly.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12 months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Nurses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Weekly phone calls to administer the EWSQ. Nursing home visits conducted as usual (focusing on symptoms &amp; recommending early medical examinations) </w:t>
            </w:r>
            <w:proofErr w:type="gramStart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whether or not</w:t>
            </w:r>
            <w:proofErr w:type="gramEnd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the EWSQ predicted relapse. 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proofErr w:type="spellStart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Wenze</w:t>
            </w:r>
            <w:proofErr w:type="spellEnd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 et al (2015)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Outpatient setting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USA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9" w:type="dxa"/>
            <w:gridSpan w:val="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30 (14)</w:t>
            </w:r>
          </w:p>
        </w:tc>
        <w:tc>
          <w:tcPr>
            <w:tcW w:w="611" w:type="dxa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46.9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99" w:type="dxa"/>
            <w:gridSpan w:val="4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50% 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gridSpan w:val="3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89.75%</w:t>
            </w:r>
          </w:p>
        </w:tc>
        <w:tc>
          <w:tcPr>
            <w:tcW w:w="3677" w:type="dxa"/>
            <w:gridSpan w:val="3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DSM IV diagnosis of Bipolar I or II Disorder or Bipolar Disorder NOS as determined by the SCID.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Baseline mood state (depressed) 6 (42.9%) telephone vs. 12 (75%) control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>Outpatients post-discharge from psychiatric hospital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9" w:type="dxa"/>
            <w:gridSpan w:val="5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 xml:space="preserve">Manual guided. Individual in-person sessions focused on treatment &amp; psychiatric history, psycho-education, personal values, goals &amp; life plan. An in-person family meeting focused on psychoeducation &amp; supporting treatment. Telephone contact reviewed symptoms,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 xml:space="preserve">substance use, treatment, challenges &amp; problem-solving. Community Treatment providers received regular feedback letters.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Session frequency/length: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Telephone: weekly for the first month &amp; then at decreasing frequency, 15-30 minutes/ session.  Individual in-person: 3 x </w:t>
            </w:r>
            <w:proofErr w:type="gramStart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 hour</w:t>
            </w:r>
            <w:proofErr w:type="gramEnd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sessions. Family: 1 hour.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6 months; 11 telephone sessions.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doctoral level clinicians, trained until judged competent.</w:t>
            </w:r>
          </w:p>
        </w:tc>
        <w:tc>
          <w:tcPr>
            <w:tcW w:w="1712" w:type="dxa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 xml:space="preserve">Enhanced assessment &amp; monitoring - a battery of assessments </w:t>
            </w:r>
            <w:proofErr w:type="gramStart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were</w:t>
            </w:r>
            <w:proofErr w:type="gramEnd"/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administered as part of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>the study procedures &amp; treatment providers given a written summary.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lastRenderedPageBreak/>
              <w:t>Telephone vs Treatment as Usual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</w:tcPr>
          <w:p w:rsidR="00B05D5B" w:rsidRPr="0023307E" w:rsidRDefault="006A22E5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Haddock et al (2017</w:t>
            </w:r>
            <w:bookmarkStart w:id="1" w:name="_GoBack"/>
            <w:bookmarkEnd w:id="1"/>
            <w:r w:rsidR="00B05D5B"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Outpatient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UK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9" w:type="dxa"/>
            <w:gridSpan w:val="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89 (68)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gridSpan w:val="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36.0 </w:t>
            </w:r>
          </w:p>
        </w:tc>
        <w:tc>
          <w:tcPr>
            <w:tcW w:w="852" w:type="dxa"/>
            <w:gridSpan w:val="3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63% </w:t>
            </w:r>
          </w:p>
        </w:tc>
        <w:tc>
          <w:tcPr>
            <w:tcW w:w="709" w:type="dxa"/>
            <w:gridSpan w:val="3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80.5% </w:t>
            </w:r>
          </w:p>
        </w:tc>
        <w:tc>
          <w:tcPr>
            <w:tcW w:w="3677" w:type="dxa"/>
            <w:gridSpan w:val="3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ICD-10 diagnosis of schizophrenia spectrum disorder (diagnostic interview not specified). Schizophrenia 41%, schizoaffective disorder 13%, psychosis not otherwise specified 36%, paranoid schizophrenia 6%, and bipolar disorder 1%.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Symptoms stable for one month</w:t>
            </w:r>
          </w:p>
        </w:tc>
        <w:tc>
          <w:tcPr>
            <w:tcW w:w="4889" w:type="dxa"/>
            <w:gridSpan w:val="5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Telephone Supported Therapy (TS): TAU + manual guided primarily telephone delivered recovery oriented CBT incorporating a self-help manual.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High Support (HS): TAU + TS + manual guided group sessions that focused on shared ideas &amp; experiences &amp; explored recovery, CBT principles &amp; normalising experiences.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TS 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CBT Therapist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TS Session frequency/length: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Weekly, up to 1 hour.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HS 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CBT therapist &amp; a researcher with lived experience of mental health challenges.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HS Session frequency/length: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As per TS + up to 12 bi-weekly, 2-hour group sessions delivered over 6 months</w:t>
            </w:r>
          </w:p>
        </w:tc>
        <w:tc>
          <w:tcPr>
            <w:tcW w:w="1712" w:type="dxa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TAU: usual medical &amp; nursing care management plus trial assessments at baseline, 9- &amp; 15-months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Javadpour</w:t>
            </w:r>
            <w:proofErr w:type="spellEnd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 et al 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(2013)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Outpatient setting,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Iran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108 (54)</w:t>
            </w:r>
          </w:p>
        </w:tc>
        <w:tc>
          <w:tcPr>
            <w:tcW w:w="658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Not reported</w:t>
            </w: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49%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Not reported</w:t>
            </w:r>
          </w:p>
        </w:tc>
        <w:tc>
          <w:tcPr>
            <w:tcW w:w="367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Hospital discharge diagnosis of bipolar disorder.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Participants were in the remission phase following discharge from hospital.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9" w:type="dxa"/>
            <w:gridSpan w:val="5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Standard pharmacotherapy for bipolar disorder plus individual face-to-face psycho-education on bipolar disorder,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relapse prevention signs and strategies, plus monthly telephone contact to remind the participant of their next appointment &amp; respond to queries.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Session frequency/length: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Face-to-face: 8 weekly sessions, 50 mins/session; Telephone: monthly, 10 mins/session.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18 months.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The same psychiatry resident in the psychology clinic at a teaching hospital.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TAU: Standard pharmacotherapy of their psychiatrists' choice for 18 months.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Price (2007)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Transition from inpatient to community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USA</w:t>
            </w: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13 (7)</w:t>
            </w:r>
          </w:p>
        </w:tc>
        <w:tc>
          <w:tcPr>
            <w:tcW w:w="658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25.5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69%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69%</w:t>
            </w:r>
          </w:p>
        </w:tc>
        <w:tc>
          <w:tcPr>
            <w:tcW w:w="367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Participants had a diagnosis of schizophrenia or schizoaffective disorder consistent with DSM-IV.</w:t>
            </w:r>
          </w:p>
        </w:tc>
        <w:tc>
          <w:tcPr>
            <w:tcW w:w="4889" w:type="dxa"/>
            <w:gridSpan w:val="5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Part 1: Structured interview 2-3 days before discharge to determine plans for housing, employment or education; assess knowledge about the outpatient site for follow-up appointments; discuss prescribed medications; discuss any concerns with medication or follow-up appointments. Part 2: Phone calls to check on welfare &amp; to remind about clinic appointment. Part 3: Participants provided with a prepaid mobile phone and encouraged to call the nurse if any problems arose. Part 4: Nurse called the case manager to review information from Part 1.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Session frequency: 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Telephone: twice between discharge &amp; scheduled outpatient appointment; nurse available 24 hours/day during first 2 weeks &amp; as needed during following 4-6 weeks.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Advanced practice psychiatric nurse.</w:t>
            </w:r>
          </w:p>
        </w:tc>
        <w:tc>
          <w:tcPr>
            <w:tcW w:w="1712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TAU: Structured interview with no further nurse-client contact.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Simon et al (2006)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 xml:space="preserve">Mental health clinics,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USA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441 (212)</w:t>
            </w:r>
          </w:p>
        </w:tc>
        <w:tc>
          <w:tcPr>
            <w:tcW w:w="658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44.2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31.7% 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88.4%</w:t>
            </w:r>
          </w:p>
        </w:tc>
        <w:tc>
          <w:tcPr>
            <w:tcW w:w="367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Diagnosis of Type I or Type II Bipolar Disorder by DSM-IV criteria using the SCID interview, or by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lastRenderedPageBreak/>
              <w:t xml:space="preserve">clinical record review if SCID did not confirm diagnosis.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98 participants (22.2%) were in remission (mania and depression PSR scores, 1-2),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183 participants (41.5%) met threshold for current major depression, hypomania, or mania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160 participants (36.3%) had subthreshold mood symptoms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889" w:type="dxa"/>
            <w:gridSpan w:val="5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In-person visit to the nurse care manager for development of a collaborative structured care plan including warning signs &amp; coping strategies + Telephone monitoring: clinical &amp; self-reported mood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ratings; medication use/ side-effects; follow-up plans; brief support &amp; review of problems discussed at group meetings + Provision of written, structured feedback &amp; medication recommendations to treatment providers + outreach &amp; support as needed + Group program (psychoeducation &amp; problem solving).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Session frequency/duration: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Telephone: once/month (additional ‘as needed’); Group: bi-monthly, 1 hour; outreach visits as needed. 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Duration: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up to 24 months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3 nurse care managers delivered the intervention &amp; collaborated with regular care providers.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TAU: existing treatment &amp; any or all services normally available at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2/4 participating clinics, unstructured support groups for patients with bipolar disorder were available</w:t>
            </w:r>
          </w:p>
        </w:tc>
      </w:tr>
      <w:tr w:rsidR="00B05D5B" w:rsidRPr="0023307E" w:rsidTr="005E2F00">
        <w:trPr>
          <w:gridAfter w:val="4"/>
          <w:wAfter w:w="144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proofErr w:type="spellStart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lastRenderedPageBreak/>
              <w:t>Miklowitz</w:t>
            </w:r>
            <w:proofErr w:type="spellEnd"/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 et al (2012)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Outpatient setting,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UK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19 (19)</w:t>
            </w:r>
          </w:p>
        </w:tc>
        <w:tc>
          <w:tcPr>
            <w:tcW w:w="658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37.2 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31.6%;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94.7% </w:t>
            </w:r>
          </w:p>
        </w:tc>
        <w:tc>
          <w:tcPr>
            <w:tcW w:w="367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Patients were referred to the program with DSM-IV-TR diagnoses of bipolar I (73.7%) or II (26.3%). Diagnostic interview not specified, likely clinical diagnosis.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9" w:type="dxa"/>
            <w:gridSpan w:val="5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Manual guided psychoeducation (identifying relapse signature; reviewing risk &amp; protective factors; daily rhythm &amp; sleep/wake regulation; role of medications &amp; substance/alcohol use; finalizing the mood management plan). Participants were encouraged to invite a caregiver to sessions. Telephone calls focused on checking in &amp; whether they had been implementing the plan.  Daily texts &amp; emails to monitor mood &amp; sleep, and weekly ratings of depression &amp; mania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Session frequency/length: 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Pilot I: 6 weekly sessions. Pilot II: 5 weekly sessions. Bi-weekly &amp; then monthly 30min phone calls for 3 months after the final session. Daily texts/emails.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4-5 months.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University qualified facilitators with no formal clinical qualifications, trained using a three-day workshop &amp; bi-weekly group supervision.</w:t>
            </w:r>
          </w:p>
        </w:tc>
        <w:tc>
          <w:tcPr>
            <w:tcW w:w="1712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MEDICATION ADHERENCE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sz w:val="16"/>
                <w:szCs w:val="16"/>
              </w:rPr>
              <w:t>Telephone vs Active Comparison Condition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No Studies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sz w:val="16"/>
                <w:szCs w:val="16"/>
              </w:rPr>
              <w:t>Telephone vs. Treatment as Usual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89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Beebe et al (2016)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Community health centre,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 USA</w:t>
            </w:r>
          </w:p>
        </w:tc>
        <w:tc>
          <w:tcPr>
            <w:tcW w:w="653" w:type="dxa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140 (?)</w:t>
            </w:r>
          </w:p>
        </w:tc>
        <w:tc>
          <w:tcPr>
            <w:tcW w:w="67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57.1%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62.1%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Schizoaffective 67.1%, schizophrenia 32.9% chart diagnosis according to DSM-IV. Diagnostic interview not specified.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Not hospitalised for psychiatric illness within the past 6 months.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The theory of planned behaviour guided intervention. Delivered by nurses who expressed &amp; reinforced the value of adherence, educated the participant about adherence benefits, &amp; problem solved adherence barriers.</w:t>
            </w: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Session frequency: 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Once/week.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3 months.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Nurses.</w:t>
            </w:r>
          </w:p>
        </w:tc>
        <w:tc>
          <w:tcPr>
            <w:tcW w:w="3058" w:type="dxa"/>
            <w:gridSpan w:val="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Usual care with no telephone intervention.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8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Cook et </w:t>
            </w:r>
            <w:proofErr w:type="gramStart"/>
            <w:r w:rsidRPr="0023307E">
              <w:rPr>
                <w:rFonts w:ascii="Arial" w:hAnsi="Arial" w:cs="Arial"/>
                <w:b/>
                <w:sz w:val="16"/>
                <w:szCs w:val="16"/>
              </w:rPr>
              <w:t>al  (</w:t>
            </w:r>
            <w:proofErr w:type="gramEnd"/>
            <w:r w:rsidRPr="0023307E">
              <w:rPr>
                <w:rFonts w:ascii="Arial" w:hAnsi="Arial" w:cs="Arial"/>
                <w:b/>
                <w:sz w:val="16"/>
                <w:szCs w:val="16"/>
              </w:rPr>
              <w:t>2008)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Managed Medicaid health plan for women and children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Mid-Western state - USA</w:t>
            </w:r>
          </w:p>
        </w:tc>
        <w:tc>
          <w:tcPr>
            <w:tcW w:w="65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202 (51)</w:t>
            </w:r>
          </w:p>
        </w:tc>
        <w:tc>
          <w:tcPr>
            <w:tcW w:w="67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33.4</w:t>
            </w: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16.2%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Self-reported diagnoses: bipolar disorder (22/58; 37.9%), depression (18/58; 31.0%), anxiety disorders (10/58; 17.2%), schizophrenia (2/58; 3.4%), schizoaffective disorder 1/58; 1.7%), hallucinations and delusions (3/58; 5.2%), antisocial personality (1/58; 1.7%), and borderline personality (1/58; 1/7%), 1 missing.</w:t>
            </w:r>
          </w:p>
        </w:tc>
        <w:tc>
          <w:tcPr>
            <w:tcW w:w="3542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Initial calls to screen for non-adherence risk.  Low risk participants received a toll-free phone number plus 1 follow-up call at 6 months.  High-risk participants received follow-up calls.  Strategies included MI or CBT counselling based on readiness to change &amp; individual barriers to adherence. Written materials mailed to 88%. A written progress note was sent to their health plan case manager after each call.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Session frequency/length: </w:t>
            </w:r>
            <w:r w:rsidRPr="0023307E">
              <w:rPr>
                <w:rFonts w:ascii="Arial" w:hAnsi="Arial" w:cs="Arial"/>
                <w:sz w:val="16"/>
                <w:szCs w:val="16"/>
              </w:rPr>
              <w:t>see</w:t>
            </w:r>
            <w:r w:rsidRPr="0023307E">
              <w:rPr>
                <w:rFonts w:ascii="Arial" w:hAnsi="Arial" w:cs="Arial"/>
                <w:i/>
                <w:sz w:val="16"/>
                <w:szCs w:val="16"/>
              </w:rPr>
              <w:t xml:space="preserve"> Attendance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 6 months.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Registered nurses.</w:t>
            </w:r>
          </w:p>
        </w:tc>
        <w:tc>
          <w:tcPr>
            <w:tcW w:w="3058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 intervention. The control condition consisted of health plan members who could not be contacted with the aim of ruling out regression to the mean, history, and maturation effects.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89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lastRenderedPageBreak/>
              <w:t>Montes et al (2010)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Community mental health centres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Spain</w:t>
            </w:r>
          </w:p>
        </w:tc>
        <w:tc>
          <w:tcPr>
            <w:tcW w:w="653" w:type="dxa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928 (456)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40.1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65.3%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DSM-IV-TR diagnosis of schizophrenia as established by the SCID.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Mean years from last hospitalization was 3.2 (SD 4.3) telephone and 3.2 (SD 3.7) control.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Average duration of illness was 13.5 years (SD 9.7) telephone and 12.7 years (SD 9.4) control.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Clinically stable (i.e. no changes in severity or new treatments initiated in the last 6 months).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Brief semi-structured assessment of treatment [knowledge of medication regimen &amp; adherence] plus the DAI-10. The psychiatrist received a structured report of each contact. Any documented non-adherence prompted a scheduled psychiatrist visit within 7 days.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Session frequency: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4, 8 &amp; 12 weeks from baseline. </w:t>
            </w: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Experienced outpatient mental health nurses who knew the patient (training comprised 40 minutes’ didactic instruction from investigators).</w:t>
            </w:r>
          </w:p>
        </w:tc>
        <w:tc>
          <w:tcPr>
            <w:tcW w:w="3058" w:type="dxa"/>
            <w:gridSpan w:val="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4-month psychiatrist visit without the telephone calls.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8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3307E">
              <w:rPr>
                <w:rFonts w:ascii="Arial" w:hAnsi="Arial" w:cs="Arial"/>
                <w:b/>
                <w:sz w:val="16"/>
                <w:szCs w:val="16"/>
              </w:rPr>
              <w:t>Salzer</w:t>
            </w:r>
            <w:proofErr w:type="spellEnd"/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 et al (2004)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Community Mental Health Centres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w="65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32 (18)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DSM-IV diagnosis of schizophrenia spectrum disorder.</w:t>
            </w:r>
          </w:p>
        </w:tc>
        <w:tc>
          <w:tcPr>
            <w:tcW w:w="3542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Phone only intervention. Goals included verbal reinforcement for positive self-care behaviours (e.g., adherence), encouraging discussion, validating treatment experience, and problem-solving improvements in self-care. Aimed to improve communication, insight into illness, attitudes &amp; knowledge about treatment, treatment satisfaction, &amp; decrease side effects.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Session frequency/length: 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weekly, &lt;=10 mins/session). </w:t>
            </w: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52 weeks. </w:t>
            </w: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Delivered by: </w:t>
            </w:r>
            <w:r w:rsidRPr="0023307E">
              <w:rPr>
                <w:rFonts w:ascii="Arial" w:hAnsi="Arial" w:cs="Arial"/>
                <w:sz w:val="16"/>
                <w:szCs w:val="16"/>
              </w:rPr>
              <w:t>Not reported.</w:t>
            </w:r>
          </w:p>
        </w:tc>
        <w:tc>
          <w:tcPr>
            <w:tcW w:w="3058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described but likely to be TAU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sz w:val="16"/>
                <w:szCs w:val="16"/>
              </w:rPr>
              <w:t>Telephone With no Comparison Condition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Boardman et al (2013)</w:t>
            </w: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Community Mental Health Centre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Australia </w:t>
            </w: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28 (28)</w:t>
            </w:r>
          </w:p>
        </w:tc>
        <w:tc>
          <w:tcPr>
            <w:tcW w:w="67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35.1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67.9%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Primary diagnosis of schizophrenia from a CMHC.</w:t>
            </w: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Baseline mean total BPRS score (administered by their case manager) = 36.0, indicating very mild symptoms of mental illness.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Peer delivered problem solving &amp; mutual support approach to address problems with medication adherence.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Session frequency/length: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weekly, approx. 20 minutes/session.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8 weeks.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Peers (peers had max. two consumers at any given time) trained using an interactive 3-hour work shop &amp; weekly telephone support</w:t>
            </w:r>
          </w:p>
        </w:tc>
        <w:tc>
          <w:tcPr>
            <w:tcW w:w="3058" w:type="dxa"/>
            <w:gridSpan w:val="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NA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McKenzie &amp; Chang (2014)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Private outpatient psychiatry office</w:t>
            </w: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New York, USA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14 (14)</w:t>
            </w:r>
          </w:p>
        </w:tc>
        <w:tc>
          <w:tcPr>
            <w:tcW w:w="67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35.0 </w:t>
            </w: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26.7% 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100% </w:t>
            </w:r>
          </w:p>
        </w:tc>
        <w:tc>
          <w:tcPr>
            <w:tcW w:w="366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Diagnosis of bipolar disorder assumed based on the clinical knowledge of the psychiatric provider.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Private psychiatry outpatients with a medication adherence rate of 80% or less over the previous month.  </w:t>
            </w:r>
          </w:p>
          <w:p w:rsidR="00B05D5B" w:rsidRPr="0023307E" w:rsidRDefault="00B05D5B" w:rsidP="005E2F00">
            <w:pPr>
              <w:tabs>
                <w:tab w:val="left" w:pos="11482"/>
              </w:tabs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Acute psychosis and suicidal ideation excluded.</w:t>
            </w:r>
          </w:p>
        </w:tc>
        <w:tc>
          <w:tcPr>
            <w:tcW w:w="3542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 xml:space="preserve">A 3-week MI intervention. One face-to-face session then two telephone sessions following a script. Participants were encouraged to consider risks &amp; benefits of medication adherence, readiness to change medication taking behaviours, and to review goals.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 xml:space="preserve">Sessions frequency/length: 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1 face-to-face (45-60 minutes) &amp; 2 telephone sessions (20-30 minutes). </w:t>
            </w:r>
            <w:r w:rsidRPr="0023307E">
              <w:rPr>
                <w:rFonts w:ascii="Arial" w:hAnsi="Arial" w:cs="Arial"/>
                <w:b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3 weeks.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sz w:val="16"/>
                <w:szCs w:val="16"/>
              </w:rPr>
              <w:t xml:space="preserve"> nurses</w:t>
            </w:r>
          </w:p>
        </w:tc>
        <w:tc>
          <w:tcPr>
            <w:tcW w:w="3058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NA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BFBFBF" w:themeFill="background1" w:themeFillShade="BF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SMOKING/ HEALTHY LIFESTYLES</w:t>
            </w:r>
          </w:p>
        </w:tc>
      </w:tr>
      <w:tr w:rsidR="00B05D5B" w:rsidRPr="0023307E" w:rsidTr="005E2F00">
        <w:trPr>
          <w:gridAfter w:val="3"/>
          <w:wAfter w:w="134" w:type="dxa"/>
        </w:trPr>
        <w:tc>
          <w:tcPr>
            <w:tcW w:w="14349" w:type="dxa"/>
            <w:gridSpan w:val="21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Telephone</w:t>
            </w:r>
            <w:r w:rsidRPr="0023307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vs Active Comparison Condition</w:t>
            </w:r>
          </w:p>
        </w:tc>
      </w:tr>
      <w:tr w:rsidR="00B05D5B" w:rsidRPr="0023307E" w:rsidTr="005E2F00">
        <w:trPr>
          <w:gridAfter w:val="2"/>
          <w:wAfter w:w="101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Baker et al (2015)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lastRenderedPageBreak/>
              <w:t>Community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Australia</w:t>
            </w: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lastRenderedPageBreak/>
              <w:t>235 (113)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41.6 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59%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Diagnosis of schizophrenia spectrum (59%) or bipolar disorder (22%), or nonorganic psychotic syndrome (19%) as confirmed by the MINI.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Average duration of psychosis was 18.6 years (SD 11.6).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Outpatients with a stable psychotic disorder, taking antipsychotic medication as prescribed for at least 2 months, with intention to continue for the duration of the study</w:t>
            </w: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Manual guided. Initial face-to-face session: MI, feedback (smoking &amp; other CVD risk factors) &amp; case formulation regarding CVD status &amp;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unhealthy behaviours. Phone calls monitored anti-psychotic medication side-effects, nicotine withdrawal, distress, smoking behaviour, diet &amp; physical activity.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Week 4 &amp; 8 were face-to-face (to provide NRT). NRT was available for up to 24 weeks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Session frequency/ length: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 Initial face to face session 90 minutes; then 7 x weekly, 3 x fortnightly, 6 x monthly scheduled to be around 10 minutes each. 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24 weeks.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Psychologists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5" w:type="dxa"/>
            <w:gridSpan w:val="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Manual guided. “Healthy Lifestyles” (HL) initial in-person session: MI, feedback &amp; case formulation regarding CVD status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and risk behaviours. In-person MI &amp; CBT (physical activity, smoking, &amp; healthy eating habits). Contingent reinforcement for CO reduction &amp; abstinence. NRT was available for up to 24 weeks.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Session frequency/ length: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 Initial face to face session 90 minutes; then 7 weekly, 3 fortnightly, 6 monthly scheduled to be around 1 hour each.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24 weeks.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Psychologists</w:t>
            </w:r>
          </w:p>
        </w:tc>
      </w:tr>
      <w:tr w:rsidR="00B05D5B" w:rsidRPr="0023307E" w:rsidTr="005E2F00">
        <w:trPr>
          <w:gridAfter w:val="2"/>
          <w:wAfter w:w="101" w:type="dxa"/>
        </w:trPr>
        <w:tc>
          <w:tcPr>
            <w:tcW w:w="1143" w:type="dxa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Heffner et al (2015)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Community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16 (6)</w:t>
            </w:r>
          </w:p>
        </w:tc>
        <w:tc>
          <w:tcPr>
            <w:tcW w:w="715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852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18.5%</w:t>
            </w:r>
          </w:p>
        </w:tc>
        <w:tc>
          <w:tcPr>
            <w:tcW w:w="709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95% </w:t>
            </w:r>
          </w:p>
        </w:tc>
        <w:tc>
          <w:tcPr>
            <w:tcW w:w="3667" w:type="dxa"/>
            <w:gridSpan w:val="3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Bipolar 1 disorder: 67% (telephone), 30% (in-person). Remainder Bipolar II. Diagnosis was made with the MINI (telephone) or SSAGA (in-person).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Had not been admitted to a psychiatric hospital for at least 3 months at the time of screening.</w:t>
            </w:r>
          </w:p>
        </w:tc>
        <w:tc>
          <w:tcPr>
            <w:tcW w:w="3542" w:type="dxa"/>
            <w:gridSpan w:val="2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Manual guided. ACT core processes of acceptance (willingness to engage in all aspects of experience) &amp; commitment (behaviour driven by personal values).  Session activities included mindfulness, cognitive </w:t>
            </w:r>
            <w:proofErr w:type="spellStart"/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defusion</w:t>
            </w:r>
            <w:proofErr w:type="spellEnd"/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, &amp; identification of personal values. Both in-person &amp; telephone conditions provided with a standard 8-week course of NRT patches (4 weeks at 21mg, 2 weeks at 14mg, 2 weeks at 7mg) starting at session 3 of the protocol.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Session frequency/ length: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weekly, 30 minutes. 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Duration: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10 sessions.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Chief investigator &amp; masters-level counsellor.</w:t>
            </w:r>
          </w:p>
        </w:tc>
        <w:tc>
          <w:tcPr>
            <w:tcW w:w="3055" w:type="dxa"/>
            <w:gridSpan w:val="4"/>
            <w:shd w:val="clear" w:color="auto" w:fill="F2F2F2" w:themeFill="background1" w:themeFillShade="F2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As per face-to face intervention</w:t>
            </w:r>
          </w:p>
        </w:tc>
      </w:tr>
      <w:tr w:rsidR="00B05D5B" w:rsidRPr="0023307E" w:rsidTr="005E2F00">
        <w:trPr>
          <w:gridAfter w:val="2"/>
          <w:wAfter w:w="101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Kilbourne et al (2012)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Community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68 (34)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39%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78% 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Clinical diagnosis of bipolar I, II or not otherwise specified.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Mean score of 18.8 (SD 8.7) on the WHO Disability Assessment Scale.</w:t>
            </w: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Manual guided. Group self-management sessions featured guided discussions &amp; exercises designed to help participants set self-management goals. MI &amp; CBT techniques were employed to help effectively manage bipolar disorder &amp; cardiometabolic risk factors. Individual telephone or in-person contact tracked symptoms &amp; progress towards wellness goals. Care managers were alerted of healthcare needs &amp; goals.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Session frequency/length: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Group sessions – 4 x 2 hour weekly then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telephone – monthly, 20 mins.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Duration: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6 months.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Delivered by: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The interventionist held a master's degree in social work.</w:t>
            </w:r>
          </w:p>
        </w:tc>
        <w:tc>
          <w:tcPr>
            <w:tcW w:w="3055" w:type="dxa"/>
            <w:gridSpan w:val="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Enhanced treatment as usual (monthly mailings on wellness topics) + available mental health care &amp; referral to off-site primary care services.</w:t>
            </w:r>
          </w:p>
        </w:tc>
      </w:tr>
      <w:tr w:rsidR="00B05D5B" w:rsidRPr="0023307E" w:rsidTr="005E2F00">
        <w:tc>
          <w:tcPr>
            <w:tcW w:w="14483" w:type="dxa"/>
            <w:gridSpan w:val="24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Telephone vs. Treatment as Usual</w:t>
            </w:r>
          </w:p>
        </w:tc>
      </w:tr>
      <w:tr w:rsidR="00B05D5B" w:rsidRPr="0023307E" w:rsidTr="005E2F00">
        <w:tc>
          <w:tcPr>
            <w:tcW w:w="14483" w:type="dxa"/>
            <w:gridSpan w:val="24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No studies</w:t>
            </w:r>
          </w:p>
        </w:tc>
      </w:tr>
      <w:tr w:rsidR="00B05D5B" w:rsidRPr="0023307E" w:rsidTr="005E2F00">
        <w:tc>
          <w:tcPr>
            <w:tcW w:w="14483" w:type="dxa"/>
            <w:gridSpan w:val="24"/>
            <w:shd w:val="clear" w:color="auto" w:fill="D9D9D9" w:themeFill="background1" w:themeFillShade="D9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Telephone With no Comparison Condition</w:t>
            </w:r>
          </w:p>
        </w:tc>
      </w:tr>
      <w:tr w:rsidR="00B05D5B" w:rsidRPr="0023307E" w:rsidTr="005E2F00">
        <w:trPr>
          <w:gridAfter w:val="1"/>
          <w:wAfter w:w="93" w:type="dxa"/>
        </w:trPr>
        <w:tc>
          <w:tcPr>
            <w:tcW w:w="1143" w:type="dxa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sz w:val="16"/>
                <w:szCs w:val="16"/>
              </w:rPr>
              <w:t>Baker et al (2014)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lastRenderedPageBreak/>
              <w:t>Community setting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t>Australia</w:t>
            </w:r>
          </w:p>
          <w:p w:rsidR="00B05D5B" w:rsidRPr="0023307E" w:rsidRDefault="00B05D5B" w:rsidP="005E2F00">
            <w:pPr>
              <w:rPr>
                <w:rFonts w:ascii="Arial" w:hAnsi="Arial" w:cs="Arial"/>
                <w:sz w:val="16"/>
                <w:szCs w:val="16"/>
              </w:rPr>
            </w:pPr>
          </w:p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sz w:val="16"/>
                <w:szCs w:val="16"/>
              </w:rPr>
              <w:lastRenderedPageBreak/>
              <w:t>20 (20)</w:t>
            </w:r>
          </w:p>
        </w:tc>
        <w:tc>
          <w:tcPr>
            <w:tcW w:w="67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33.9 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53%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05D5B" w:rsidRPr="0023307E" w:rsidRDefault="00B05D5B" w:rsidP="005E2F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Not reported</w:t>
            </w:r>
          </w:p>
        </w:tc>
        <w:tc>
          <w:tcPr>
            <w:tcW w:w="3667" w:type="dxa"/>
            <w:gridSpan w:val="3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DSM-IV diagnoses using the DIP; 65% schizophrenia; 18% schizoaffective disorder,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bipolar type; 6% major depressive episode with psychosis; 6%psychotic disorder NOS.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Mean time since illness onset (not including prodromal phase) was 12.4 years (SD 5.2, range 3-21).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>Outpatients with current mental health treatment and being prescribed psychotropic medication.</w:t>
            </w:r>
          </w:p>
        </w:tc>
        <w:tc>
          <w:tcPr>
            <w:tcW w:w="3542" w:type="dxa"/>
            <w:gridSpan w:val="2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Manual guided. Initial session utilised MI to provide feedback (fruit &amp; vegetable intake, 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sedentary time, smoking &amp; alcohol use) &amp; identify goals. Sessions 2-8 consisted of MI &amp; behavioural strategies (behavioural activation, self-monitoring), and check in of mental health symptoms &amp; any side effects. Contingency management for session completion. Resources booklet (goal record forms, lifestyle diary &amp; CVD risk information).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Session frequency/length: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1-2/week; session 1 was an average of 60 minutes (SD 15) &amp; the remaining 7 sessions were an average of 26 minutes (SD 9). </w:t>
            </w: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Duration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: 8 sessions </w:t>
            </w:r>
          </w:p>
          <w:p w:rsidR="00B05D5B" w:rsidRPr="0023307E" w:rsidRDefault="00B05D5B" w:rsidP="005E2F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b/>
                <w:color w:val="000000"/>
                <w:sz w:val="16"/>
                <w:szCs w:val="16"/>
              </w:rPr>
              <w:t>Delivered by:</w:t>
            </w: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t xml:space="preserve"> psychologists.</w:t>
            </w:r>
          </w:p>
        </w:tc>
        <w:tc>
          <w:tcPr>
            <w:tcW w:w="3099" w:type="dxa"/>
            <w:gridSpan w:val="6"/>
            <w:shd w:val="clear" w:color="auto" w:fill="auto"/>
          </w:tcPr>
          <w:p w:rsidR="00B05D5B" w:rsidRPr="0023307E" w:rsidRDefault="00B05D5B" w:rsidP="005E2F0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3307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NA</w:t>
            </w:r>
          </w:p>
        </w:tc>
      </w:tr>
    </w:tbl>
    <w:bookmarkEnd w:id="0"/>
    <w:p w:rsidR="00B05D5B" w:rsidRDefault="00B05D5B" w:rsidP="00B05D5B">
      <w:pPr>
        <w:rPr>
          <w:sz w:val="16"/>
        </w:rPr>
      </w:pPr>
      <w:r w:rsidRPr="002F35C5">
        <w:rPr>
          <w:sz w:val="16"/>
        </w:rPr>
        <w:t>Note. MI = Motivational Interviewing; CBT = Cognitive Behaviour Therapy; ACT = Acceptance and Commitment Therapy; NRT = Nicotine Replacement Therapy; CVD = Cardiovascular Disease; CO = Carbon</w:t>
      </w:r>
      <w:r>
        <w:rPr>
          <w:sz w:val="16"/>
        </w:rPr>
        <w:t xml:space="preserve"> Monoxide; DNA = Did Not Attend</w:t>
      </w:r>
    </w:p>
    <w:p w:rsidR="009719A6" w:rsidRPr="00B05D5B" w:rsidRDefault="009719A6" w:rsidP="00B05D5B">
      <w:pPr>
        <w:spacing w:after="200" w:line="276" w:lineRule="auto"/>
        <w:rPr>
          <w:sz w:val="16"/>
        </w:rPr>
      </w:pPr>
    </w:p>
    <w:sectPr w:rsidR="009719A6" w:rsidRPr="00B05D5B" w:rsidSect="00B05D5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5B"/>
    <w:rsid w:val="006A22E5"/>
    <w:rsid w:val="009719A6"/>
    <w:rsid w:val="00B05D5B"/>
    <w:rsid w:val="00BA1063"/>
    <w:rsid w:val="00D5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DCD8A"/>
  <w15:chartTrackingRefBased/>
  <w15:docId w15:val="{FE623B30-F887-4265-AC18-B343D97F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D5B"/>
    <w:pPr>
      <w:spacing w:after="0" w:line="240" w:lineRule="auto"/>
    </w:pPr>
    <w:rPr>
      <w:rFonts w:ascii="Calibri" w:eastAsia="Times New Roman" w:hAnsi="Calibri" w:cs="Times New Roman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2917</Words>
  <Characters>16632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Beck</dc:creator>
  <cp:keywords/>
  <dc:description/>
  <cp:lastModifiedBy>Alison Beck</cp:lastModifiedBy>
  <cp:revision>2</cp:revision>
  <dcterms:created xsi:type="dcterms:W3CDTF">2018-02-26T00:24:00Z</dcterms:created>
  <dcterms:modified xsi:type="dcterms:W3CDTF">2018-02-28T23:54:00Z</dcterms:modified>
</cp:coreProperties>
</file>