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C5E" w:rsidRDefault="00C201A7">
      <w:r w:rsidRPr="00E828D7">
        <w:rPr>
          <w:rFonts w:ascii="Arial" w:hAnsi="Arial" w:cs="Arial"/>
          <w:noProof/>
          <w:lang w:eastAsia="de-DE"/>
        </w:rPr>
        <w:drawing>
          <wp:inline distT="0" distB="0" distL="0" distR="0" wp14:anchorId="07CFC793" wp14:editId="492804F1">
            <wp:extent cx="5433060" cy="2141220"/>
            <wp:effectExtent l="0" t="0" r="0" b="0"/>
            <wp:docPr id="7" name="Grafik 7" descr="C:\Workplace\Aldosteron_Renin\Paper Projekte\PTSD\Drafts\Revision Aldo und PTSD\Figures\Arial_8\FigS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Workplace\Aldosteron_Renin\Paper Projekte\PTSD\Drafts\Revision Aldo und PTSD\Figures\Arial_8\FigS1.t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33060" cy="2141220"/>
                    </a:xfrm>
                    <a:prstGeom prst="rect">
                      <a:avLst/>
                    </a:prstGeom>
                    <a:noFill/>
                    <a:ln>
                      <a:noFill/>
                    </a:ln>
                  </pic:spPr>
                </pic:pic>
              </a:graphicData>
            </a:graphic>
          </wp:inline>
        </w:drawing>
      </w:r>
    </w:p>
    <w:p w:rsidR="00C201A7" w:rsidRPr="00C201A7" w:rsidRDefault="00C201A7" w:rsidP="00C201A7">
      <w:pPr>
        <w:rPr>
          <w:rFonts w:ascii="Arial" w:hAnsi="Arial" w:cs="Arial"/>
          <w:sz w:val="16"/>
          <w:szCs w:val="16"/>
          <w:lang w:val="en-US"/>
        </w:rPr>
      </w:pPr>
      <w:r w:rsidRPr="00C201A7">
        <w:rPr>
          <w:rFonts w:ascii="Arial" w:hAnsi="Arial" w:cs="Arial"/>
          <w:b/>
          <w:sz w:val="16"/>
          <w:szCs w:val="16"/>
          <w:lang w:val="en-US"/>
        </w:rPr>
        <w:t xml:space="preserve">Supplementary Figure 1: </w:t>
      </w:r>
      <w:r w:rsidRPr="00C201A7">
        <w:rPr>
          <w:rFonts w:ascii="Arial" w:hAnsi="Arial" w:cs="Arial"/>
          <w:sz w:val="16"/>
          <w:szCs w:val="16"/>
          <w:lang w:val="en-US"/>
        </w:rPr>
        <w:t>Sensitivity Analysis -Adjusted means with 95% confidence intervals for the plasma renin concentration (PRC), the plasma aldosterone concentration (PAC) and the aldosterone-to-renin ratio (ARR) according to trauma and posttraumatic stress disorder (PTSD) status. Adjustment for sex, age, waist circumference, smoking status, alcohol consumption, physical activity, serum creatinine and potassium concentrations and depressive symptoms. P-values from pairwise post-hoc tests followed by a Bonferroni adjustment of p-values for m</w:t>
      </w:r>
      <w:bookmarkStart w:id="0" w:name="_GoBack"/>
      <w:bookmarkEnd w:id="0"/>
      <w:r w:rsidRPr="00C201A7">
        <w:rPr>
          <w:rFonts w:ascii="Arial" w:hAnsi="Arial" w:cs="Arial"/>
          <w:sz w:val="16"/>
          <w:szCs w:val="16"/>
          <w:lang w:val="en-US"/>
        </w:rPr>
        <w:t xml:space="preserve">ultiple testing are illustrated. </w:t>
      </w:r>
    </w:p>
    <w:p w:rsidR="00C201A7" w:rsidRPr="00C201A7" w:rsidRDefault="00C201A7">
      <w:pPr>
        <w:rPr>
          <w:lang w:val="en-US"/>
        </w:rPr>
      </w:pPr>
    </w:p>
    <w:sectPr w:rsidR="00C201A7" w:rsidRPr="00C201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1A7"/>
    <w:rsid w:val="000351A2"/>
    <w:rsid w:val="000F0338"/>
    <w:rsid w:val="00390D88"/>
    <w:rsid w:val="00B152C2"/>
    <w:rsid w:val="00C20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AA80E7-1A31-415E-AEA9-101A41E07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507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Terock</dc:creator>
  <cp:keywords/>
  <dc:description/>
  <cp:lastModifiedBy>Jan Terock</cp:lastModifiedBy>
  <cp:revision>1</cp:revision>
  <dcterms:created xsi:type="dcterms:W3CDTF">2018-03-12T21:09:00Z</dcterms:created>
  <dcterms:modified xsi:type="dcterms:W3CDTF">2018-03-12T21:10:00Z</dcterms:modified>
</cp:coreProperties>
</file>