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A" w:rsidRDefault="00A96EEA" w:rsidP="004626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Supplementary online materials</w:t>
      </w:r>
    </w:p>
    <w:p w:rsidR="000E3F0C" w:rsidRDefault="000E3F0C" w:rsidP="004626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（</w:t>
      </w:r>
      <w:r>
        <w:rPr>
          <w:rFonts w:ascii="Times New Roman" w:hAnsi="Times New Roman" w:cs="Times New Roman"/>
          <w:b/>
          <w:sz w:val="20"/>
          <w:szCs w:val="20"/>
        </w:rPr>
        <w:t>PSM-D-17-01299</w:t>
      </w:r>
      <w:r>
        <w:rPr>
          <w:rFonts w:ascii="Times New Roman" w:hAnsi="Times New Roman" w:cs="Times New Roman" w:hint="eastAsia"/>
          <w:b/>
          <w:sz w:val="20"/>
          <w:szCs w:val="20"/>
        </w:rPr>
        <w:t>）</w:t>
      </w:r>
    </w:p>
    <w:p w:rsidR="000F6CB1" w:rsidRDefault="00F43188">
      <w:pPr>
        <w:rPr>
          <w:rFonts w:ascii="Times New Roman" w:hAnsi="Times New Roman" w:cs="Times New Roman"/>
          <w:b/>
          <w:sz w:val="20"/>
          <w:szCs w:val="20"/>
        </w:rPr>
      </w:pPr>
      <w:r w:rsidRPr="004770D1">
        <w:rPr>
          <w:rFonts w:ascii="Times New Roman" w:hAnsi="Times New Roman" w:cs="Times New Roman"/>
          <w:b/>
          <w:sz w:val="20"/>
          <w:szCs w:val="20"/>
        </w:rPr>
        <w:t xml:space="preserve">eMethods. </w:t>
      </w:r>
    </w:p>
    <w:p w:rsidR="000F6CB1" w:rsidRPr="00A06D79" w:rsidRDefault="00A06D79">
      <w:pPr>
        <w:rPr>
          <w:rFonts w:ascii="Times New Roman" w:hAnsi="Times New Roman" w:cs="Times New Roman"/>
          <w:b/>
          <w:sz w:val="20"/>
          <w:szCs w:val="20"/>
        </w:rPr>
      </w:pPr>
      <w:r w:rsidRPr="00A06D79">
        <w:rPr>
          <w:rFonts w:ascii="Times New Roman" w:hAnsi="Times New Roman" w:cs="Times New Roman" w:hint="eastAsia"/>
          <w:b/>
          <w:sz w:val="20"/>
          <w:szCs w:val="20"/>
        </w:rPr>
        <w:t>Statistical analysis</w:t>
      </w:r>
    </w:p>
    <w:p w:rsidR="00A06D79" w:rsidRDefault="00A06D79">
      <w:pPr>
        <w:rPr>
          <w:rFonts w:ascii="Times New Roman" w:hAnsi="Times New Roman" w:cs="Times New Roman"/>
          <w:sz w:val="20"/>
          <w:szCs w:val="20"/>
        </w:rPr>
      </w:pPr>
      <w:r w:rsidRPr="00DE12CA">
        <w:rPr>
          <w:rFonts w:ascii="Times New Roman" w:hAnsi="Times New Roman" w:cs="Times New Roman"/>
          <w:b/>
          <w:sz w:val="20"/>
          <w:szCs w:val="20"/>
        </w:rPr>
        <w:t>C</w:t>
      </w:r>
      <w:r w:rsidRPr="00DE12CA">
        <w:rPr>
          <w:rFonts w:ascii="Times New Roman" w:hAnsi="Times New Roman" w:cs="Times New Roman" w:hint="eastAsia"/>
          <w:b/>
          <w:sz w:val="20"/>
          <w:szCs w:val="20"/>
        </w:rPr>
        <w:t>onfound</w:t>
      </w:r>
      <w:r w:rsidRPr="00DE12CA">
        <w:rPr>
          <w:rFonts w:ascii="Times New Roman" w:hAnsi="Times New Roman" w:cs="Times New Roman"/>
          <w:b/>
          <w:sz w:val="20"/>
          <w:szCs w:val="20"/>
        </w:rPr>
        <w:t>ing variables: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3023">
        <w:rPr>
          <w:rFonts w:ascii="Times New Roman" w:hAnsi="Times New Roman" w:cs="Times New Roman"/>
          <w:sz w:val="20"/>
          <w:szCs w:val="20"/>
        </w:rPr>
        <w:t>P</w:t>
      </w:r>
      <w:r w:rsidR="00DE12CA" w:rsidRPr="00DE12CA">
        <w:rPr>
          <w:rFonts w:ascii="Times New Roman" w:hAnsi="Times New Roman" w:cs="Times New Roman"/>
          <w:sz w:val="20"/>
          <w:szCs w:val="20"/>
        </w:rPr>
        <w:t xml:space="preserve">revious studies </w:t>
      </w:r>
      <w:r w:rsidR="001B3023">
        <w:rPr>
          <w:rFonts w:ascii="Times New Roman" w:hAnsi="Times New Roman" w:cs="Times New Roman"/>
          <w:sz w:val="20"/>
          <w:szCs w:val="20"/>
        </w:rPr>
        <w:t xml:space="preserve">have </w:t>
      </w:r>
      <w:r w:rsidR="00DE12CA" w:rsidRPr="00DE12CA">
        <w:rPr>
          <w:rFonts w:ascii="Times New Roman" w:hAnsi="Times New Roman" w:cs="Times New Roman"/>
          <w:sz w:val="20"/>
          <w:szCs w:val="20"/>
        </w:rPr>
        <w:t>show</w:t>
      </w:r>
      <w:r w:rsidR="001B3023">
        <w:rPr>
          <w:rFonts w:ascii="Times New Roman" w:hAnsi="Times New Roman" w:cs="Times New Roman"/>
          <w:sz w:val="20"/>
          <w:szCs w:val="20"/>
        </w:rPr>
        <w:t>ed</w:t>
      </w:r>
      <w:r w:rsidR="00DE12CA" w:rsidRPr="00DE12CA">
        <w:rPr>
          <w:rFonts w:ascii="Times New Roman" w:hAnsi="Times New Roman" w:cs="Times New Roman"/>
          <w:sz w:val="20"/>
          <w:szCs w:val="20"/>
        </w:rPr>
        <w:t xml:space="preserve"> the influence of a</w:t>
      </w:r>
      <w:bookmarkStart w:id="0" w:name="_GoBack"/>
      <w:bookmarkEnd w:id="0"/>
      <w:r w:rsidR="00DE12CA" w:rsidRPr="00DE12CA">
        <w:rPr>
          <w:rFonts w:ascii="Times New Roman" w:hAnsi="Times New Roman" w:cs="Times New Roman"/>
          <w:sz w:val="20"/>
          <w:szCs w:val="20"/>
        </w:rPr>
        <w:t xml:space="preserve">ge and </w:t>
      </w:r>
      <w:r w:rsidR="004E6A4A">
        <w:rPr>
          <w:rFonts w:ascii="Times New Roman" w:hAnsi="Times New Roman" w:cs="Times New Roman"/>
          <w:sz w:val="20"/>
          <w:szCs w:val="20"/>
        </w:rPr>
        <w:t>head motion</w:t>
      </w:r>
      <w:r w:rsidR="00DE12CA" w:rsidRPr="00DE12CA">
        <w:rPr>
          <w:rFonts w:ascii="Times New Roman" w:hAnsi="Times New Roman" w:cs="Times New Roman"/>
          <w:sz w:val="20"/>
          <w:szCs w:val="20"/>
        </w:rPr>
        <w:t xml:space="preserve"> on brain functional connectivity (Biswal et al., 2010; Yan et al., 2013), </w:t>
      </w:r>
      <w:r w:rsidR="00BB40F5">
        <w:rPr>
          <w:rFonts w:ascii="Times New Roman" w:hAnsi="Times New Roman" w:cs="Times New Roman"/>
          <w:sz w:val="20"/>
          <w:szCs w:val="20"/>
        </w:rPr>
        <w:t xml:space="preserve">the potential effects of age and </w:t>
      </w:r>
      <w:r w:rsidR="001B3023">
        <w:rPr>
          <w:rFonts w:ascii="Times New Roman" w:hAnsi="Times New Roman" w:cs="Times New Roman"/>
          <w:sz w:val="20"/>
          <w:szCs w:val="20"/>
        </w:rPr>
        <w:t>mean FD</w:t>
      </w:r>
      <w:r w:rsidR="00BB40F5">
        <w:rPr>
          <w:rFonts w:ascii="Times New Roman" w:hAnsi="Times New Roman" w:cs="Times New Roman"/>
          <w:sz w:val="20"/>
          <w:szCs w:val="20"/>
        </w:rPr>
        <w:t xml:space="preserve"> was</w:t>
      </w:r>
      <w:r w:rsidR="006A0279">
        <w:rPr>
          <w:rFonts w:ascii="Times New Roman" w:hAnsi="Times New Roman" w:cs="Times New Roman"/>
          <w:sz w:val="20"/>
          <w:szCs w:val="20"/>
        </w:rPr>
        <w:t xml:space="preserve"> regressed by linear regression. </w:t>
      </w:r>
    </w:p>
    <w:p w:rsidR="000F6CB1" w:rsidRPr="00DE12CA" w:rsidRDefault="00A96E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Generation of anatomical m</w:t>
      </w:r>
      <w:r w:rsidR="000F6CB1" w:rsidRPr="000F6CB1">
        <w:rPr>
          <w:rFonts w:ascii="Times New Roman" w:hAnsi="Times New Roman" w:cs="Times New Roman"/>
          <w:b/>
          <w:sz w:val="20"/>
          <w:szCs w:val="20"/>
        </w:rPr>
        <w:t>ask:</w:t>
      </w:r>
      <w:r w:rsidR="000F6CB1">
        <w:rPr>
          <w:rFonts w:ascii="Times New Roman" w:hAnsi="Times New Roman" w:cs="Times New Roman"/>
          <w:sz w:val="20"/>
          <w:szCs w:val="20"/>
        </w:rPr>
        <w:t xml:space="preserve"> </w:t>
      </w:r>
      <w:r w:rsidR="008A1C96">
        <w:rPr>
          <w:rFonts w:ascii="Times New Roman" w:hAnsi="Times New Roman" w:cs="Times New Roman"/>
          <w:sz w:val="20"/>
          <w:szCs w:val="20"/>
        </w:rPr>
        <w:t xml:space="preserve"> </w:t>
      </w:r>
      <w:r w:rsidR="000F6C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3023" w:rsidRDefault="001B3023" w:rsidP="00612E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</w:t>
      </w:r>
      <w:r w:rsidR="004C7A5A">
        <w:rPr>
          <w:rFonts w:ascii="Times New Roman" w:hAnsi="Times New Roman" w:cs="Times New Roman"/>
          <w:sz w:val="20"/>
          <w:szCs w:val="20"/>
        </w:rPr>
        <w:t>extract whole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7A5A">
        <w:rPr>
          <w:rFonts w:ascii="Times New Roman" w:hAnsi="Times New Roman" w:cs="Times New Roman"/>
          <w:sz w:val="20"/>
          <w:szCs w:val="20"/>
        </w:rPr>
        <w:t xml:space="preserve">brain </w:t>
      </w:r>
      <w:r>
        <w:rPr>
          <w:rFonts w:ascii="Times New Roman" w:hAnsi="Times New Roman" w:cs="Times New Roman"/>
          <w:sz w:val="20"/>
          <w:szCs w:val="20"/>
        </w:rPr>
        <w:t xml:space="preserve">grey matter </w:t>
      </w:r>
      <w:r w:rsidR="008D6F24">
        <w:rPr>
          <w:rFonts w:ascii="Times New Roman" w:hAnsi="Times New Roman" w:cs="Times New Roman"/>
          <w:sz w:val="20"/>
          <w:szCs w:val="20"/>
        </w:rPr>
        <w:t xml:space="preserve">mask </w:t>
      </w:r>
      <w:r w:rsidR="004C7A5A">
        <w:rPr>
          <w:rFonts w:ascii="Times New Roman" w:hAnsi="Times New Roman" w:cs="Times New Roman"/>
          <w:sz w:val="20"/>
          <w:szCs w:val="20"/>
        </w:rPr>
        <w:t>except the cerebellum based on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7A5A">
        <w:rPr>
          <w:rFonts w:ascii="Times New Roman" w:hAnsi="Times New Roman" w:cs="Times New Roman"/>
          <w:sz w:val="20"/>
          <w:szCs w:val="20"/>
        </w:rPr>
        <w:t>AAL templates</w:t>
      </w:r>
      <w:r w:rsidR="003B1E47">
        <w:rPr>
          <w:rFonts w:ascii="Times New Roman" w:hAnsi="Times New Roman" w:cs="Times New Roman"/>
          <w:sz w:val="20"/>
          <w:szCs w:val="20"/>
        </w:rPr>
        <w:t>,</w:t>
      </w:r>
      <w:r w:rsidR="00511EE9">
        <w:rPr>
          <w:rFonts w:ascii="Times New Roman" w:hAnsi="Times New Roman" w:cs="Times New Roman"/>
          <w:sz w:val="20"/>
          <w:szCs w:val="20"/>
        </w:rPr>
        <w:t xml:space="preserve"> </w:t>
      </w:r>
      <w:r w:rsidR="004C7A5A">
        <w:rPr>
          <w:rFonts w:ascii="Times New Roman" w:hAnsi="Times New Roman" w:cs="Times New Roman"/>
          <w:sz w:val="20"/>
          <w:szCs w:val="20"/>
        </w:rPr>
        <w:t>made by</w:t>
      </w:r>
      <w:r w:rsidR="008A1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DPABI</w:t>
      </w:r>
      <w:r w:rsidR="004C7A5A">
        <w:rPr>
          <w:rFonts w:ascii="Times New Roman" w:hAnsi="Times New Roman" w:cs="Times New Roman"/>
          <w:sz w:val="20"/>
          <w:szCs w:val="20"/>
        </w:rPr>
        <w:t xml:space="preserve"> </w:t>
      </w:r>
      <w:r w:rsidR="00511EE9">
        <w:rPr>
          <w:rFonts w:ascii="Times New Roman" w:hAnsi="Times New Roman" w:cs="Times New Roman"/>
          <w:sz w:val="20"/>
          <w:szCs w:val="20"/>
        </w:rPr>
        <w:t xml:space="preserve">(Yan et al., 2013), which as an explicit mask </w:t>
      </w:r>
      <w:r w:rsidR="00D162CD">
        <w:rPr>
          <w:rFonts w:ascii="Times New Roman" w:hAnsi="Times New Roman" w:cs="Times New Roman"/>
          <w:sz w:val="20"/>
          <w:szCs w:val="20"/>
        </w:rPr>
        <w:t>to conducted the</w:t>
      </w:r>
      <w:r w:rsidR="00511EE9">
        <w:rPr>
          <w:rFonts w:ascii="Times New Roman" w:hAnsi="Times New Roman" w:cs="Times New Roman"/>
          <w:sz w:val="20"/>
          <w:szCs w:val="20"/>
        </w:rPr>
        <w:t xml:space="preserve"> group difference</w:t>
      </w:r>
      <w:r w:rsidR="004E65DD">
        <w:rPr>
          <w:rFonts w:ascii="Times New Roman" w:hAnsi="Times New Roman" w:cs="Times New Roman"/>
          <w:sz w:val="20"/>
          <w:szCs w:val="20"/>
        </w:rPr>
        <w:t xml:space="preserve"> </w:t>
      </w:r>
      <w:r w:rsidR="00D162CD">
        <w:rPr>
          <w:rFonts w:ascii="Times New Roman" w:hAnsi="Times New Roman" w:cs="Times New Roman"/>
          <w:sz w:val="20"/>
          <w:szCs w:val="20"/>
        </w:rPr>
        <w:t>in cerebellar-cerebral connectivity.</w:t>
      </w:r>
    </w:p>
    <w:p w:rsidR="007C76BD" w:rsidRPr="004C7A5A" w:rsidRDefault="007C76BD" w:rsidP="00612E8A">
      <w:pPr>
        <w:rPr>
          <w:rFonts w:ascii="Times New Roman" w:hAnsi="Times New Roman" w:cs="Times New Roman"/>
          <w:sz w:val="20"/>
          <w:szCs w:val="20"/>
        </w:rPr>
      </w:pPr>
    </w:p>
    <w:p w:rsidR="000F290A" w:rsidRDefault="00A514A9">
      <w:pPr>
        <w:rPr>
          <w:rFonts w:ascii="Times New Roman" w:hAnsi="Times New Roman" w:cs="Times New Roman"/>
          <w:b/>
          <w:sz w:val="20"/>
          <w:szCs w:val="20"/>
        </w:rPr>
      </w:pPr>
      <w:r w:rsidRPr="004770D1">
        <w:rPr>
          <w:rFonts w:ascii="Times New Roman" w:hAnsi="Times New Roman" w:cs="Times New Roman"/>
          <w:b/>
          <w:sz w:val="20"/>
          <w:szCs w:val="20"/>
        </w:rPr>
        <w:t xml:space="preserve">eResults. </w:t>
      </w:r>
    </w:p>
    <w:p w:rsidR="00AF6C81" w:rsidRDefault="00AF6C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 w:hint="eastAsia"/>
          <w:b/>
          <w:sz w:val="20"/>
          <w:szCs w:val="20"/>
        </w:rPr>
        <w:t>erebellar-cerebral functional connectivity pattern in OCD group</w:t>
      </w:r>
    </w:p>
    <w:p w:rsidR="00656F7D" w:rsidRPr="00A17025" w:rsidRDefault="00656F7D">
      <w:pPr>
        <w:rPr>
          <w:rFonts w:ascii="Times New Roman" w:hAnsi="Times New Roman" w:cs="Times New Roman"/>
          <w:sz w:val="20"/>
          <w:szCs w:val="20"/>
        </w:rPr>
      </w:pPr>
      <w:r w:rsidRPr="00656F7D">
        <w:rPr>
          <w:rFonts w:ascii="Times New Roman" w:hAnsi="Times New Roman" w:cs="Times New Roman"/>
          <w:sz w:val="20"/>
          <w:szCs w:val="20"/>
        </w:rPr>
        <w:t>S</w:t>
      </w:r>
      <w:r w:rsidRPr="00656F7D">
        <w:rPr>
          <w:rFonts w:ascii="Times New Roman" w:hAnsi="Times New Roman" w:cs="Times New Roman" w:hint="eastAsia"/>
          <w:sz w:val="20"/>
          <w:szCs w:val="20"/>
        </w:rPr>
        <w:t xml:space="preserve">imilar </w:t>
      </w:r>
      <w:r w:rsidRPr="00656F7D">
        <w:rPr>
          <w:rFonts w:ascii="Times New Roman" w:hAnsi="Times New Roman" w:cs="Times New Roman"/>
          <w:sz w:val="20"/>
          <w:szCs w:val="20"/>
        </w:rPr>
        <w:t xml:space="preserve">to HC group, the </w:t>
      </w:r>
      <w:r>
        <w:rPr>
          <w:rFonts w:ascii="Times New Roman" w:hAnsi="Times New Roman" w:cs="Times New Roman"/>
          <w:sz w:val="20"/>
          <w:szCs w:val="20"/>
        </w:rPr>
        <w:t xml:space="preserve">OCD group also showed significant </w:t>
      </w:r>
      <w:r w:rsidR="009A2955">
        <w:rPr>
          <w:rFonts w:ascii="Times New Roman" w:hAnsi="Times New Roman" w:cs="Times New Roman"/>
          <w:sz w:val="20"/>
          <w:szCs w:val="20"/>
        </w:rPr>
        <w:t xml:space="preserve">cerebellar-cerebral functional connectivity in different networks. 1) </w:t>
      </w:r>
      <w:r w:rsidR="00060903">
        <w:rPr>
          <w:rFonts w:ascii="Times New Roman" w:hAnsi="Times New Roman" w:cs="Times New Roman"/>
          <w:sz w:val="20"/>
          <w:szCs w:val="20"/>
        </w:rPr>
        <w:t>for</w:t>
      </w:r>
      <w:r w:rsidR="009A2955">
        <w:rPr>
          <w:rFonts w:ascii="Times New Roman" w:hAnsi="Times New Roman" w:cs="Times New Roman"/>
          <w:sz w:val="20"/>
          <w:szCs w:val="20"/>
        </w:rPr>
        <w:t xml:space="preserve"> executive network</w:t>
      </w:r>
      <w:r w:rsidR="00511EE9">
        <w:rPr>
          <w:rFonts w:ascii="Times New Roman" w:hAnsi="Times New Roman" w:cs="Times New Roman"/>
          <w:sz w:val="20"/>
          <w:szCs w:val="20"/>
        </w:rPr>
        <w:t>, we found the significant f</w:t>
      </w:r>
      <w:r w:rsidR="00060903">
        <w:rPr>
          <w:rFonts w:ascii="Times New Roman" w:hAnsi="Times New Roman" w:cs="Times New Roman"/>
          <w:sz w:val="20"/>
          <w:szCs w:val="20"/>
        </w:rPr>
        <w:t>unctional connectivity between the cerebellar with the</w:t>
      </w:r>
      <w:r w:rsidR="00565908">
        <w:rPr>
          <w:rFonts w:ascii="Times New Roman" w:hAnsi="Times New Roman" w:cs="Times New Roman"/>
          <w:sz w:val="20"/>
          <w:szCs w:val="20"/>
        </w:rPr>
        <w:t xml:space="preserve"> </w:t>
      </w:r>
      <w:r w:rsidR="000223DA">
        <w:rPr>
          <w:rFonts w:ascii="Times New Roman" w:hAnsi="Times New Roman" w:cs="Times New Roman"/>
          <w:sz w:val="20"/>
          <w:szCs w:val="20"/>
        </w:rPr>
        <w:t>medial superior</w:t>
      </w:r>
      <w:r w:rsidR="00CA52FA">
        <w:rPr>
          <w:rFonts w:ascii="Times New Roman" w:hAnsi="Times New Roman" w:cs="Times New Roman"/>
          <w:sz w:val="20"/>
          <w:szCs w:val="20"/>
        </w:rPr>
        <w:t xml:space="preserve"> </w:t>
      </w:r>
      <w:r w:rsidR="00565908" w:rsidRPr="000223DA">
        <w:rPr>
          <w:rFonts w:ascii="Times New Roman" w:hAnsi="Times New Roman" w:cs="Times New Roman"/>
          <w:sz w:val="20"/>
          <w:szCs w:val="20"/>
        </w:rPr>
        <w:t xml:space="preserve">frontal gyrus, </w:t>
      </w:r>
      <w:r w:rsidR="007C0330" w:rsidRPr="000223DA">
        <w:rPr>
          <w:rFonts w:ascii="Times New Roman" w:hAnsi="Times New Roman" w:cs="Times New Roman"/>
          <w:sz w:val="20"/>
          <w:szCs w:val="20"/>
        </w:rPr>
        <w:t xml:space="preserve">inferior parietal </w:t>
      </w:r>
      <w:r w:rsidR="00BE0464">
        <w:rPr>
          <w:rFonts w:ascii="Times New Roman" w:hAnsi="Times New Roman" w:cs="Times New Roman"/>
          <w:sz w:val="20"/>
          <w:szCs w:val="20"/>
        </w:rPr>
        <w:t>cortex</w:t>
      </w:r>
      <w:r w:rsidR="007C0330" w:rsidRPr="000223DA">
        <w:rPr>
          <w:rFonts w:ascii="Times New Roman" w:hAnsi="Times New Roman" w:cs="Times New Roman"/>
          <w:sz w:val="20"/>
          <w:szCs w:val="20"/>
        </w:rPr>
        <w:t xml:space="preserve">, </w:t>
      </w:r>
      <w:r w:rsidR="00565908" w:rsidRPr="000223DA">
        <w:rPr>
          <w:rFonts w:ascii="Times New Roman" w:hAnsi="Times New Roman" w:cs="Times New Roman"/>
          <w:sz w:val="20"/>
          <w:szCs w:val="20"/>
        </w:rPr>
        <w:t>pre</w:t>
      </w:r>
      <w:r w:rsidR="00A31CC2" w:rsidRPr="000223DA">
        <w:rPr>
          <w:rFonts w:ascii="Times New Roman" w:hAnsi="Times New Roman" w:cs="Times New Roman"/>
          <w:sz w:val="20"/>
          <w:szCs w:val="20"/>
        </w:rPr>
        <w:t>cuneus</w:t>
      </w:r>
      <w:r w:rsidR="000223DA">
        <w:rPr>
          <w:rFonts w:ascii="Times New Roman" w:hAnsi="Times New Roman" w:cs="Times New Roman"/>
          <w:sz w:val="20"/>
          <w:szCs w:val="20"/>
        </w:rPr>
        <w:t>, angular gyrus and caudate</w:t>
      </w:r>
      <w:r w:rsidR="00C571A8">
        <w:rPr>
          <w:rFonts w:ascii="Times New Roman" w:hAnsi="Times New Roman" w:cs="Times New Roman"/>
          <w:sz w:val="20"/>
          <w:szCs w:val="20"/>
        </w:rPr>
        <w:t>; 2) for default-mode network, there are significant functional connectivity between the</w:t>
      </w:r>
      <w:r w:rsidR="00B80FC0">
        <w:rPr>
          <w:rFonts w:ascii="Times New Roman" w:hAnsi="Times New Roman" w:cs="Times New Roman"/>
          <w:sz w:val="20"/>
          <w:szCs w:val="20"/>
        </w:rPr>
        <w:t xml:space="preserve"> cerebellar with the </w:t>
      </w:r>
      <w:r w:rsidR="000042F5">
        <w:rPr>
          <w:rFonts w:ascii="Times New Roman" w:hAnsi="Times New Roman" w:cs="Times New Roman"/>
          <w:sz w:val="20"/>
          <w:szCs w:val="20"/>
        </w:rPr>
        <w:t xml:space="preserve">orbitofrontal </w:t>
      </w:r>
      <w:r w:rsidR="00BE0464">
        <w:rPr>
          <w:rFonts w:ascii="Times New Roman" w:hAnsi="Times New Roman" w:cs="Times New Roman"/>
          <w:sz w:val="20"/>
          <w:szCs w:val="20"/>
        </w:rPr>
        <w:t>cortex</w:t>
      </w:r>
      <w:r w:rsidR="000042F5">
        <w:rPr>
          <w:rFonts w:ascii="Times New Roman" w:hAnsi="Times New Roman" w:cs="Times New Roman"/>
          <w:sz w:val="20"/>
          <w:szCs w:val="20"/>
        </w:rPr>
        <w:t xml:space="preserve">, medial superior frontal gyrus, angular gyrus, precuneus, temporal </w:t>
      </w:r>
      <w:r w:rsidR="00BE0464">
        <w:rPr>
          <w:rFonts w:ascii="Times New Roman" w:hAnsi="Times New Roman" w:cs="Times New Roman"/>
          <w:sz w:val="20"/>
          <w:szCs w:val="20"/>
        </w:rPr>
        <w:t>cortex</w:t>
      </w:r>
      <w:r w:rsidR="000042F5">
        <w:rPr>
          <w:rFonts w:ascii="Times New Roman" w:hAnsi="Times New Roman" w:cs="Times New Roman"/>
          <w:sz w:val="20"/>
          <w:szCs w:val="20"/>
        </w:rPr>
        <w:t>, and thalamus</w:t>
      </w:r>
      <w:r w:rsidR="00C571A8">
        <w:rPr>
          <w:rFonts w:ascii="Times New Roman" w:hAnsi="Times New Roman" w:cs="Times New Roman"/>
          <w:sz w:val="20"/>
          <w:szCs w:val="20"/>
        </w:rPr>
        <w:t>; 3) for affective-limbic network, th</w:t>
      </w:r>
      <w:r w:rsidR="00B80FC0">
        <w:rPr>
          <w:rFonts w:ascii="Times New Roman" w:hAnsi="Times New Roman" w:cs="Times New Roman"/>
          <w:sz w:val="20"/>
          <w:szCs w:val="20"/>
        </w:rPr>
        <w:t>ere are</w:t>
      </w:r>
      <w:r w:rsidR="00C571A8">
        <w:rPr>
          <w:rFonts w:ascii="Times New Roman" w:hAnsi="Times New Roman" w:cs="Times New Roman"/>
          <w:sz w:val="20"/>
          <w:szCs w:val="20"/>
        </w:rPr>
        <w:t xml:space="preserve"> significant functional connectivity between the </w:t>
      </w:r>
      <w:r w:rsidR="0099260F">
        <w:rPr>
          <w:rFonts w:ascii="Times New Roman" w:hAnsi="Times New Roman" w:cs="Times New Roman"/>
          <w:sz w:val="20"/>
          <w:szCs w:val="20"/>
        </w:rPr>
        <w:t xml:space="preserve">cerebellar </w:t>
      </w:r>
      <w:r w:rsidR="0099260F" w:rsidRPr="00B80FC0">
        <w:rPr>
          <w:rFonts w:ascii="Times New Roman" w:hAnsi="Times New Roman" w:cs="Times New Roman"/>
          <w:sz w:val="20"/>
          <w:szCs w:val="20"/>
        </w:rPr>
        <w:t>with the</w:t>
      </w:r>
      <w:r w:rsidR="0099260F">
        <w:rPr>
          <w:rFonts w:ascii="Times New Roman" w:hAnsi="Times New Roman" w:cs="Times New Roman"/>
          <w:sz w:val="20"/>
          <w:szCs w:val="20"/>
        </w:rPr>
        <w:t xml:space="preserve"> middle frontal gyrus, </w:t>
      </w:r>
      <w:r w:rsidR="00281599">
        <w:rPr>
          <w:rFonts w:ascii="Times New Roman" w:hAnsi="Times New Roman" w:cs="Times New Roman"/>
          <w:sz w:val="20"/>
          <w:szCs w:val="20"/>
        </w:rPr>
        <w:t xml:space="preserve">occipital </w:t>
      </w:r>
      <w:r w:rsidR="00BE0464">
        <w:rPr>
          <w:rFonts w:ascii="Times New Roman" w:hAnsi="Times New Roman" w:cs="Times New Roman"/>
          <w:sz w:val="20"/>
          <w:szCs w:val="20"/>
        </w:rPr>
        <w:t>cortex</w:t>
      </w:r>
      <w:r w:rsidR="0099260F">
        <w:rPr>
          <w:rFonts w:ascii="Times New Roman" w:hAnsi="Times New Roman" w:cs="Times New Roman"/>
          <w:sz w:val="20"/>
          <w:szCs w:val="20"/>
        </w:rPr>
        <w:t xml:space="preserve">, </w:t>
      </w:r>
      <w:r w:rsidR="000223DA">
        <w:rPr>
          <w:rFonts w:ascii="Times New Roman" w:hAnsi="Times New Roman" w:cs="Times New Roman"/>
          <w:sz w:val="20"/>
          <w:szCs w:val="20"/>
        </w:rPr>
        <w:t xml:space="preserve">inferior </w:t>
      </w:r>
      <w:r w:rsidR="0099260F">
        <w:rPr>
          <w:rFonts w:ascii="Times New Roman" w:hAnsi="Times New Roman" w:cs="Times New Roman"/>
          <w:sz w:val="20"/>
          <w:szCs w:val="20"/>
        </w:rPr>
        <w:t>parietal</w:t>
      </w:r>
      <w:r w:rsidR="00281599">
        <w:rPr>
          <w:rFonts w:ascii="Times New Roman" w:hAnsi="Times New Roman" w:cs="Times New Roman"/>
          <w:sz w:val="20"/>
          <w:szCs w:val="20"/>
        </w:rPr>
        <w:t xml:space="preserve"> </w:t>
      </w:r>
      <w:r w:rsidR="00BE0464">
        <w:rPr>
          <w:rFonts w:ascii="Times New Roman" w:hAnsi="Times New Roman" w:cs="Times New Roman"/>
          <w:sz w:val="20"/>
          <w:szCs w:val="20"/>
        </w:rPr>
        <w:t>cortex</w:t>
      </w:r>
      <w:r w:rsidR="0099260F">
        <w:rPr>
          <w:rFonts w:ascii="Times New Roman" w:hAnsi="Times New Roman" w:cs="Times New Roman"/>
          <w:sz w:val="20"/>
          <w:szCs w:val="20"/>
        </w:rPr>
        <w:t>, middle cingulate gyrus</w:t>
      </w:r>
      <w:r w:rsidR="00BE0464">
        <w:rPr>
          <w:rFonts w:ascii="Times New Roman" w:hAnsi="Times New Roman" w:cs="Times New Roman"/>
          <w:sz w:val="20"/>
          <w:szCs w:val="20"/>
        </w:rPr>
        <w:t>, and caudate</w:t>
      </w:r>
      <w:r w:rsidR="00C571A8">
        <w:rPr>
          <w:rFonts w:ascii="Times New Roman" w:hAnsi="Times New Roman" w:cs="Times New Roman"/>
          <w:sz w:val="20"/>
          <w:szCs w:val="20"/>
        </w:rPr>
        <w:t>; 4) for motor network, the sign</w:t>
      </w:r>
      <w:r w:rsidR="00565908">
        <w:rPr>
          <w:rFonts w:ascii="Times New Roman" w:hAnsi="Times New Roman" w:cs="Times New Roman"/>
          <w:sz w:val="20"/>
          <w:szCs w:val="20"/>
        </w:rPr>
        <w:t>ificant functional connectiv</w:t>
      </w:r>
      <w:r w:rsidR="00070CBB">
        <w:rPr>
          <w:rFonts w:ascii="Times New Roman" w:hAnsi="Times New Roman" w:cs="Times New Roman"/>
          <w:sz w:val="20"/>
          <w:szCs w:val="20"/>
        </w:rPr>
        <w:t xml:space="preserve">ity </w:t>
      </w:r>
      <w:r w:rsidR="00B80FC0">
        <w:rPr>
          <w:rFonts w:ascii="Times New Roman" w:hAnsi="Times New Roman" w:cs="Times New Roman"/>
          <w:sz w:val="20"/>
          <w:szCs w:val="20"/>
        </w:rPr>
        <w:t>between the cerebellar with the superior frontal gyrus</w:t>
      </w:r>
      <w:r w:rsidR="00281599">
        <w:rPr>
          <w:rFonts w:ascii="Times New Roman" w:hAnsi="Times New Roman" w:cs="Times New Roman"/>
          <w:sz w:val="20"/>
          <w:szCs w:val="20"/>
        </w:rPr>
        <w:t xml:space="preserve"> and </w:t>
      </w:r>
      <w:r w:rsidR="000223DA">
        <w:rPr>
          <w:rFonts w:ascii="Times New Roman" w:hAnsi="Times New Roman" w:cs="Times New Roman"/>
          <w:sz w:val="20"/>
          <w:szCs w:val="20"/>
        </w:rPr>
        <w:t>supplementary motor area</w:t>
      </w:r>
      <w:r w:rsidR="00121FB0">
        <w:rPr>
          <w:rFonts w:ascii="Times New Roman" w:hAnsi="Times New Roman" w:cs="Times New Roman"/>
          <w:sz w:val="20"/>
          <w:szCs w:val="20"/>
        </w:rPr>
        <w:t xml:space="preserve"> was found</w:t>
      </w:r>
      <w:r w:rsidR="00B80FC0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A514A9" w:rsidRPr="004770D1" w:rsidRDefault="00A514A9">
      <w:pPr>
        <w:rPr>
          <w:rFonts w:ascii="Times New Roman" w:hAnsi="Times New Roman" w:cs="Times New Roman"/>
          <w:b/>
          <w:sz w:val="20"/>
          <w:szCs w:val="20"/>
        </w:rPr>
      </w:pPr>
      <w:r w:rsidRPr="004770D1">
        <w:rPr>
          <w:rFonts w:ascii="Times New Roman" w:hAnsi="Times New Roman" w:cs="Times New Roman"/>
          <w:b/>
          <w:sz w:val="20"/>
          <w:szCs w:val="20"/>
        </w:rPr>
        <w:t xml:space="preserve">Potential confounds of </w:t>
      </w:r>
      <w:r w:rsidR="00070CBB">
        <w:rPr>
          <w:rFonts w:ascii="Times New Roman" w:hAnsi="Times New Roman" w:cs="Times New Roman"/>
          <w:b/>
          <w:sz w:val="20"/>
          <w:szCs w:val="20"/>
        </w:rPr>
        <w:t>age</w:t>
      </w:r>
      <w:r w:rsidR="00203C72" w:rsidRPr="004770D1">
        <w:rPr>
          <w:rFonts w:ascii="Times New Roman" w:hAnsi="Times New Roman" w:cs="Times New Roman"/>
          <w:b/>
          <w:sz w:val="20"/>
          <w:szCs w:val="20"/>
        </w:rPr>
        <w:t xml:space="preserve"> and head motion</w:t>
      </w:r>
    </w:p>
    <w:p w:rsidR="00BC06E2" w:rsidRDefault="005E65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Given the trend group differences </w:t>
      </w:r>
      <w:r>
        <w:rPr>
          <w:rFonts w:ascii="Times New Roman" w:hAnsi="Times New Roman" w:cs="Times New Roman"/>
          <w:sz w:val="20"/>
          <w:szCs w:val="20"/>
        </w:rPr>
        <w:t xml:space="preserve">in age and head motion, of which association with brain function has been documented </w:t>
      </w:r>
      <w:r w:rsidR="000A55E2">
        <w:rPr>
          <w:rFonts w:ascii="Times New Roman" w:hAnsi="Times New Roman" w:cs="Times New Roman"/>
          <w:sz w:val="20"/>
          <w:szCs w:val="20"/>
        </w:rPr>
        <w:t>(</w:t>
      </w:r>
      <w:r w:rsidR="000A55E2" w:rsidRPr="00DE12CA">
        <w:rPr>
          <w:rFonts w:ascii="Times New Roman" w:hAnsi="Times New Roman" w:cs="Times New Roman"/>
          <w:sz w:val="20"/>
          <w:szCs w:val="20"/>
        </w:rPr>
        <w:t>Biswal et al., 2010; Yan et al., 2013</w:t>
      </w:r>
      <w:r w:rsidR="000A55E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w</w:t>
      </w:r>
      <w:r w:rsidR="00D76F79" w:rsidRPr="004770D1">
        <w:rPr>
          <w:rFonts w:ascii="Times New Roman" w:hAnsi="Times New Roman" w:cs="Times New Roman"/>
          <w:sz w:val="20"/>
          <w:szCs w:val="20"/>
        </w:rPr>
        <w:t xml:space="preserve">e further compared the </w:t>
      </w:r>
      <w:r w:rsidR="00322D54">
        <w:rPr>
          <w:rFonts w:ascii="Times New Roman" w:hAnsi="Times New Roman" w:cs="Times New Roman"/>
          <w:sz w:val="20"/>
          <w:szCs w:val="20"/>
        </w:rPr>
        <w:t xml:space="preserve">group difference in </w:t>
      </w:r>
      <w:r w:rsidR="00D76F79" w:rsidRPr="004770D1">
        <w:rPr>
          <w:rFonts w:ascii="Times New Roman" w:hAnsi="Times New Roman" w:cs="Times New Roman"/>
          <w:sz w:val="20"/>
          <w:szCs w:val="20"/>
        </w:rPr>
        <w:t xml:space="preserve">cerebellar-cerebral functional connectivity </w:t>
      </w:r>
      <w:r>
        <w:rPr>
          <w:rFonts w:ascii="Times New Roman" w:hAnsi="Times New Roman" w:cs="Times New Roman"/>
          <w:sz w:val="20"/>
          <w:szCs w:val="20"/>
        </w:rPr>
        <w:t>after</w:t>
      </w:r>
      <w:r w:rsidR="00A06D79">
        <w:rPr>
          <w:rFonts w:ascii="Times New Roman" w:hAnsi="Times New Roman" w:cs="Times New Roman"/>
          <w:sz w:val="20"/>
          <w:szCs w:val="20"/>
        </w:rPr>
        <w:t xml:space="preserve"> controlling the age and </w:t>
      </w:r>
      <w:r w:rsidR="004E6A4A">
        <w:rPr>
          <w:rFonts w:ascii="Times New Roman" w:hAnsi="Times New Roman" w:cs="Times New Roman"/>
          <w:sz w:val="20"/>
          <w:szCs w:val="20"/>
        </w:rPr>
        <w:t>mean FD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6259A">
        <w:rPr>
          <w:rFonts w:ascii="Times New Roman" w:hAnsi="Times New Roman" w:cs="Times New Roman"/>
          <w:sz w:val="20"/>
          <w:szCs w:val="20"/>
        </w:rPr>
        <w:t xml:space="preserve">and the main results remain significant. </w:t>
      </w:r>
      <w:r w:rsidR="004E2969" w:rsidRPr="004E2969">
        <w:rPr>
          <w:rFonts w:ascii="Times New Roman" w:hAnsi="Times New Roman" w:cs="Times New Roman"/>
          <w:sz w:val="20"/>
          <w:szCs w:val="20"/>
        </w:rPr>
        <w:t>In addition, we also found decreased cerebellar functional connectivity with cingulate and thalamus, and for the default-mode network, patients with OCD had reduced cerebellar functional connectivity with temporal gyrus (eTable2)</w:t>
      </w:r>
      <w:r w:rsidR="007C76BD">
        <w:rPr>
          <w:rFonts w:ascii="Times New Roman" w:hAnsi="Times New Roman" w:cs="Times New Roman" w:hint="eastAsia"/>
          <w:sz w:val="20"/>
          <w:szCs w:val="20"/>
        </w:rPr>
        <w:t>.</w:t>
      </w:r>
    </w:p>
    <w:p w:rsidR="007C76BD" w:rsidRPr="004E2969" w:rsidRDefault="007C76BD">
      <w:pPr>
        <w:rPr>
          <w:rFonts w:ascii="Times New Roman" w:hAnsi="Times New Roman" w:cs="Times New Roman"/>
          <w:sz w:val="20"/>
          <w:szCs w:val="20"/>
        </w:rPr>
      </w:pPr>
    </w:p>
    <w:p w:rsidR="00A17025" w:rsidRPr="00A17025" w:rsidRDefault="00A170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A17025">
        <w:rPr>
          <w:rFonts w:ascii="Times New Roman" w:hAnsi="Times New Roman" w:cs="Times New Roman"/>
          <w:b/>
          <w:sz w:val="20"/>
          <w:szCs w:val="20"/>
        </w:rPr>
        <w:t>R</w:t>
      </w:r>
      <w:r w:rsidRPr="00A17025">
        <w:rPr>
          <w:rFonts w:ascii="Times New Roman" w:hAnsi="Times New Roman" w:cs="Times New Roman" w:hint="eastAsia"/>
          <w:b/>
          <w:sz w:val="20"/>
          <w:szCs w:val="20"/>
        </w:rPr>
        <w:t>eference</w:t>
      </w:r>
      <w:r>
        <w:rPr>
          <w:rFonts w:ascii="Times New Roman" w:hAnsi="Times New Roman" w:cs="Times New Roman"/>
          <w:b/>
          <w:sz w:val="20"/>
          <w:szCs w:val="20"/>
        </w:rPr>
        <w:t>s</w:t>
      </w:r>
    </w:p>
    <w:p w:rsidR="00E12E28" w:rsidRDefault="00E12E28">
      <w:pPr>
        <w:rPr>
          <w:rFonts w:ascii="Times New Roman" w:hAnsi="Times New Roman" w:cs="Times New Roman"/>
          <w:sz w:val="20"/>
          <w:szCs w:val="20"/>
        </w:rPr>
      </w:pPr>
      <w:r w:rsidRPr="00E12E28">
        <w:rPr>
          <w:rFonts w:ascii="Times New Roman" w:hAnsi="Times New Roman" w:cs="Times New Roman"/>
          <w:sz w:val="20"/>
          <w:szCs w:val="20"/>
        </w:rPr>
        <w:t>Biswal BB, Mennes M, Zuo X-N (2010). Toward discovery science of human brain function. Proceediing of the National Academy of Sciences of the United States of America, 107, 4734–4739.</w:t>
      </w:r>
    </w:p>
    <w:p w:rsidR="00A17025" w:rsidRPr="004770D1" w:rsidRDefault="0016457F">
      <w:pPr>
        <w:rPr>
          <w:rFonts w:ascii="Times New Roman" w:hAnsi="Times New Roman" w:cs="Times New Roman"/>
          <w:sz w:val="20"/>
          <w:szCs w:val="20"/>
        </w:rPr>
      </w:pPr>
      <w:r w:rsidRPr="0016457F">
        <w:rPr>
          <w:rFonts w:ascii="Times New Roman" w:hAnsi="Times New Roman" w:cs="Times New Roman"/>
          <w:sz w:val="20"/>
          <w:szCs w:val="20"/>
        </w:rPr>
        <w:t>Yan CG, Cheung B, Kelly C (2013). A comprehensive assessment of regional variation in the impact of head micromovements on functional connectomics. Neuroimage, 76, 183–201.</w:t>
      </w:r>
    </w:p>
    <w:p w:rsidR="007E5CF0" w:rsidRDefault="007E5CF0">
      <w:pPr>
        <w:adjustRightInd/>
        <w:snapToGrid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A6045" w:rsidRPr="004770D1" w:rsidRDefault="00EA6045" w:rsidP="00EA6045">
      <w:pPr>
        <w:rPr>
          <w:rFonts w:ascii="Times New Roman" w:hAnsi="Times New Roman" w:cs="Times New Roman"/>
          <w:b/>
          <w:sz w:val="20"/>
          <w:szCs w:val="20"/>
        </w:rPr>
      </w:pPr>
      <w:r w:rsidRPr="004770D1">
        <w:rPr>
          <w:rFonts w:ascii="Times New Roman" w:hAnsi="Times New Roman" w:cs="Times New Roman"/>
          <w:b/>
          <w:sz w:val="20"/>
          <w:szCs w:val="20"/>
        </w:rPr>
        <w:lastRenderedPageBreak/>
        <w:t>eTable</w:t>
      </w:r>
      <w:r w:rsidR="00345BC6" w:rsidRPr="004770D1">
        <w:rPr>
          <w:rFonts w:ascii="Times New Roman" w:hAnsi="Times New Roman" w:cs="Times New Roman"/>
          <w:b/>
          <w:sz w:val="20"/>
          <w:szCs w:val="20"/>
        </w:rPr>
        <w:t>1</w:t>
      </w:r>
      <w:r w:rsidRPr="004770D1">
        <w:rPr>
          <w:rFonts w:ascii="Times New Roman" w:hAnsi="Times New Roman" w:cs="Times New Roman"/>
          <w:b/>
          <w:sz w:val="20"/>
          <w:szCs w:val="20"/>
        </w:rPr>
        <w:t xml:space="preserve">. Comparison of demographic variables </w:t>
      </w:r>
      <w:r w:rsidR="002D5942" w:rsidRPr="004770D1">
        <w:rPr>
          <w:rFonts w:ascii="Times New Roman" w:hAnsi="Times New Roman" w:cs="Times New Roman"/>
          <w:b/>
          <w:sz w:val="20"/>
          <w:szCs w:val="20"/>
        </w:rPr>
        <w:t xml:space="preserve">and clinical features </w:t>
      </w:r>
      <w:r w:rsidRPr="004770D1">
        <w:rPr>
          <w:rFonts w:ascii="Times New Roman" w:hAnsi="Times New Roman" w:cs="Times New Roman"/>
          <w:b/>
          <w:sz w:val="20"/>
          <w:szCs w:val="20"/>
        </w:rPr>
        <w:t xml:space="preserve">between </w:t>
      </w:r>
      <w:r w:rsidR="002D5942" w:rsidRPr="004770D1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4770D1">
        <w:rPr>
          <w:rFonts w:ascii="Times New Roman" w:hAnsi="Times New Roman" w:cs="Times New Roman"/>
          <w:b/>
          <w:sz w:val="20"/>
          <w:szCs w:val="20"/>
        </w:rPr>
        <w:t>drug-</w:t>
      </w:r>
      <w:r w:rsidR="0010623B" w:rsidRPr="0010623B">
        <w:rPr>
          <w:rFonts w:ascii="Times New Roman" w:hAnsi="Times New Roman" w:cs="Times New Roman"/>
          <w:b/>
          <w:sz w:val="20"/>
          <w:szCs w:val="20"/>
        </w:rPr>
        <w:t>naïve</w:t>
      </w:r>
      <w:r w:rsidRPr="004770D1">
        <w:rPr>
          <w:rFonts w:ascii="Times New Roman" w:hAnsi="Times New Roman" w:cs="Times New Roman"/>
          <w:b/>
          <w:sz w:val="20"/>
          <w:szCs w:val="20"/>
        </w:rPr>
        <w:t xml:space="preserve"> and medicat</w:t>
      </w:r>
      <w:r w:rsidR="00116B3E">
        <w:rPr>
          <w:rFonts w:ascii="Times New Roman" w:hAnsi="Times New Roman" w:cs="Times New Roman"/>
          <w:b/>
          <w:sz w:val="20"/>
          <w:szCs w:val="20"/>
        </w:rPr>
        <w:t>ion-free</w:t>
      </w:r>
      <w:r w:rsidRPr="004770D1">
        <w:rPr>
          <w:rFonts w:ascii="Times New Roman" w:hAnsi="Times New Roman" w:cs="Times New Roman"/>
          <w:b/>
          <w:sz w:val="20"/>
          <w:szCs w:val="20"/>
        </w:rPr>
        <w:t xml:space="preserve"> patients</w:t>
      </w:r>
      <w:r w:rsidR="00203C72" w:rsidRPr="004770D1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1"/>
        <w:tblW w:w="86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275"/>
        <w:gridCol w:w="1168"/>
      </w:tblGrid>
      <w:tr w:rsidR="00C26543" w:rsidRPr="00C26543" w:rsidTr="000E1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Variables</w:t>
            </w:r>
          </w:p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Mean (SD)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Drug-</w:t>
            </w:r>
            <w:r w:rsidR="009F6F9E" w:rsidRPr="00302DB9">
              <w:rPr>
                <w:rFonts w:ascii="Times New Roman" w:hAnsi="Times New Roman" w:cs="Times New Roman"/>
                <w:sz w:val="20"/>
                <w:szCs w:val="20"/>
              </w:rPr>
              <w:t>naïve</w:t>
            </w:r>
          </w:p>
          <w:p w:rsidR="00C26543" w:rsidRPr="00C26543" w:rsidRDefault="00C26543" w:rsidP="00367B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(n=</w:t>
            </w:r>
            <w:r w:rsidR="00367B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Medication-free</w:t>
            </w:r>
          </w:p>
          <w:p w:rsidR="00C26543" w:rsidRPr="00C26543" w:rsidRDefault="00C26543" w:rsidP="00367BD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(n=</w:t>
            </w:r>
            <w:r w:rsidR="00367B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t/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χ</w:t>
            </w: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values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Age, years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2129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29.00(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29.46(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FC1E9D" w:rsidP="003632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507E4F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0.886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ex (M/F)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5525D4" w:rsidP="005525D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1933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111933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8/5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FC1E9D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-0.534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0.598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ducation, years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14.29(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(2.99)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FC1E9D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1.291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507E4F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0.209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ean</w:t>
            </w: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 xml:space="preserve"> FD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0.09(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3632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475E17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-1.567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0.130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BDI-II scores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3B2B42" w:rsidP="003632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23.14(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3632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24.54(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13.29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-0.306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0.762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BAI scores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15.00(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20.15(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-1.399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0.174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5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Y-BOCS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  <w:r w:rsidRPr="00C26543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otal score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730880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28.50(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730880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28.62(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507E4F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-0.068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507E4F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0.946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Obsession subscale score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14.64(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14.77(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507E4F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-0.143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507E4F" w:rsidRDefault="00BE6C99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0.887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  <w:r w:rsidRPr="00C26543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ompulsion subscale score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13.86(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13.85(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507E4F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0.011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507E4F" w:rsidRDefault="00BE6C99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0.182</w:t>
            </w:r>
          </w:p>
        </w:tc>
      </w:tr>
      <w:tr w:rsidR="00C26543" w:rsidRPr="00C26543" w:rsidTr="000E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Age of onset 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22.86(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806366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20.08(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507E4F" w:rsidRDefault="00475E17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1.356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507E4F" w:rsidRDefault="00475E17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0.187</w:t>
            </w:r>
          </w:p>
        </w:tc>
      </w:tr>
      <w:tr w:rsidR="00C26543" w:rsidRPr="00C26543" w:rsidTr="000E1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C26543" w:rsidRPr="00C26543" w:rsidRDefault="00C26543" w:rsidP="00A1702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54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26543">
              <w:rPr>
                <w:rFonts w:ascii="Times New Roman" w:hAnsi="Times New Roman" w:cs="Times New Roman" w:hint="eastAsia"/>
                <w:sz w:val="20"/>
                <w:szCs w:val="20"/>
              </w:rPr>
              <w:t>uration of illness, years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0211F5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8.15(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26543" w:rsidRPr="00C26543" w:rsidRDefault="000211F5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9.88(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:rsidR="00C26543" w:rsidRPr="00507E4F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-1.112</w:t>
            </w:r>
          </w:p>
        </w:tc>
        <w:tc>
          <w:tcPr>
            <w:tcW w:w="1168" w:type="dxa"/>
            <w:shd w:val="clear" w:color="auto" w:fill="FFFFFF" w:themeFill="background1"/>
          </w:tcPr>
          <w:p w:rsidR="00C26543" w:rsidRPr="00507E4F" w:rsidRDefault="00507E4F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7E4F">
              <w:rPr>
                <w:rFonts w:ascii="Times New Roman" w:hAnsi="Times New Roman" w:cs="Times New Roman" w:hint="eastAsia"/>
                <w:sz w:val="20"/>
                <w:szCs w:val="20"/>
              </w:rPr>
              <w:t>0.277</w:t>
            </w:r>
          </w:p>
        </w:tc>
      </w:tr>
    </w:tbl>
    <w:p w:rsidR="005A7087" w:rsidRPr="006853DA" w:rsidRDefault="002939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>
        <w:rPr>
          <w:rFonts w:ascii="Times New Roman" w:hAnsi="Times New Roman" w:cs="Times New Roman" w:hint="eastAsia"/>
          <w:b/>
          <w:sz w:val="20"/>
          <w:szCs w:val="20"/>
        </w:rPr>
        <w:t>ote: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53DA" w:rsidRPr="006853DA">
        <w:rPr>
          <w:rFonts w:ascii="Times New Roman" w:hAnsi="Times New Roman" w:cs="Times New Roman"/>
          <w:sz w:val="20"/>
          <w:szCs w:val="20"/>
        </w:rPr>
        <w:t>FD= frame-wise displacement; Y-BOCS= Yale-Brown Obsessive-Compulsive Scale; BDI-II= Beck Depression Inventory-second edition; BAI= Beck Anxiety Inventory.</w:t>
      </w:r>
    </w:p>
    <w:p w:rsidR="007E5CF0" w:rsidRDefault="007E5CF0">
      <w:pPr>
        <w:adjustRightInd/>
        <w:snapToGrid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A631E" w:rsidRPr="004770D1" w:rsidRDefault="009D1308">
      <w:pPr>
        <w:rPr>
          <w:rFonts w:ascii="Times New Roman" w:hAnsi="Times New Roman" w:cs="Times New Roman"/>
          <w:b/>
          <w:sz w:val="20"/>
          <w:szCs w:val="20"/>
        </w:rPr>
      </w:pPr>
      <w:r w:rsidRPr="004770D1">
        <w:rPr>
          <w:rFonts w:ascii="Times New Roman" w:hAnsi="Times New Roman" w:cs="Times New Roman"/>
          <w:b/>
          <w:sz w:val="20"/>
          <w:szCs w:val="20"/>
        </w:rPr>
        <w:lastRenderedPageBreak/>
        <w:t>eTable</w:t>
      </w:r>
      <w:r w:rsidR="00345BC6" w:rsidRPr="004770D1">
        <w:rPr>
          <w:rFonts w:ascii="Times New Roman" w:hAnsi="Times New Roman" w:cs="Times New Roman"/>
          <w:b/>
          <w:sz w:val="20"/>
          <w:szCs w:val="20"/>
        </w:rPr>
        <w:t>2</w:t>
      </w:r>
      <w:r w:rsidRPr="004770D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373C3">
        <w:rPr>
          <w:rFonts w:ascii="Times New Roman" w:hAnsi="Times New Roman" w:cs="Times New Roman"/>
          <w:b/>
          <w:sz w:val="20"/>
          <w:szCs w:val="20"/>
        </w:rPr>
        <w:t xml:space="preserve">After controlling age and mean FD, the extra </w:t>
      </w:r>
      <w:r w:rsidR="001A631E" w:rsidRPr="004770D1">
        <w:rPr>
          <w:rFonts w:ascii="Times New Roman" w:hAnsi="Times New Roman" w:cs="Times New Roman"/>
          <w:b/>
          <w:sz w:val="20"/>
          <w:szCs w:val="20"/>
        </w:rPr>
        <w:t>decreased cerebellar-cerebral functional connectivity in OCD group relative to the HC group</w:t>
      </w:r>
      <w:r w:rsidR="00263631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1"/>
        <w:tblW w:w="949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709"/>
        <w:gridCol w:w="850"/>
        <w:gridCol w:w="1418"/>
        <w:gridCol w:w="1018"/>
        <w:gridCol w:w="116"/>
        <w:gridCol w:w="1134"/>
      </w:tblGrid>
      <w:tr w:rsidR="001A631E" w:rsidRPr="004770D1" w:rsidTr="0000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Seeds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Brain regions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side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Voxels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MNI(x, y, z)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T values</w:t>
            </w:r>
          </w:p>
        </w:tc>
        <w:tc>
          <w:tcPr>
            <w:tcW w:w="1250" w:type="dxa"/>
            <w:gridSpan w:val="2"/>
            <w:shd w:val="clear" w:color="auto" w:fill="FFFFFF" w:themeFill="background1"/>
            <w:vAlign w:val="center"/>
          </w:tcPr>
          <w:p w:rsidR="001A631E" w:rsidRPr="004770D1" w:rsidRDefault="001A631E" w:rsidP="00A1702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sz w:val="20"/>
                <w:szCs w:val="20"/>
              </w:rPr>
              <w:t>Cohen’s d</w:t>
            </w:r>
          </w:p>
        </w:tc>
      </w:tr>
      <w:tr w:rsidR="001A631E" w:rsidRPr="004770D1" w:rsidTr="0000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7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Executive network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31E" w:rsidRPr="004770D1" w:rsidTr="00006C0E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:rsidR="001A631E" w:rsidRPr="004770D1" w:rsidRDefault="00987577" w:rsidP="00A1702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 Crus 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Exec1</w:t>
            </w:r>
          </w:p>
        </w:tc>
        <w:tc>
          <w:tcPr>
            <w:tcW w:w="2552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Middle Cingulate Gyrus</w:t>
            </w:r>
          </w:p>
        </w:tc>
        <w:tc>
          <w:tcPr>
            <w:tcW w:w="709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418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9, -9, 42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-3.8506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0.64</w:t>
            </w:r>
          </w:p>
        </w:tc>
      </w:tr>
      <w:tr w:rsidR="001A631E" w:rsidRPr="004770D1" w:rsidTr="0000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7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Affective-limbic network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31E" w:rsidRPr="004770D1" w:rsidTr="00006C0E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:rsidR="001A631E" w:rsidRPr="004770D1" w:rsidRDefault="00EE0381" w:rsidP="00A1702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 Lobule VI</w:t>
            </w: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Aff</w:t>
            </w:r>
          </w:p>
        </w:tc>
        <w:tc>
          <w:tcPr>
            <w:tcW w:w="2552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Middle Cingulate Gyrus</w:t>
            </w:r>
          </w:p>
        </w:tc>
        <w:tc>
          <w:tcPr>
            <w:tcW w:w="709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-3, -42, 54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-4.2864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0.83</w:t>
            </w:r>
          </w:p>
        </w:tc>
      </w:tr>
      <w:tr w:rsidR="001A631E" w:rsidRPr="004770D1" w:rsidTr="0000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:rsidR="001A631E" w:rsidRPr="004770D1" w:rsidRDefault="00EE0381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 Lobule VI</w:t>
            </w: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Aff</w:t>
            </w:r>
          </w:p>
        </w:tc>
        <w:tc>
          <w:tcPr>
            <w:tcW w:w="2552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Thalamus</w:t>
            </w:r>
          </w:p>
        </w:tc>
        <w:tc>
          <w:tcPr>
            <w:tcW w:w="709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1418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-9, -24,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-5.4513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0.90</w:t>
            </w:r>
          </w:p>
        </w:tc>
      </w:tr>
      <w:tr w:rsidR="001A631E" w:rsidRPr="004770D1" w:rsidTr="00006C0E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7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 w:val="0"/>
                <w:sz w:val="20"/>
                <w:szCs w:val="20"/>
              </w:rPr>
              <w:t>Default-mode network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31E" w:rsidRPr="004770D1" w:rsidTr="00006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 Crus I</w:t>
            </w: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DMN</w:t>
            </w:r>
          </w:p>
        </w:tc>
        <w:tc>
          <w:tcPr>
            <w:tcW w:w="2552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Superior Temporal Gyrus</w:t>
            </w:r>
          </w:p>
        </w:tc>
        <w:tc>
          <w:tcPr>
            <w:tcW w:w="709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1418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54, -42, 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-4.7093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0.73</w:t>
            </w:r>
          </w:p>
        </w:tc>
      </w:tr>
      <w:tr w:rsidR="001A631E" w:rsidRPr="004770D1" w:rsidTr="00006C0E">
        <w:trPr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 Crus I</w:t>
            </w:r>
            <w:r w:rsidRPr="004770D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bscript"/>
              </w:rPr>
              <w:t>DMN</w:t>
            </w:r>
          </w:p>
        </w:tc>
        <w:tc>
          <w:tcPr>
            <w:tcW w:w="2552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Middle Temporal Gyrus</w:t>
            </w:r>
          </w:p>
        </w:tc>
        <w:tc>
          <w:tcPr>
            <w:tcW w:w="709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1418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54, -48, 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-5.5511</w:t>
            </w:r>
          </w:p>
        </w:tc>
        <w:tc>
          <w:tcPr>
            <w:tcW w:w="1134" w:type="dxa"/>
            <w:shd w:val="clear" w:color="auto" w:fill="FFFFFF" w:themeFill="background1"/>
          </w:tcPr>
          <w:p w:rsidR="001A631E" w:rsidRPr="004770D1" w:rsidRDefault="001A631E" w:rsidP="00A1702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0D1">
              <w:rPr>
                <w:rFonts w:ascii="Times New Roman" w:hAnsi="Times New Roman" w:cs="Times New Roman"/>
                <w:bCs/>
                <w:sz w:val="20"/>
                <w:szCs w:val="20"/>
              </w:rPr>
              <w:t>0.47</w:t>
            </w:r>
          </w:p>
        </w:tc>
      </w:tr>
    </w:tbl>
    <w:p w:rsidR="001A631E" w:rsidRPr="004770D1" w:rsidRDefault="001A631E">
      <w:pPr>
        <w:rPr>
          <w:rFonts w:ascii="Times New Roman" w:hAnsi="Times New Roman" w:cs="Times New Roman"/>
          <w:sz w:val="20"/>
          <w:szCs w:val="20"/>
        </w:rPr>
      </w:pPr>
    </w:p>
    <w:p w:rsidR="00FC20B4" w:rsidRDefault="00FC20B4">
      <w:pPr>
        <w:rPr>
          <w:rFonts w:ascii="Times New Roman" w:hAnsi="Times New Roman" w:cs="Times New Roman"/>
          <w:sz w:val="20"/>
          <w:szCs w:val="20"/>
        </w:rPr>
      </w:pPr>
    </w:p>
    <w:p w:rsidR="009607C2" w:rsidRDefault="009607C2">
      <w:pPr>
        <w:rPr>
          <w:rFonts w:ascii="Times New Roman" w:hAnsi="Times New Roman" w:cs="Times New Roman"/>
          <w:sz w:val="20"/>
          <w:szCs w:val="20"/>
        </w:rPr>
      </w:pPr>
    </w:p>
    <w:p w:rsidR="009607C2" w:rsidRPr="004770D1" w:rsidRDefault="009607C2">
      <w:pPr>
        <w:rPr>
          <w:rFonts w:ascii="Times New Roman" w:hAnsi="Times New Roman" w:cs="Times New Roman"/>
          <w:sz w:val="20"/>
          <w:szCs w:val="20"/>
        </w:rPr>
      </w:pPr>
    </w:p>
    <w:p w:rsidR="00FC20B4" w:rsidRPr="004770D1" w:rsidRDefault="00D367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F83D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20B4" w:rsidRPr="0047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08" w:rsidRDefault="00B01508" w:rsidP="001A631E">
      <w:pPr>
        <w:spacing w:after="0"/>
      </w:pPr>
      <w:r>
        <w:separator/>
      </w:r>
    </w:p>
  </w:endnote>
  <w:endnote w:type="continuationSeparator" w:id="0">
    <w:p w:rsidR="00B01508" w:rsidRDefault="00B01508" w:rsidP="001A6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08" w:rsidRDefault="00B01508" w:rsidP="001A631E">
      <w:pPr>
        <w:spacing w:after="0"/>
      </w:pPr>
      <w:r>
        <w:separator/>
      </w:r>
    </w:p>
  </w:footnote>
  <w:footnote w:type="continuationSeparator" w:id="0">
    <w:p w:rsidR="00B01508" w:rsidRDefault="00B01508" w:rsidP="001A63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6"/>
    <w:rsid w:val="000042F5"/>
    <w:rsid w:val="00006C0E"/>
    <w:rsid w:val="000211F5"/>
    <w:rsid w:val="000223DA"/>
    <w:rsid w:val="000401FC"/>
    <w:rsid w:val="00043477"/>
    <w:rsid w:val="00046909"/>
    <w:rsid w:val="00060903"/>
    <w:rsid w:val="00070CBB"/>
    <w:rsid w:val="00075CF9"/>
    <w:rsid w:val="00077B11"/>
    <w:rsid w:val="000A1C07"/>
    <w:rsid w:val="000A495F"/>
    <w:rsid w:val="000A55E2"/>
    <w:rsid w:val="000B018C"/>
    <w:rsid w:val="000E172D"/>
    <w:rsid w:val="000E3F0C"/>
    <w:rsid w:val="000F290A"/>
    <w:rsid w:val="000F6CB1"/>
    <w:rsid w:val="0010188F"/>
    <w:rsid w:val="0010598C"/>
    <w:rsid w:val="0010623B"/>
    <w:rsid w:val="00111933"/>
    <w:rsid w:val="00113695"/>
    <w:rsid w:val="00116B3E"/>
    <w:rsid w:val="00121FB0"/>
    <w:rsid w:val="00123C51"/>
    <w:rsid w:val="00137AC8"/>
    <w:rsid w:val="00150F6F"/>
    <w:rsid w:val="00153BD0"/>
    <w:rsid w:val="0016457F"/>
    <w:rsid w:val="001920D4"/>
    <w:rsid w:val="001A33A9"/>
    <w:rsid w:val="001A631E"/>
    <w:rsid w:val="001B3023"/>
    <w:rsid w:val="001C15D2"/>
    <w:rsid w:val="001C471F"/>
    <w:rsid w:val="001C771E"/>
    <w:rsid w:val="001E0CF6"/>
    <w:rsid w:val="00203C72"/>
    <w:rsid w:val="002120A1"/>
    <w:rsid w:val="00212953"/>
    <w:rsid w:val="00222C13"/>
    <w:rsid w:val="00224EEE"/>
    <w:rsid w:val="00242E71"/>
    <w:rsid w:val="0025727C"/>
    <w:rsid w:val="00260584"/>
    <w:rsid w:val="00263631"/>
    <w:rsid w:val="00272DD4"/>
    <w:rsid w:val="00281599"/>
    <w:rsid w:val="00283398"/>
    <w:rsid w:val="00293974"/>
    <w:rsid w:val="002B2F11"/>
    <w:rsid w:val="002C3E18"/>
    <w:rsid w:val="002D5942"/>
    <w:rsid w:val="002E63BE"/>
    <w:rsid w:val="00302DB9"/>
    <w:rsid w:val="00322D54"/>
    <w:rsid w:val="00333634"/>
    <w:rsid w:val="003373C3"/>
    <w:rsid w:val="00345BC6"/>
    <w:rsid w:val="003471EC"/>
    <w:rsid w:val="00354CBC"/>
    <w:rsid w:val="003632D3"/>
    <w:rsid w:val="00367BD0"/>
    <w:rsid w:val="003B1E47"/>
    <w:rsid w:val="003B2B42"/>
    <w:rsid w:val="003E0D25"/>
    <w:rsid w:val="003E34C8"/>
    <w:rsid w:val="003F2ED0"/>
    <w:rsid w:val="003F486F"/>
    <w:rsid w:val="00404DB1"/>
    <w:rsid w:val="004259DF"/>
    <w:rsid w:val="00456188"/>
    <w:rsid w:val="004626F2"/>
    <w:rsid w:val="00475E17"/>
    <w:rsid w:val="004770D1"/>
    <w:rsid w:val="00477AD7"/>
    <w:rsid w:val="004817C8"/>
    <w:rsid w:val="004B1CF8"/>
    <w:rsid w:val="004C7A5A"/>
    <w:rsid w:val="004E2969"/>
    <w:rsid w:val="004E65DD"/>
    <w:rsid w:val="004E6A4A"/>
    <w:rsid w:val="00507E4F"/>
    <w:rsid w:val="00511EE9"/>
    <w:rsid w:val="00537A4C"/>
    <w:rsid w:val="005525D4"/>
    <w:rsid w:val="00555888"/>
    <w:rsid w:val="00555DEB"/>
    <w:rsid w:val="00565908"/>
    <w:rsid w:val="00572368"/>
    <w:rsid w:val="00575952"/>
    <w:rsid w:val="00582B5A"/>
    <w:rsid w:val="0059296C"/>
    <w:rsid w:val="005A7087"/>
    <w:rsid w:val="005E65DE"/>
    <w:rsid w:val="00603806"/>
    <w:rsid w:val="00612E8A"/>
    <w:rsid w:val="00642602"/>
    <w:rsid w:val="00656F7D"/>
    <w:rsid w:val="006853DA"/>
    <w:rsid w:val="0068660D"/>
    <w:rsid w:val="006A0279"/>
    <w:rsid w:val="006B6DFE"/>
    <w:rsid w:val="006C34D5"/>
    <w:rsid w:val="006C7031"/>
    <w:rsid w:val="006D76FD"/>
    <w:rsid w:val="00712AE7"/>
    <w:rsid w:val="0073056E"/>
    <w:rsid w:val="00730880"/>
    <w:rsid w:val="00733792"/>
    <w:rsid w:val="00766B34"/>
    <w:rsid w:val="007A522C"/>
    <w:rsid w:val="007A768A"/>
    <w:rsid w:val="007B699B"/>
    <w:rsid w:val="007C0330"/>
    <w:rsid w:val="007C76BD"/>
    <w:rsid w:val="007E524C"/>
    <w:rsid w:val="007E5CF0"/>
    <w:rsid w:val="00806366"/>
    <w:rsid w:val="00813310"/>
    <w:rsid w:val="00894CC2"/>
    <w:rsid w:val="008A1C96"/>
    <w:rsid w:val="008B3D8A"/>
    <w:rsid w:val="008D5D18"/>
    <w:rsid w:val="008D6F24"/>
    <w:rsid w:val="00903552"/>
    <w:rsid w:val="009205A6"/>
    <w:rsid w:val="009259D8"/>
    <w:rsid w:val="009310B0"/>
    <w:rsid w:val="009607C2"/>
    <w:rsid w:val="009633F5"/>
    <w:rsid w:val="00987577"/>
    <w:rsid w:val="0099260F"/>
    <w:rsid w:val="009A2955"/>
    <w:rsid w:val="009A2ED4"/>
    <w:rsid w:val="009C7889"/>
    <w:rsid w:val="009D1308"/>
    <w:rsid w:val="009E2715"/>
    <w:rsid w:val="009F42F1"/>
    <w:rsid w:val="009F5AAB"/>
    <w:rsid w:val="009F6F9E"/>
    <w:rsid w:val="00A0264C"/>
    <w:rsid w:val="00A06D79"/>
    <w:rsid w:val="00A07DB9"/>
    <w:rsid w:val="00A17025"/>
    <w:rsid w:val="00A31CC2"/>
    <w:rsid w:val="00A35281"/>
    <w:rsid w:val="00A42226"/>
    <w:rsid w:val="00A47AD5"/>
    <w:rsid w:val="00A514A9"/>
    <w:rsid w:val="00A96188"/>
    <w:rsid w:val="00A96EEA"/>
    <w:rsid w:val="00AA2E3C"/>
    <w:rsid w:val="00AD729A"/>
    <w:rsid w:val="00AF2C97"/>
    <w:rsid w:val="00AF4751"/>
    <w:rsid w:val="00AF6C81"/>
    <w:rsid w:val="00B01508"/>
    <w:rsid w:val="00B02972"/>
    <w:rsid w:val="00B12B26"/>
    <w:rsid w:val="00B15F48"/>
    <w:rsid w:val="00B2681D"/>
    <w:rsid w:val="00B4233D"/>
    <w:rsid w:val="00B53A41"/>
    <w:rsid w:val="00B74727"/>
    <w:rsid w:val="00B77381"/>
    <w:rsid w:val="00B80FC0"/>
    <w:rsid w:val="00B9084E"/>
    <w:rsid w:val="00B96A84"/>
    <w:rsid w:val="00BA7E82"/>
    <w:rsid w:val="00BB0296"/>
    <w:rsid w:val="00BB40F5"/>
    <w:rsid w:val="00BC06E2"/>
    <w:rsid w:val="00BD5AE6"/>
    <w:rsid w:val="00BE0464"/>
    <w:rsid w:val="00BE6C99"/>
    <w:rsid w:val="00C16347"/>
    <w:rsid w:val="00C26543"/>
    <w:rsid w:val="00C571A8"/>
    <w:rsid w:val="00C91863"/>
    <w:rsid w:val="00C939B6"/>
    <w:rsid w:val="00C97603"/>
    <w:rsid w:val="00CA52FA"/>
    <w:rsid w:val="00D162CD"/>
    <w:rsid w:val="00D2743B"/>
    <w:rsid w:val="00D36790"/>
    <w:rsid w:val="00D43C3E"/>
    <w:rsid w:val="00D56011"/>
    <w:rsid w:val="00D63EB0"/>
    <w:rsid w:val="00D74E2F"/>
    <w:rsid w:val="00D76F79"/>
    <w:rsid w:val="00D814BC"/>
    <w:rsid w:val="00DE12CA"/>
    <w:rsid w:val="00E01680"/>
    <w:rsid w:val="00E01A68"/>
    <w:rsid w:val="00E12E28"/>
    <w:rsid w:val="00E240A6"/>
    <w:rsid w:val="00E4670F"/>
    <w:rsid w:val="00E6259A"/>
    <w:rsid w:val="00E96752"/>
    <w:rsid w:val="00EA6045"/>
    <w:rsid w:val="00EE0381"/>
    <w:rsid w:val="00EE55E6"/>
    <w:rsid w:val="00F0200B"/>
    <w:rsid w:val="00F02E45"/>
    <w:rsid w:val="00F2014C"/>
    <w:rsid w:val="00F255C6"/>
    <w:rsid w:val="00F40243"/>
    <w:rsid w:val="00F43188"/>
    <w:rsid w:val="00F61862"/>
    <w:rsid w:val="00F75C4C"/>
    <w:rsid w:val="00F83D92"/>
    <w:rsid w:val="00FB0142"/>
    <w:rsid w:val="00FC1E9D"/>
    <w:rsid w:val="00FC20B4"/>
    <w:rsid w:val="00FC42B5"/>
    <w:rsid w:val="00FD52A7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FFA9"/>
  <w15:chartTrackingRefBased/>
  <w15:docId w15:val="{FAA6CF42-7480-474B-AB40-4C71005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1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3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3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31E"/>
    <w:rPr>
      <w:sz w:val="18"/>
      <w:szCs w:val="18"/>
    </w:rPr>
  </w:style>
  <w:style w:type="table" w:customStyle="1" w:styleId="1">
    <w:name w:val="浅色底纹1"/>
    <w:basedOn w:val="a1"/>
    <w:uiPriority w:val="60"/>
    <w:rsid w:val="001A631E"/>
    <w:rPr>
      <w:rFonts w:eastAsia="微软雅黑"/>
      <w:color w:val="000000" w:themeColor="text1" w:themeShade="BF"/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201</cp:revision>
  <dcterms:created xsi:type="dcterms:W3CDTF">2018-05-18T01:47:00Z</dcterms:created>
  <dcterms:modified xsi:type="dcterms:W3CDTF">2018-06-04T10:55:00Z</dcterms:modified>
</cp:coreProperties>
</file>