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57DB" w:rsidRPr="009B57DB" w:rsidRDefault="009B57DB" w:rsidP="009B57DB">
      <w:pPr>
        <w:ind w:firstLine="0"/>
        <w:jc w:val="center"/>
        <w:rPr>
          <w:b/>
          <w:lang w:val="en-US"/>
        </w:rPr>
      </w:pPr>
      <w:bookmarkStart w:id="0" w:name="_GoBack"/>
      <w:bookmarkEnd w:id="0"/>
      <w:r w:rsidRPr="009B57DB">
        <w:rPr>
          <w:b/>
          <w:lang w:val="en-US"/>
        </w:rPr>
        <w:t>Supplementary Material</w:t>
      </w:r>
    </w:p>
    <w:p w:rsidR="009B57DB" w:rsidRDefault="00E94B21" w:rsidP="009B57DB">
      <w:pPr>
        <w:ind w:firstLine="0"/>
        <w:jc w:val="center"/>
        <w:rPr>
          <w:lang w:val="en-US"/>
        </w:rPr>
      </w:pPr>
      <w:r>
        <w:rPr>
          <w:lang w:val="en-US"/>
        </w:rPr>
        <w:t>Article t</w:t>
      </w:r>
      <w:r w:rsidR="009B57DB">
        <w:rPr>
          <w:lang w:val="en-US"/>
        </w:rPr>
        <w:t xml:space="preserve">itle: </w:t>
      </w:r>
      <w:r w:rsidRPr="00BC6BE7">
        <w:rPr>
          <w:rFonts w:eastAsiaTheme="majorEastAsia" w:cstheme="majorBidi"/>
          <w:szCs w:val="32"/>
          <w:lang w:val="en-US"/>
        </w:rPr>
        <w:t xml:space="preserve">Why dysfunctional expectations in depression persist - Results from two experimental </w:t>
      </w:r>
      <w:r>
        <w:rPr>
          <w:rFonts w:eastAsiaTheme="majorEastAsia" w:cstheme="majorBidi"/>
          <w:szCs w:val="32"/>
          <w:lang w:val="en-US"/>
        </w:rPr>
        <w:t>studies investigating cognitive immunization</w:t>
      </w:r>
    </w:p>
    <w:p w:rsidR="009B57DB" w:rsidRDefault="009B57DB" w:rsidP="009B57DB">
      <w:pPr>
        <w:ind w:firstLine="0"/>
        <w:jc w:val="center"/>
        <w:rPr>
          <w:lang w:val="en-GB"/>
        </w:rPr>
      </w:pPr>
      <w:r>
        <w:rPr>
          <w:lang w:val="en-GB"/>
        </w:rPr>
        <w:t xml:space="preserve">Journal name: </w:t>
      </w:r>
      <w:r w:rsidR="00E94B21">
        <w:rPr>
          <w:lang w:val="en-GB"/>
        </w:rPr>
        <w:t>Psychological Medicine</w:t>
      </w:r>
    </w:p>
    <w:p w:rsidR="009B57DB" w:rsidRDefault="009B57DB" w:rsidP="009B57DB">
      <w:pPr>
        <w:ind w:firstLine="0"/>
        <w:jc w:val="center"/>
        <w:rPr>
          <w:lang w:val="en-GB"/>
        </w:rPr>
      </w:pPr>
      <w:r>
        <w:rPr>
          <w:lang w:val="en-GB"/>
        </w:rPr>
        <w:t xml:space="preserve">Author names: </w:t>
      </w:r>
      <w:r w:rsidRPr="002D4DE2">
        <w:rPr>
          <w:lang w:val="en-GB"/>
        </w:rPr>
        <w:t>Tobia</w:t>
      </w:r>
      <w:r>
        <w:rPr>
          <w:lang w:val="en-GB"/>
        </w:rPr>
        <w:t xml:space="preserve">s </w:t>
      </w:r>
      <w:proofErr w:type="spellStart"/>
      <w:r>
        <w:rPr>
          <w:lang w:val="en-GB"/>
        </w:rPr>
        <w:t>Kube</w:t>
      </w:r>
      <w:proofErr w:type="spellEnd"/>
      <w:r>
        <w:rPr>
          <w:lang w:val="en-GB"/>
        </w:rPr>
        <w:t>,</w:t>
      </w:r>
      <w:r>
        <w:rPr>
          <w:szCs w:val="32"/>
          <w:lang w:val="en-GB"/>
        </w:rPr>
        <w:t xml:space="preserve"> </w:t>
      </w:r>
      <w:r>
        <w:rPr>
          <w:lang w:val="en-GB"/>
        </w:rPr>
        <w:t xml:space="preserve">Winfried </w:t>
      </w:r>
      <w:proofErr w:type="spellStart"/>
      <w:r>
        <w:rPr>
          <w:lang w:val="en-GB"/>
        </w:rPr>
        <w:t>Rief</w:t>
      </w:r>
      <w:proofErr w:type="spellEnd"/>
      <w:r w:rsidR="00E94B21">
        <w:rPr>
          <w:lang w:val="en-GB"/>
        </w:rPr>
        <w:t xml:space="preserve">, Mario </w:t>
      </w:r>
      <w:proofErr w:type="spellStart"/>
      <w:r w:rsidR="00E94B21">
        <w:rPr>
          <w:lang w:val="en-GB"/>
        </w:rPr>
        <w:t>Gollwitzer</w:t>
      </w:r>
      <w:proofErr w:type="spellEnd"/>
      <w:r w:rsidR="00E94B21">
        <w:rPr>
          <w:lang w:val="en-GB"/>
        </w:rPr>
        <w:t xml:space="preserve">, Thomas </w:t>
      </w:r>
      <w:proofErr w:type="spellStart"/>
      <w:r w:rsidR="00E94B21">
        <w:rPr>
          <w:lang w:val="en-GB"/>
        </w:rPr>
        <w:t>Gärtner</w:t>
      </w:r>
      <w:proofErr w:type="spellEnd"/>
      <w:r w:rsidR="00E94B21">
        <w:rPr>
          <w:lang w:val="en-GB"/>
        </w:rPr>
        <w:t xml:space="preserve">, Winfried </w:t>
      </w:r>
      <w:proofErr w:type="spellStart"/>
      <w:r w:rsidR="00E94B21">
        <w:rPr>
          <w:lang w:val="en-GB"/>
        </w:rPr>
        <w:t>Rief</w:t>
      </w:r>
      <w:proofErr w:type="spellEnd"/>
    </w:p>
    <w:p w:rsidR="009B57DB" w:rsidRDefault="009B57DB" w:rsidP="009B57DB">
      <w:pPr>
        <w:ind w:firstLine="0"/>
        <w:jc w:val="center"/>
        <w:rPr>
          <w:lang w:val="en-GB"/>
        </w:rPr>
      </w:pPr>
      <w:r>
        <w:rPr>
          <w:szCs w:val="32"/>
          <w:lang w:val="en-GB"/>
        </w:rPr>
        <w:t xml:space="preserve">Corresponding author: </w:t>
      </w:r>
      <w:r w:rsidRPr="002D4DE2">
        <w:rPr>
          <w:lang w:val="en-GB"/>
        </w:rPr>
        <w:t>Tobia</w:t>
      </w:r>
      <w:r>
        <w:rPr>
          <w:lang w:val="en-GB"/>
        </w:rPr>
        <w:t>s Kube,</w:t>
      </w:r>
      <w:r w:rsidRPr="009B57DB">
        <w:rPr>
          <w:lang w:val="en-GB"/>
        </w:rPr>
        <w:t xml:space="preserve"> </w:t>
      </w:r>
      <w:r w:rsidRPr="002D4DE2">
        <w:rPr>
          <w:lang w:val="en-GB"/>
        </w:rPr>
        <w:t xml:space="preserve">Philipps-University of Marburg, Department of Clinical Psychology and Psychotherapy, </w:t>
      </w:r>
      <w:proofErr w:type="spellStart"/>
      <w:r w:rsidRPr="002D4DE2">
        <w:rPr>
          <w:lang w:val="en-GB"/>
        </w:rPr>
        <w:t>Gutenbergstraße</w:t>
      </w:r>
      <w:proofErr w:type="spellEnd"/>
      <w:r w:rsidRPr="002D4DE2">
        <w:rPr>
          <w:lang w:val="en-GB"/>
        </w:rPr>
        <w:t xml:space="preserve"> 18, D-35032 Marburg, Germany</w:t>
      </w:r>
      <w:r>
        <w:rPr>
          <w:lang w:val="en-GB"/>
        </w:rPr>
        <w:t>, Phone: +0049 6421 2823341, Email: tobias.kube@staff.uni-marburg.de</w:t>
      </w:r>
    </w:p>
    <w:p w:rsidR="009B57DB" w:rsidRPr="009B57DB" w:rsidRDefault="009B57DB" w:rsidP="009B57DB">
      <w:pPr>
        <w:ind w:firstLine="0"/>
        <w:jc w:val="center"/>
        <w:rPr>
          <w:lang w:val="en-GB"/>
        </w:rPr>
      </w:pPr>
    </w:p>
    <w:p w:rsidR="009B57DB" w:rsidRDefault="009B57DB">
      <w:pPr>
        <w:spacing w:after="160" w:line="259" w:lineRule="auto"/>
        <w:ind w:firstLine="0"/>
        <w:rPr>
          <w:lang w:val="en-US"/>
        </w:rPr>
      </w:pPr>
      <w:r>
        <w:rPr>
          <w:lang w:val="en-US"/>
        </w:rPr>
        <w:br w:type="page"/>
      </w:r>
    </w:p>
    <w:p w:rsidR="00E94B21" w:rsidRDefault="009F27E9" w:rsidP="009B57DB">
      <w:pPr>
        <w:ind w:firstLine="0"/>
        <w:rPr>
          <w:b/>
          <w:lang w:val="en-US"/>
        </w:rPr>
      </w:pPr>
      <w:r>
        <w:rPr>
          <w:b/>
          <w:lang w:val="en-US"/>
        </w:rPr>
        <w:lastRenderedPageBreak/>
        <w:t>Computing the</w:t>
      </w:r>
      <w:r w:rsidR="00E94B21">
        <w:rPr>
          <w:b/>
          <w:lang w:val="en-US"/>
        </w:rPr>
        <w:t xml:space="preserve"> </w:t>
      </w:r>
      <w:r>
        <w:rPr>
          <w:b/>
          <w:lang w:val="en-US"/>
        </w:rPr>
        <w:t>TEMINT sum score</w:t>
      </w:r>
    </w:p>
    <w:p w:rsidR="00E94B21" w:rsidRPr="009F27E9" w:rsidRDefault="00E94B21" w:rsidP="009F27E9">
      <w:pPr>
        <w:ind w:firstLine="567"/>
        <w:rPr>
          <w:iCs/>
          <w:lang w:val="en-US"/>
        </w:rPr>
      </w:pPr>
      <w:r w:rsidRPr="009F166E">
        <w:rPr>
          <w:rStyle w:val="Emphasis"/>
          <w:i w:val="0"/>
          <w:lang w:val="en-US"/>
        </w:rPr>
        <w:t>For each situation, participants rate between six and ten emotions of the acting person (e.g. fear, anger, sadness etc.). Participants are asked to rate a total of twelve situations with 85 emotional states. Answers are scored by comparing the participant’s answers with the acting person’s actual ratings. The TEMINT sum score reflects the overall deviations from the actual ratings, with low sum scores indicating good performance.</w:t>
      </w:r>
    </w:p>
    <w:p w:rsidR="00D90A71" w:rsidRDefault="00E94B21" w:rsidP="009B57DB">
      <w:pPr>
        <w:ind w:firstLine="0"/>
        <w:rPr>
          <w:b/>
          <w:lang w:val="en-US"/>
        </w:rPr>
      </w:pPr>
      <w:r>
        <w:rPr>
          <w:b/>
          <w:lang w:val="en-US"/>
        </w:rPr>
        <w:t>Differences between experimental conditions in Study 1</w:t>
      </w:r>
    </w:p>
    <w:p w:rsidR="00E94B21" w:rsidRDefault="00E94B21" w:rsidP="00E94B21">
      <w:pPr>
        <w:ind w:firstLine="567"/>
        <w:rPr>
          <w:lang w:val="en-US"/>
        </w:rPr>
      </w:pPr>
      <w:r>
        <w:rPr>
          <w:lang w:val="en-US"/>
        </w:rPr>
        <w:t>The expectation confirmation group (</w:t>
      </w:r>
      <w:r w:rsidRPr="00404F24">
        <w:rPr>
          <w:i/>
          <w:lang w:val="en-US"/>
        </w:rPr>
        <w:t>M</w:t>
      </w:r>
      <w:r>
        <w:rPr>
          <w:lang w:val="en-US"/>
        </w:rPr>
        <w:t xml:space="preserve"> = 4.23, </w:t>
      </w:r>
      <w:r w:rsidRPr="00404F24">
        <w:rPr>
          <w:i/>
          <w:lang w:val="en-US"/>
        </w:rPr>
        <w:t>SD</w:t>
      </w:r>
      <w:r>
        <w:rPr>
          <w:lang w:val="en-US"/>
        </w:rPr>
        <w:t xml:space="preserve"> = 1.40) and the expectation disconfirmation group (</w:t>
      </w:r>
      <w:r w:rsidRPr="00404F24">
        <w:rPr>
          <w:i/>
          <w:lang w:val="en-US"/>
        </w:rPr>
        <w:t>M</w:t>
      </w:r>
      <w:r>
        <w:rPr>
          <w:lang w:val="en-US"/>
        </w:rPr>
        <w:t xml:space="preserve"> = 4.46, </w:t>
      </w:r>
      <w:r w:rsidRPr="00404F24">
        <w:rPr>
          <w:i/>
          <w:lang w:val="en-US"/>
        </w:rPr>
        <w:t>SD</w:t>
      </w:r>
      <w:r>
        <w:rPr>
          <w:lang w:val="en-US"/>
        </w:rPr>
        <w:t xml:space="preserve"> = 1.26) did not significantly differ on initial task-specific expectations, </w:t>
      </w:r>
      <w:proofErr w:type="gramStart"/>
      <w:r w:rsidRPr="007D0C0D">
        <w:rPr>
          <w:i/>
          <w:lang w:val="en-US"/>
        </w:rPr>
        <w:t>F</w:t>
      </w:r>
      <w:r>
        <w:rPr>
          <w:lang w:val="en-US"/>
        </w:rPr>
        <w:t>(</w:t>
      </w:r>
      <w:proofErr w:type="gramEnd"/>
      <w:r>
        <w:rPr>
          <w:lang w:val="en-US"/>
        </w:rPr>
        <w:t xml:space="preserve">1, 113) = 0.880, </w:t>
      </w:r>
      <w:r w:rsidRPr="007D0C0D">
        <w:rPr>
          <w:i/>
          <w:lang w:val="en-US"/>
        </w:rPr>
        <w:t>p</w:t>
      </w:r>
      <w:r>
        <w:rPr>
          <w:i/>
          <w:lang w:val="en-US"/>
        </w:rPr>
        <w:t xml:space="preserve"> </w:t>
      </w:r>
      <w:r>
        <w:rPr>
          <w:lang w:val="en-US"/>
        </w:rPr>
        <w:t xml:space="preserve">= .350; </w:t>
      </w:r>
      <w:r w:rsidRPr="00981B8D">
        <w:rPr>
          <w:i/>
          <w:lang w:val="en-US"/>
        </w:rPr>
        <w:t>ɳ</w:t>
      </w:r>
      <w:r>
        <w:rPr>
          <w:i/>
          <w:lang w:val="en-US"/>
        </w:rPr>
        <w:t>²</w:t>
      </w:r>
      <w:r w:rsidRPr="00981B8D">
        <w:rPr>
          <w:i/>
          <w:vertAlign w:val="subscript"/>
          <w:lang w:val="en-US"/>
        </w:rPr>
        <w:t>p</w:t>
      </w:r>
      <w:r>
        <w:rPr>
          <w:i/>
          <w:vertAlign w:val="subscript"/>
          <w:lang w:val="en-US"/>
        </w:rPr>
        <w:t xml:space="preserve"> </w:t>
      </w:r>
      <w:r>
        <w:rPr>
          <w:lang w:val="en-US"/>
        </w:rPr>
        <w:t>= .008, 95% CI [0, 0.068]. Likewise, the expectation confirmation group (</w:t>
      </w:r>
      <w:r w:rsidRPr="00404F24">
        <w:rPr>
          <w:i/>
          <w:lang w:val="en-US"/>
        </w:rPr>
        <w:t>M</w:t>
      </w:r>
      <w:r>
        <w:rPr>
          <w:lang w:val="en-US"/>
        </w:rPr>
        <w:t xml:space="preserve"> = 4.05, </w:t>
      </w:r>
      <w:r w:rsidRPr="00404F24">
        <w:rPr>
          <w:i/>
          <w:lang w:val="en-US"/>
        </w:rPr>
        <w:t>SD</w:t>
      </w:r>
      <w:r>
        <w:rPr>
          <w:lang w:val="en-US"/>
        </w:rPr>
        <w:t xml:space="preserve"> = 1.24) and the expectation disconfirmation group (</w:t>
      </w:r>
      <w:r w:rsidRPr="00404F24">
        <w:rPr>
          <w:i/>
          <w:lang w:val="en-US"/>
        </w:rPr>
        <w:t>M</w:t>
      </w:r>
      <w:r>
        <w:rPr>
          <w:lang w:val="en-US"/>
        </w:rPr>
        <w:t xml:space="preserve"> = 4.25, </w:t>
      </w:r>
      <w:r w:rsidRPr="00404F24">
        <w:rPr>
          <w:i/>
          <w:lang w:val="en-US"/>
        </w:rPr>
        <w:t>SD</w:t>
      </w:r>
      <w:r>
        <w:rPr>
          <w:lang w:val="en-US"/>
        </w:rPr>
        <w:t xml:space="preserve"> = 1.30) did not significantly differ on initial generalized expectations, </w:t>
      </w:r>
      <w:proofErr w:type="gramStart"/>
      <w:r w:rsidRPr="007D0C0D">
        <w:rPr>
          <w:i/>
          <w:lang w:val="en-US"/>
        </w:rPr>
        <w:t>F</w:t>
      </w:r>
      <w:r>
        <w:rPr>
          <w:lang w:val="en-US"/>
        </w:rPr>
        <w:t>(</w:t>
      </w:r>
      <w:proofErr w:type="gramEnd"/>
      <w:r>
        <w:rPr>
          <w:lang w:val="en-US"/>
        </w:rPr>
        <w:t xml:space="preserve">1, 113) = 0.723, </w:t>
      </w:r>
      <w:r w:rsidRPr="007D0C0D">
        <w:rPr>
          <w:i/>
          <w:lang w:val="en-US"/>
        </w:rPr>
        <w:t>p</w:t>
      </w:r>
      <w:r>
        <w:rPr>
          <w:i/>
          <w:lang w:val="en-US"/>
        </w:rPr>
        <w:t xml:space="preserve"> </w:t>
      </w:r>
      <w:r>
        <w:rPr>
          <w:lang w:val="en-US"/>
        </w:rPr>
        <w:t xml:space="preserve">= .397; </w:t>
      </w:r>
      <w:r w:rsidRPr="00981B8D">
        <w:rPr>
          <w:i/>
          <w:lang w:val="en-US"/>
        </w:rPr>
        <w:t>ɳ</w:t>
      </w:r>
      <w:r>
        <w:rPr>
          <w:i/>
          <w:lang w:val="en-US"/>
        </w:rPr>
        <w:t>²</w:t>
      </w:r>
      <w:r w:rsidRPr="00981B8D">
        <w:rPr>
          <w:i/>
          <w:vertAlign w:val="subscript"/>
          <w:lang w:val="en-US"/>
        </w:rPr>
        <w:t>p</w:t>
      </w:r>
      <w:r>
        <w:rPr>
          <w:i/>
          <w:vertAlign w:val="subscript"/>
          <w:lang w:val="en-US"/>
        </w:rPr>
        <w:t xml:space="preserve"> </w:t>
      </w:r>
      <w:r>
        <w:rPr>
          <w:lang w:val="en-US"/>
        </w:rPr>
        <w:t xml:space="preserve">= .006, 95% CI [0, 0.064]. Further, the two groups did not differ on age, </w:t>
      </w:r>
      <w:proofErr w:type="gramStart"/>
      <w:r w:rsidRPr="007D0C0D">
        <w:rPr>
          <w:i/>
          <w:lang w:val="en-US"/>
        </w:rPr>
        <w:t>F</w:t>
      </w:r>
      <w:r>
        <w:rPr>
          <w:lang w:val="en-US"/>
        </w:rPr>
        <w:t>(</w:t>
      </w:r>
      <w:proofErr w:type="gramEnd"/>
      <w:r>
        <w:rPr>
          <w:lang w:val="en-US"/>
        </w:rPr>
        <w:t xml:space="preserve">1, 113) = 0.908, </w:t>
      </w:r>
      <w:r w:rsidRPr="007D0C0D">
        <w:rPr>
          <w:i/>
          <w:lang w:val="en-US"/>
        </w:rPr>
        <w:t>p</w:t>
      </w:r>
      <w:r>
        <w:rPr>
          <w:i/>
          <w:lang w:val="en-US"/>
        </w:rPr>
        <w:t xml:space="preserve"> </w:t>
      </w:r>
      <w:r>
        <w:rPr>
          <w:lang w:val="en-US"/>
        </w:rPr>
        <w:t xml:space="preserve">= .343; </w:t>
      </w:r>
      <w:r w:rsidRPr="00981B8D">
        <w:rPr>
          <w:i/>
          <w:lang w:val="en-US"/>
        </w:rPr>
        <w:t>ɳ</w:t>
      </w:r>
      <w:r>
        <w:rPr>
          <w:i/>
          <w:lang w:val="en-US"/>
        </w:rPr>
        <w:t>²</w:t>
      </w:r>
      <w:r w:rsidRPr="00981B8D">
        <w:rPr>
          <w:i/>
          <w:vertAlign w:val="subscript"/>
          <w:lang w:val="en-US"/>
        </w:rPr>
        <w:t>p</w:t>
      </w:r>
      <w:r>
        <w:rPr>
          <w:i/>
          <w:vertAlign w:val="subscript"/>
          <w:lang w:val="en-US"/>
        </w:rPr>
        <w:t xml:space="preserve"> </w:t>
      </w:r>
      <w:r>
        <w:rPr>
          <w:lang w:val="en-US"/>
        </w:rPr>
        <w:t xml:space="preserve">= .008, 95% CI [0, 0.069], depressive symptoms, </w:t>
      </w:r>
      <w:r w:rsidRPr="007D0C0D">
        <w:rPr>
          <w:i/>
          <w:lang w:val="en-US"/>
        </w:rPr>
        <w:t>F</w:t>
      </w:r>
      <w:r>
        <w:rPr>
          <w:lang w:val="en-US"/>
        </w:rPr>
        <w:t xml:space="preserve">(1, 113) &lt; 0.001, </w:t>
      </w:r>
      <w:r w:rsidRPr="007D0C0D">
        <w:rPr>
          <w:i/>
          <w:lang w:val="en-US"/>
        </w:rPr>
        <w:t>p</w:t>
      </w:r>
      <w:r>
        <w:rPr>
          <w:i/>
          <w:lang w:val="en-US"/>
        </w:rPr>
        <w:t xml:space="preserve"> </w:t>
      </w:r>
      <w:r>
        <w:rPr>
          <w:lang w:val="en-US"/>
        </w:rPr>
        <w:t xml:space="preserve">= .993; </w:t>
      </w:r>
      <w:r w:rsidRPr="00981B8D">
        <w:rPr>
          <w:i/>
          <w:lang w:val="en-US"/>
        </w:rPr>
        <w:t>ɳ</w:t>
      </w:r>
      <w:r>
        <w:rPr>
          <w:i/>
          <w:lang w:val="en-US"/>
        </w:rPr>
        <w:t>²</w:t>
      </w:r>
      <w:r w:rsidRPr="00981B8D">
        <w:rPr>
          <w:i/>
          <w:vertAlign w:val="subscript"/>
          <w:lang w:val="en-US"/>
        </w:rPr>
        <w:t>p</w:t>
      </w:r>
      <w:r>
        <w:rPr>
          <w:i/>
          <w:vertAlign w:val="subscript"/>
          <w:lang w:val="en-US"/>
        </w:rPr>
        <w:t xml:space="preserve"> </w:t>
      </w:r>
      <w:r>
        <w:rPr>
          <w:lang w:val="en-US"/>
        </w:rPr>
        <w:t xml:space="preserve">&lt; .001, 95% CI [0, 0.001], or TEMINT performance, </w:t>
      </w:r>
      <w:r w:rsidRPr="007D0C0D">
        <w:rPr>
          <w:i/>
          <w:lang w:val="en-US"/>
        </w:rPr>
        <w:t>F</w:t>
      </w:r>
      <w:r>
        <w:rPr>
          <w:lang w:val="en-US"/>
        </w:rPr>
        <w:t xml:space="preserve">(1, 113) = 1.029, </w:t>
      </w:r>
      <w:r w:rsidRPr="007D0C0D">
        <w:rPr>
          <w:i/>
          <w:lang w:val="en-US"/>
        </w:rPr>
        <w:t>p</w:t>
      </w:r>
      <w:r>
        <w:rPr>
          <w:i/>
          <w:lang w:val="en-US"/>
        </w:rPr>
        <w:t xml:space="preserve"> </w:t>
      </w:r>
      <w:r>
        <w:rPr>
          <w:lang w:val="en-US"/>
        </w:rPr>
        <w:t xml:space="preserve">= .313; </w:t>
      </w:r>
      <w:r w:rsidRPr="00981B8D">
        <w:rPr>
          <w:i/>
          <w:lang w:val="en-US"/>
        </w:rPr>
        <w:t>ɳ</w:t>
      </w:r>
      <w:r>
        <w:rPr>
          <w:i/>
          <w:lang w:val="en-US"/>
        </w:rPr>
        <w:t>²</w:t>
      </w:r>
      <w:r w:rsidRPr="00981B8D">
        <w:rPr>
          <w:i/>
          <w:vertAlign w:val="subscript"/>
          <w:lang w:val="en-US"/>
        </w:rPr>
        <w:t>p</w:t>
      </w:r>
      <w:r>
        <w:rPr>
          <w:i/>
          <w:vertAlign w:val="subscript"/>
          <w:lang w:val="en-US"/>
        </w:rPr>
        <w:t xml:space="preserve"> </w:t>
      </w:r>
      <w:r>
        <w:rPr>
          <w:lang w:val="en-US"/>
        </w:rPr>
        <w:t xml:space="preserve">= .009, 95% CI [0, 0.072]. </w:t>
      </w:r>
    </w:p>
    <w:p w:rsidR="00E94B21" w:rsidRPr="00E94B21" w:rsidRDefault="00E94B21" w:rsidP="00E94B21">
      <w:pPr>
        <w:ind w:firstLine="0"/>
        <w:rPr>
          <w:b/>
          <w:lang w:val="en-US"/>
        </w:rPr>
      </w:pPr>
      <w:r w:rsidRPr="00E94B21">
        <w:rPr>
          <w:b/>
          <w:lang w:val="en-US"/>
        </w:rPr>
        <w:t>Differences between participants from the inpatient clinics and the day-care clinic</w:t>
      </w:r>
      <w:r>
        <w:rPr>
          <w:b/>
          <w:lang w:val="en-US"/>
        </w:rPr>
        <w:t xml:space="preserve"> in Study 1</w:t>
      </w:r>
    </w:p>
    <w:p w:rsidR="00E94B21" w:rsidRDefault="00E94B21" w:rsidP="00E94B21">
      <w:pPr>
        <w:ind w:firstLine="567"/>
        <w:rPr>
          <w:lang w:val="en-US"/>
        </w:rPr>
      </w:pPr>
      <w:r>
        <w:rPr>
          <w:lang w:val="en-US"/>
        </w:rPr>
        <w:t xml:space="preserve">With regard to the clinical sample, participants from the inpatient clinics and the day-care clinic did not significantly differ on initial task-specific expectations, </w:t>
      </w:r>
      <w:r w:rsidRPr="007D0C0D">
        <w:rPr>
          <w:i/>
          <w:lang w:val="en-US"/>
        </w:rPr>
        <w:t>F</w:t>
      </w:r>
      <w:r>
        <w:rPr>
          <w:lang w:val="en-US"/>
        </w:rPr>
        <w:t xml:space="preserve">(1, 56) = 1.737, </w:t>
      </w:r>
      <w:r w:rsidRPr="007D0C0D">
        <w:rPr>
          <w:i/>
          <w:lang w:val="en-US"/>
        </w:rPr>
        <w:t>p</w:t>
      </w:r>
      <w:r>
        <w:rPr>
          <w:i/>
          <w:lang w:val="en-US"/>
        </w:rPr>
        <w:t xml:space="preserve"> </w:t>
      </w:r>
      <w:r>
        <w:rPr>
          <w:lang w:val="en-US"/>
        </w:rPr>
        <w:t xml:space="preserve">= .193; </w:t>
      </w:r>
      <w:r w:rsidRPr="00981B8D">
        <w:rPr>
          <w:i/>
          <w:lang w:val="en-US"/>
        </w:rPr>
        <w:t>ɳ</w:t>
      </w:r>
      <w:r>
        <w:rPr>
          <w:i/>
          <w:lang w:val="en-US"/>
        </w:rPr>
        <w:t>²</w:t>
      </w:r>
      <w:r w:rsidRPr="00981B8D">
        <w:rPr>
          <w:i/>
          <w:vertAlign w:val="subscript"/>
          <w:lang w:val="en-US"/>
        </w:rPr>
        <w:t>p</w:t>
      </w:r>
      <w:r>
        <w:rPr>
          <w:i/>
          <w:vertAlign w:val="subscript"/>
          <w:lang w:val="en-US"/>
        </w:rPr>
        <w:t xml:space="preserve"> </w:t>
      </w:r>
      <w:r>
        <w:rPr>
          <w:lang w:val="en-US"/>
        </w:rPr>
        <w:t xml:space="preserve">= .030, 95% CI [0, 0.157], initial generalized expectations, </w:t>
      </w:r>
      <w:r w:rsidRPr="007D0C0D">
        <w:rPr>
          <w:i/>
          <w:lang w:val="en-US"/>
        </w:rPr>
        <w:t>F</w:t>
      </w:r>
      <w:r>
        <w:rPr>
          <w:lang w:val="en-US"/>
        </w:rPr>
        <w:t xml:space="preserve">(1, 56) = 0.577, </w:t>
      </w:r>
      <w:r w:rsidRPr="007D0C0D">
        <w:rPr>
          <w:i/>
          <w:lang w:val="en-US"/>
        </w:rPr>
        <w:t>p</w:t>
      </w:r>
      <w:r>
        <w:rPr>
          <w:i/>
          <w:lang w:val="en-US"/>
        </w:rPr>
        <w:t xml:space="preserve"> </w:t>
      </w:r>
      <w:r>
        <w:rPr>
          <w:lang w:val="en-US"/>
        </w:rPr>
        <w:t xml:space="preserve">= .451; </w:t>
      </w:r>
      <w:r w:rsidRPr="00981B8D">
        <w:rPr>
          <w:i/>
          <w:lang w:val="en-US"/>
        </w:rPr>
        <w:t>ɳ</w:t>
      </w:r>
      <w:r>
        <w:rPr>
          <w:i/>
          <w:lang w:val="en-US"/>
        </w:rPr>
        <w:t>²</w:t>
      </w:r>
      <w:r w:rsidRPr="00981B8D">
        <w:rPr>
          <w:i/>
          <w:vertAlign w:val="subscript"/>
          <w:lang w:val="en-US"/>
        </w:rPr>
        <w:t>p</w:t>
      </w:r>
      <w:r>
        <w:rPr>
          <w:i/>
          <w:vertAlign w:val="subscript"/>
          <w:lang w:val="en-US"/>
        </w:rPr>
        <w:t xml:space="preserve"> </w:t>
      </w:r>
      <w:r>
        <w:rPr>
          <w:lang w:val="en-US"/>
        </w:rPr>
        <w:t xml:space="preserve">= .010, 95% CI [0, 0.113], age, </w:t>
      </w:r>
      <w:r w:rsidRPr="007D0C0D">
        <w:rPr>
          <w:i/>
          <w:lang w:val="en-US"/>
        </w:rPr>
        <w:t>F</w:t>
      </w:r>
      <w:r>
        <w:rPr>
          <w:lang w:val="en-US"/>
        </w:rPr>
        <w:t xml:space="preserve">(1, 56) = 0.642, </w:t>
      </w:r>
      <w:r w:rsidRPr="007D0C0D">
        <w:rPr>
          <w:i/>
          <w:lang w:val="en-US"/>
        </w:rPr>
        <w:t>p</w:t>
      </w:r>
      <w:r>
        <w:rPr>
          <w:i/>
          <w:lang w:val="en-US"/>
        </w:rPr>
        <w:t xml:space="preserve"> </w:t>
      </w:r>
      <w:r>
        <w:rPr>
          <w:lang w:val="en-US"/>
        </w:rPr>
        <w:t xml:space="preserve">= .426; </w:t>
      </w:r>
      <w:r w:rsidRPr="00981B8D">
        <w:rPr>
          <w:i/>
          <w:lang w:val="en-US"/>
        </w:rPr>
        <w:t>ɳ</w:t>
      </w:r>
      <w:r>
        <w:rPr>
          <w:i/>
          <w:lang w:val="en-US"/>
        </w:rPr>
        <w:t>²</w:t>
      </w:r>
      <w:r w:rsidRPr="00981B8D">
        <w:rPr>
          <w:i/>
          <w:vertAlign w:val="subscript"/>
          <w:lang w:val="en-US"/>
        </w:rPr>
        <w:t>p</w:t>
      </w:r>
      <w:r>
        <w:rPr>
          <w:i/>
          <w:vertAlign w:val="subscript"/>
          <w:lang w:val="en-US"/>
        </w:rPr>
        <w:t xml:space="preserve"> </w:t>
      </w:r>
      <w:r>
        <w:rPr>
          <w:lang w:val="en-US"/>
        </w:rPr>
        <w:t xml:space="preserve">= .011, 95% CI [0, 0.116], depressive symptoms, </w:t>
      </w:r>
      <w:r w:rsidRPr="007D0C0D">
        <w:rPr>
          <w:i/>
          <w:lang w:val="en-US"/>
        </w:rPr>
        <w:t>F</w:t>
      </w:r>
      <w:r>
        <w:rPr>
          <w:lang w:val="en-US"/>
        </w:rPr>
        <w:t xml:space="preserve">(1, 56) = 1.445, </w:t>
      </w:r>
      <w:r w:rsidRPr="007D0C0D">
        <w:rPr>
          <w:i/>
          <w:lang w:val="en-US"/>
        </w:rPr>
        <w:t>p</w:t>
      </w:r>
      <w:r>
        <w:rPr>
          <w:i/>
          <w:lang w:val="en-US"/>
        </w:rPr>
        <w:t xml:space="preserve"> </w:t>
      </w:r>
      <w:r>
        <w:rPr>
          <w:lang w:val="en-US"/>
        </w:rPr>
        <w:t xml:space="preserve">= .234; </w:t>
      </w:r>
      <w:r w:rsidRPr="00981B8D">
        <w:rPr>
          <w:i/>
          <w:lang w:val="en-US"/>
        </w:rPr>
        <w:t>ɳ</w:t>
      </w:r>
      <w:r>
        <w:rPr>
          <w:i/>
          <w:lang w:val="en-US"/>
        </w:rPr>
        <w:t>²</w:t>
      </w:r>
      <w:r w:rsidRPr="00981B8D">
        <w:rPr>
          <w:i/>
          <w:vertAlign w:val="subscript"/>
          <w:lang w:val="en-US"/>
        </w:rPr>
        <w:t>p</w:t>
      </w:r>
      <w:r>
        <w:rPr>
          <w:i/>
          <w:vertAlign w:val="subscript"/>
          <w:lang w:val="en-US"/>
        </w:rPr>
        <w:t xml:space="preserve"> </w:t>
      </w:r>
      <w:r>
        <w:rPr>
          <w:lang w:val="en-US"/>
        </w:rPr>
        <w:t xml:space="preserve">= .235, 95% CI [0, 0.148], or TEMINT performance, </w:t>
      </w:r>
      <w:r w:rsidRPr="007D0C0D">
        <w:rPr>
          <w:i/>
          <w:lang w:val="en-US"/>
        </w:rPr>
        <w:t>F</w:t>
      </w:r>
      <w:r>
        <w:rPr>
          <w:lang w:val="en-US"/>
        </w:rPr>
        <w:t xml:space="preserve">(1, 56) = 0.154, </w:t>
      </w:r>
      <w:r w:rsidRPr="007D0C0D">
        <w:rPr>
          <w:i/>
          <w:lang w:val="en-US"/>
        </w:rPr>
        <w:t>p</w:t>
      </w:r>
      <w:r>
        <w:rPr>
          <w:i/>
          <w:lang w:val="en-US"/>
        </w:rPr>
        <w:t xml:space="preserve"> </w:t>
      </w:r>
      <w:r>
        <w:rPr>
          <w:lang w:val="en-US"/>
        </w:rPr>
        <w:t xml:space="preserve">= .697; </w:t>
      </w:r>
      <w:r w:rsidRPr="00981B8D">
        <w:rPr>
          <w:i/>
          <w:lang w:val="en-US"/>
        </w:rPr>
        <w:t>ɳ</w:t>
      </w:r>
      <w:r>
        <w:rPr>
          <w:i/>
          <w:lang w:val="en-US"/>
        </w:rPr>
        <w:t>²</w:t>
      </w:r>
      <w:r w:rsidRPr="00981B8D">
        <w:rPr>
          <w:i/>
          <w:vertAlign w:val="subscript"/>
          <w:lang w:val="en-US"/>
        </w:rPr>
        <w:t>p</w:t>
      </w:r>
      <w:r>
        <w:rPr>
          <w:i/>
          <w:vertAlign w:val="subscript"/>
          <w:lang w:val="en-US"/>
        </w:rPr>
        <w:t xml:space="preserve"> </w:t>
      </w:r>
      <w:r>
        <w:rPr>
          <w:lang w:val="en-US"/>
        </w:rPr>
        <w:t>= .003, 95% CI [0, 0.083].</w:t>
      </w:r>
    </w:p>
    <w:p w:rsidR="00120398" w:rsidRDefault="009748E2" w:rsidP="00EB7599">
      <w:pPr>
        <w:ind w:firstLine="0"/>
        <w:rPr>
          <w:b/>
          <w:lang w:val="en-US"/>
        </w:rPr>
      </w:pPr>
      <w:r>
        <w:rPr>
          <w:b/>
          <w:lang w:val="en-US"/>
        </w:rPr>
        <w:lastRenderedPageBreak/>
        <w:t>C</w:t>
      </w:r>
      <w:r w:rsidR="00120398">
        <w:rPr>
          <w:b/>
          <w:lang w:val="en-US"/>
        </w:rPr>
        <w:t>hange in task-specific expectations in Study 2</w:t>
      </w:r>
    </w:p>
    <w:p w:rsidR="00120398" w:rsidRDefault="009748E2" w:rsidP="00120398">
      <w:pPr>
        <w:ind w:firstLine="567"/>
        <w:rPr>
          <w:lang w:val="en-US"/>
        </w:rPr>
      </w:pPr>
      <w:proofErr w:type="gramStart"/>
      <w:r w:rsidRPr="009748E2">
        <w:rPr>
          <w:b/>
          <w:highlight w:val="yellow"/>
          <w:lang w:val="en-US"/>
        </w:rPr>
        <w:t>Results.</w:t>
      </w:r>
      <w:proofErr w:type="gramEnd"/>
      <w:r>
        <w:rPr>
          <w:highlight w:val="yellow"/>
          <w:lang w:val="en-US"/>
        </w:rPr>
        <w:t xml:space="preserve"> </w:t>
      </w:r>
      <w:r w:rsidR="00120398" w:rsidRPr="00120398">
        <w:rPr>
          <w:highlight w:val="yellow"/>
          <w:lang w:val="en-US"/>
        </w:rPr>
        <w:t xml:space="preserve">The Time by Condition ANOVA indicated a significant main effect of Time, </w:t>
      </w:r>
      <w:proofErr w:type="gramStart"/>
      <w:r w:rsidR="00120398" w:rsidRPr="00120398">
        <w:rPr>
          <w:i/>
          <w:highlight w:val="yellow"/>
          <w:lang w:val="en-US"/>
        </w:rPr>
        <w:t>F</w:t>
      </w:r>
      <w:r w:rsidR="00120398" w:rsidRPr="00120398">
        <w:rPr>
          <w:highlight w:val="yellow"/>
          <w:lang w:val="en-US"/>
        </w:rPr>
        <w:t>(</w:t>
      </w:r>
      <w:proofErr w:type="gramEnd"/>
      <w:r w:rsidR="00120398" w:rsidRPr="00120398">
        <w:rPr>
          <w:highlight w:val="yellow"/>
          <w:lang w:val="en-US"/>
        </w:rPr>
        <w:t xml:space="preserve">2,56) = 19.659; </w:t>
      </w:r>
      <w:r w:rsidR="00120398" w:rsidRPr="00120398">
        <w:rPr>
          <w:i/>
          <w:highlight w:val="yellow"/>
          <w:lang w:val="en-US"/>
        </w:rPr>
        <w:t xml:space="preserve">p </w:t>
      </w:r>
      <w:r w:rsidR="00120398" w:rsidRPr="00120398">
        <w:rPr>
          <w:highlight w:val="yellow"/>
          <w:lang w:val="en-US"/>
        </w:rPr>
        <w:t xml:space="preserve">&lt; .001; </w:t>
      </w:r>
      <w:r w:rsidR="00120398" w:rsidRPr="00120398">
        <w:rPr>
          <w:i/>
          <w:highlight w:val="yellow"/>
          <w:lang w:val="en-US"/>
        </w:rPr>
        <w:t>ɳ²</w:t>
      </w:r>
      <w:r w:rsidR="00120398" w:rsidRPr="00120398">
        <w:rPr>
          <w:i/>
          <w:highlight w:val="yellow"/>
          <w:vertAlign w:val="subscript"/>
          <w:lang w:val="en-US"/>
        </w:rPr>
        <w:t xml:space="preserve">p </w:t>
      </w:r>
      <w:r w:rsidR="00120398" w:rsidRPr="00120398">
        <w:rPr>
          <w:highlight w:val="yellow"/>
          <w:lang w:val="en-US"/>
        </w:rPr>
        <w:t xml:space="preserve">= 0.260, 95% CI </w:t>
      </w:r>
      <w:r w:rsidR="00120398" w:rsidRPr="009748E2">
        <w:rPr>
          <w:highlight w:val="yellow"/>
          <w:lang w:val="en-US"/>
        </w:rPr>
        <w:t>[</w:t>
      </w:r>
      <w:r w:rsidRPr="009748E2">
        <w:rPr>
          <w:highlight w:val="yellow"/>
          <w:lang w:val="en-US"/>
        </w:rPr>
        <w:t>0.202, 0.548</w:t>
      </w:r>
      <w:r w:rsidR="003E71CC" w:rsidRPr="009748E2">
        <w:rPr>
          <w:highlight w:val="yellow"/>
          <w:lang w:val="en-US"/>
        </w:rPr>
        <w:t xml:space="preserve">], </w:t>
      </w:r>
      <w:r w:rsidR="003E71CC">
        <w:rPr>
          <w:highlight w:val="yellow"/>
          <w:lang w:val="en-US"/>
        </w:rPr>
        <w:t>while t</w:t>
      </w:r>
      <w:r w:rsidR="00120398" w:rsidRPr="00120398">
        <w:rPr>
          <w:highlight w:val="yellow"/>
          <w:lang w:val="en-US"/>
        </w:rPr>
        <w:t xml:space="preserve">he main effect of Condition was not significant, </w:t>
      </w:r>
      <w:r w:rsidR="00120398" w:rsidRPr="00120398">
        <w:rPr>
          <w:i/>
          <w:highlight w:val="yellow"/>
          <w:lang w:val="en-US"/>
        </w:rPr>
        <w:t>F</w:t>
      </w:r>
      <w:r w:rsidR="00120398">
        <w:rPr>
          <w:highlight w:val="yellow"/>
          <w:lang w:val="en-US"/>
        </w:rPr>
        <w:t>(2,56) = 0.779</w:t>
      </w:r>
      <w:r w:rsidR="00120398" w:rsidRPr="00120398">
        <w:rPr>
          <w:highlight w:val="yellow"/>
          <w:lang w:val="en-US"/>
        </w:rPr>
        <w:t xml:space="preserve">; </w:t>
      </w:r>
      <w:r w:rsidR="00120398" w:rsidRPr="00120398">
        <w:rPr>
          <w:i/>
          <w:highlight w:val="yellow"/>
          <w:lang w:val="en-US"/>
        </w:rPr>
        <w:t xml:space="preserve">p </w:t>
      </w:r>
      <w:r w:rsidR="00120398">
        <w:rPr>
          <w:highlight w:val="yellow"/>
          <w:lang w:val="en-US"/>
        </w:rPr>
        <w:t>= .46</w:t>
      </w:r>
      <w:r w:rsidR="00120398" w:rsidRPr="00120398">
        <w:rPr>
          <w:highlight w:val="yellow"/>
          <w:lang w:val="en-US"/>
        </w:rPr>
        <w:t xml:space="preserve">4; </w:t>
      </w:r>
      <w:r w:rsidR="00120398" w:rsidRPr="00120398">
        <w:rPr>
          <w:i/>
          <w:highlight w:val="yellow"/>
          <w:lang w:val="en-US"/>
        </w:rPr>
        <w:t>ɳ²</w:t>
      </w:r>
      <w:r w:rsidR="00120398" w:rsidRPr="00120398">
        <w:rPr>
          <w:i/>
          <w:highlight w:val="yellow"/>
          <w:vertAlign w:val="subscript"/>
          <w:lang w:val="en-US"/>
        </w:rPr>
        <w:t xml:space="preserve">p </w:t>
      </w:r>
      <w:r w:rsidR="00120398">
        <w:rPr>
          <w:highlight w:val="yellow"/>
          <w:lang w:val="en-US"/>
        </w:rPr>
        <w:t>= 0.027</w:t>
      </w:r>
      <w:r w:rsidR="00120398" w:rsidRPr="00120398">
        <w:rPr>
          <w:highlight w:val="yellow"/>
          <w:lang w:val="en-US"/>
        </w:rPr>
        <w:t>, 95% CI [</w:t>
      </w:r>
      <w:r w:rsidRPr="009748E2">
        <w:rPr>
          <w:highlight w:val="yellow"/>
          <w:lang w:val="en-US"/>
        </w:rPr>
        <w:t>0, 0.129</w:t>
      </w:r>
      <w:r w:rsidR="00120398" w:rsidRPr="00120398">
        <w:rPr>
          <w:highlight w:val="yellow"/>
          <w:lang w:val="en-US"/>
        </w:rPr>
        <w:t xml:space="preserve">]. </w:t>
      </w:r>
      <w:r w:rsidR="003E71CC">
        <w:rPr>
          <w:highlight w:val="yellow"/>
          <w:lang w:val="en-US"/>
        </w:rPr>
        <w:t>The</w:t>
      </w:r>
      <w:r w:rsidR="00120398" w:rsidRPr="00120398">
        <w:rPr>
          <w:highlight w:val="yellow"/>
          <w:lang w:val="en-US"/>
        </w:rPr>
        <w:t xml:space="preserve"> Time by Condition interaction</w:t>
      </w:r>
      <w:r w:rsidR="003E71CC">
        <w:rPr>
          <w:highlight w:val="yellow"/>
          <w:lang w:val="en-US"/>
        </w:rPr>
        <w:t xml:space="preserve"> was significant</w:t>
      </w:r>
      <w:r w:rsidR="00120398" w:rsidRPr="00120398">
        <w:rPr>
          <w:highlight w:val="yellow"/>
          <w:lang w:val="en-US"/>
        </w:rPr>
        <w:t xml:space="preserve">, </w:t>
      </w:r>
      <w:proofErr w:type="gramStart"/>
      <w:r w:rsidR="00120398" w:rsidRPr="00120398">
        <w:rPr>
          <w:i/>
          <w:highlight w:val="yellow"/>
          <w:lang w:val="en-US"/>
        </w:rPr>
        <w:t>F</w:t>
      </w:r>
      <w:r w:rsidR="00120398">
        <w:rPr>
          <w:highlight w:val="yellow"/>
          <w:lang w:val="en-US"/>
        </w:rPr>
        <w:t>(</w:t>
      </w:r>
      <w:proofErr w:type="gramEnd"/>
      <w:r w:rsidR="00120398">
        <w:rPr>
          <w:highlight w:val="yellow"/>
          <w:lang w:val="en-US"/>
        </w:rPr>
        <w:t>2,56) = 3.204</w:t>
      </w:r>
      <w:r w:rsidR="00120398" w:rsidRPr="00120398">
        <w:rPr>
          <w:highlight w:val="yellow"/>
          <w:lang w:val="en-US"/>
        </w:rPr>
        <w:t xml:space="preserve">; </w:t>
      </w:r>
      <w:r w:rsidR="00120398" w:rsidRPr="00120398">
        <w:rPr>
          <w:i/>
          <w:highlight w:val="yellow"/>
          <w:lang w:val="en-US"/>
        </w:rPr>
        <w:t xml:space="preserve">p </w:t>
      </w:r>
      <w:r w:rsidR="00120398">
        <w:rPr>
          <w:highlight w:val="yellow"/>
          <w:lang w:val="en-US"/>
        </w:rPr>
        <w:t>= .048</w:t>
      </w:r>
      <w:r w:rsidR="00120398" w:rsidRPr="00120398">
        <w:rPr>
          <w:highlight w:val="yellow"/>
          <w:lang w:val="en-US"/>
        </w:rPr>
        <w:t xml:space="preserve">; </w:t>
      </w:r>
      <w:r w:rsidR="00120398" w:rsidRPr="00120398">
        <w:rPr>
          <w:i/>
          <w:highlight w:val="yellow"/>
          <w:lang w:val="en-US"/>
        </w:rPr>
        <w:t>ɳ²</w:t>
      </w:r>
      <w:r w:rsidR="00120398" w:rsidRPr="00120398">
        <w:rPr>
          <w:i/>
          <w:highlight w:val="yellow"/>
          <w:vertAlign w:val="subscript"/>
          <w:lang w:val="en-US"/>
        </w:rPr>
        <w:t xml:space="preserve">p </w:t>
      </w:r>
      <w:r w:rsidR="00120398">
        <w:rPr>
          <w:highlight w:val="yellow"/>
          <w:lang w:val="en-US"/>
        </w:rPr>
        <w:t>= 0.10</w:t>
      </w:r>
      <w:r w:rsidR="00120398" w:rsidRPr="00120398">
        <w:rPr>
          <w:highlight w:val="yellow"/>
          <w:lang w:val="en-US"/>
        </w:rPr>
        <w:t>1, 95% CI [</w:t>
      </w:r>
      <w:r w:rsidRPr="009748E2">
        <w:rPr>
          <w:highlight w:val="yellow"/>
          <w:lang w:val="en-US"/>
        </w:rPr>
        <w:t>0, 0.246</w:t>
      </w:r>
      <w:r w:rsidR="00120398" w:rsidRPr="00120398">
        <w:rPr>
          <w:highlight w:val="yellow"/>
          <w:lang w:val="en-US"/>
        </w:rPr>
        <w:t>].</w:t>
      </w:r>
      <w:r w:rsidR="00120398">
        <w:rPr>
          <w:lang w:val="en-US"/>
        </w:rPr>
        <w:t xml:space="preserve"> </w:t>
      </w:r>
    </w:p>
    <w:p w:rsidR="00120398" w:rsidRDefault="00120398" w:rsidP="00120398">
      <w:pPr>
        <w:ind w:firstLine="567"/>
        <w:rPr>
          <w:lang w:val="en-US"/>
        </w:rPr>
      </w:pPr>
      <w:r w:rsidRPr="00113B35">
        <w:rPr>
          <w:highlight w:val="yellow"/>
          <w:lang w:val="en-US"/>
        </w:rPr>
        <w:t xml:space="preserve">To further examine group differences in expectation change, we computed independent samples </w:t>
      </w:r>
      <w:r w:rsidRPr="00113B35">
        <w:rPr>
          <w:i/>
          <w:highlight w:val="yellow"/>
          <w:lang w:val="en-US"/>
        </w:rPr>
        <w:t>t</w:t>
      </w:r>
      <w:r w:rsidRPr="00113B35">
        <w:rPr>
          <w:highlight w:val="yellow"/>
          <w:lang w:val="en-US"/>
        </w:rPr>
        <w:t xml:space="preserve">-tests with Bonferroni-Holm adjustments. </w:t>
      </w:r>
      <w:r w:rsidR="0055775B" w:rsidRPr="00113B35">
        <w:rPr>
          <w:highlight w:val="yellow"/>
          <w:lang w:val="en-US"/>
        </w:rPr>
        <w:t xml:space="preserve">With </w:t>
      </w:r>
      <w:r w:rsidR="0055775B" w:rsidRPr="00113B35">
        <w:rPr>
          <w:rFonts w:cs="Times New Roman"/>
          <w:highlight w:val="yellow"/>
          <w:lang w:val="en-US"/>
        </w:rPr>
        <w:t>α</w:t>
      </w:r>
      <w:r w:rsidR="0055775B" w:rsidRPr="00113B35">
        <w:rPr>
          <w:highlight w:val="yellow"/>
          <w:vertAlign w:val="subscript"/>
          <w:lang w:val="en-US"/>
        </w:rPr>
        <w:t xml:space="preserve">1 </w:t>
      </w:r>
      <w:r w:rsidR="0055775B" w:rsidRPr="00113B35">
        <w:rPr>
          <w:highlight w:val="yellow"/>
          <w:lang w:val="en-US"/>
        </w:rPr>
        <w:t>= 1.7%, t</w:t>
      </w:r>
      <w:r w:rsidRPr="00113B35">
        <w:rPr>
          <w:highlight w:val="yellow"/>
          <w:lang w:val="en-US"/>
        </w:rPr>
        <w:t>he difference in expectation change between the immunization-enhancing</w:t>
      </w:r>
      <w:r w:rsidR="00E576AF" w:rsidRPr="00113B35">
        <w:rPr>
          <w:highlight w:val="yellow"/>
          <w:lang w:val="en-US"/>
        </w:rPr>
        <w:t xml:space="preserve"> and -inhibiting</w:t>
      </w:r>
      <w:r w:rsidRPr="00113B35">
        <w:rPr>
          <w:highlight w:val="yellow"/>
          <w:lang w:val="en-US"/>
        </w:rPr>
        <w:t xml:space="preserve"> condition was</w:t>
      </w:r>
      <w:r w:rsidR="00E576AF" w:rsidRPr="00113B35">
        <w:rPr>
          <w:highlight w:val="yellow"/>
          <w:lang w:val="en-US"/>
        </w:rPr>
        <w:t xml:space="preserve"> not</w:t>
      </w:r>
      <w:r w:rsidRPr="00113B35">
        <w:rPr>
          <w:highlight w:val="yellow"/>
          <w:lang w:val="en-US"/>
        </w:rPr>
        <w:t xml:space="preserve"> significant, </w:t>
      </w:r>
      <w:proofErr w:type="gramStart"/>
      <w:r w:rsidRPr="00113B35">
        <w:rPr>
          <w:i/>
          <w:highlight w:val="yellow"/>
          <w:lang w:val="en-US"/>
        </w:rPr>
        <w:t>t</w:t>
      </w:r>
      <w:r w:rsidRPr="00113B35">
        <w:rPr>
          <w:highlight w:val="yellow"/>
          <w:lang w:val="en-US"/>
        </w:rPr>
        <w:t>(</w:t>
      </w:r>
      <w:proofErr w:type="gramEnd"/>
      <w:r w:rsidRPr="00113B35">
        <w:rPr>
          <w:highlight w:val="yellow"/>
          <w:lang w:val="en-US"/>
        </w:rPr>
        <w:t xml:space="preserve">36) = </w:t>
      </w:r>
      <w:r w:rsidR="00E576AF" w:rsidRPr="00113B35">
        <w:rPr>
          <w:highlight w:val="yellow"/>
          <w:lang w:val="en-US"/>
        </w:rPr>
        <w:t>-2.454</w:t>
      </w:r>
      <w:r w:rsidRPr="00113B35">
        <w:rPr>
          <w:highlight w:val="yellow"/>
          <w:lang w:val="en-US"/>
        </w:rPr>
        <w:t xml:space="preserve">; </w:t>
      </w:r>
      <w:r w:rsidRPr="00113B35">
        <w:rPr>
          <w:i/>
          <w:highlight w:val="yellow"/>
          <w:lang w:val="en-US"/>
        </w:rPr>
        <w:t xml:space="preserve">p </w:t>
      </w:r>
      <w:r w:rsidR="00E576AF" w:rsidRPr="00113B35">
        <w:rPr>
          <w:highlight w:val="yellow"/>
          <w:lang w:val="en-US"/>
        </w:rPr>
        <w:t>= .019</w:t>
      </w:r>
      <w:r w:rsidRPr="00113B35">
        <w:rPr>
          <w:highlight w:val="yellow"/>
          <w:lang w:val="en-US"/>
        </w:rPr>
        <w:t xml:space="preserve">; </w:t>
      </w:r>
      <w:r w:rsidRPr="00113B35">
        <w:rPr>
          <w:i/>
          <w:highlight w:val="yellow"/>
          <w:lang w:val="en-US"/>
        </w:rPr>
        <w:t xml:space="preserve">d </w:t>
      </w:r>
      <w:r w:rsidR="0055775B" w:rsidRPr="00113B35">
        <w:rPr>
          <w:highlight w:val="yellow"/>
          <w:lang w:val="en-US"/>
        </w:rPr>
        <w:t>= 0.795</w:t>
      </w:r>
      <w:r w:rsidR="00113B35" w:rsidRPr="00113B35">
        <w:rPr>
          <w:highlight w:val="yellow"/>
          <w:lang w:val="en-US"/>
        </w:rPr>
        <w:t>, 95% CI [0.167, 1.452</w:t>
      </w:r>
      <w:r w:rsidRPr="00113B35">
        <w:rPr>
          <w:highlight w:val="yellow"/>
          <w:lang w:val="en-US"/>
        </w:rPr>
        <w:t xml:space="preserve">]. </w:t>
      </w:r>
      <w:r w:rsidR="00E576AF" w:rsidRPr="00113B35">
        <w:rPr>
          <w:highlight w:val="yellow"/>
          <w:lang w:val="en-US"/>
        </w:rPr>
        <w:t xml:space="preserve">The </w:t>
      </w:r>
      <w:r w:rsidRPr="00113B35">
        <w:rPr>
          <w:highlight w:val="yellow"/>
          <w:lang w:val="en-US"/>
        </w:rPr>
        <w:t>difference</w:t>
      </w:r>
      <w:r w:rsidR="00E576AF" w:rsidRPr="00113B35">
        <w:rPr>
          <w:highlight w:val="yellow"/>
          <w:lang w:val="en-US"/>
        </w:rPr>
        <w:t>s</w:t>
      </w:r>
      <w:r w:rsidRPr="00113B35">
        <w:rPr>
          <w:highlight w:val="yellow"/>
          <w:lang w:val="en-US"/>
        </w:rPr>
        <w:t xml:space="preserve"> between the </w:t>
      </w:r>
      <w:r w:rsidR="00E576AF" w:rsidRPr="00113B35">
        <w:rPr>
          <w:highlight w:val="yellow"/>
          <w:lang w:val="en-US"/>
        </w:rPr>
        <w:t>control</w:t>
      </w:r>
      <w:r w:rsidRPr="00113B35">
        <w:rPr>
          <w:highlight w:val="yellow"/>
          <w:lang w:val="en-US"/>
        </w:rPr>
        <w:t xml:space="preserve"> condition and the immunization-enhancing condition, </w:t>
      </w:r>
      <w:r w:rsidRPr="00113B35">
        <w:rPr>
          <w:rFonts w:cs="Times New Roman"/>
          <w:highlight w:val="yellow"/>
          <w:lang w:val="en-US"/>
        </w:rPr>
        <w:t>α</w:t>
      </w:r>
      <w:r w:rsidRPr="00113B35">
        <w:rPr>
          <w:highlight w:val="yellow"/>
          <w:vertAlign w:val="subscript"/>
          <w:lang w:val="en-US"/>
        </w:rPr>
        <w:t xml:space="preserve">2 </w:t>
      </w:r>
      <w:r w:rsidRPr="00113B35">
        <w:rPr>
          <w:highlight w:val="yellow"/>
          <w:lang w:val="en-US"/>
        </w:rPr>
        <w:t xml:space="preserve">= 2.5%, </w:t>
      </w:r>
      <w:proofErr w:type="gramStart"/>
      <w:r w:rsidRPr="00113B35">
        <w:rPr>
          <w:i/>
          <w:highlight w:val="yellow"/>
          <w:lang w:val="en-US"/>
        </w:rPr>
        <w:t>t</w:t>
      </w:r>
      <w:r w:rsidRPr="00113B35">
        <w:rPr>
          <w:highlight w:val="yellow"/>
          <w:lang w:val="en-US"/>
        </w:rPr>
        <w:t>(</w:t>
      </w:r>
      <w:proofErr w:type="gramEnd"/>
      <w:r w:rsidRPr="00113B35">
        <w:rPr>
          <w:highlight w:val="yellow"/>
          <w:lang w:val="en-US"/>
        </w:rPr>
        <w:t xml:space="preserve">36) = </w:t>
      </w:r>
      <w:r w:rsidR="00E576AF" w:rsidRPr="00113B35">
        <w:rPr>
          <w:highlight w:val="yellow"/>
          <w:lang w:val="en-US"/>
        </w:rPr>
        <w:t>1.688</w:t>
      </w:r>
      <w:r w:rsidRPr="00113B35">
        <w:rPr>
          <w:highlight w:val="yellow"/>
          <w:lang w:val="en-US"/>
        </w:rPr>
        <w:t xml:space="preserve">; </w:t>
      </w:r>
      <w:r w:rsidRPr="00113B35">
        <w:rPr>
          <w:i/>
          <w:highlight w:val="yellow"/>
          <w:lang w:val="en-US"/>
        </w:rPr>
        <w:t xml:space="preserve">p </w:t>
      </w:r>
      <w:r w:rsidR="00E576AF" w:rsidRPr="00113B35">
        <w:rPr>
          <w:highlight w:val="yellow"/>
          <w:lang w:val="en-US"/>
        </w:rPr>
        <w:t>= .100</w:t>
      </w:r>
      <w:r w:rsidRPr="00113B35">
        <w:rPr>
          <w:highlight w:val="yellow"/>
          <w:lang w:val="en-US"/>
        </w:rPr>
        <w:t xml:space="preserve">; </w:t>
      </w:r>
      <w:r w:rsidRPr="00113B35">
        <w:rPr>
          <w:i/>
          <w:highlight w:val="yellow"/>
          <w:lang w:val="en-US"/>
        </w:rPr>
        <w:t xml:space="preserve">d </w:t>
      </w:r>
      <w:r w:rsidR="0055775B" w:rsidRPr="00113B35">
        <w:rPr>
          <w:highlight w:val="yellow"/>
          <w:lang w:val="en-US"/>
        </w:rPr>
        <w:t>= 0.544</w:t>
      </w:r>
      <w:r w:rsidR="00E576AF" w:rsidRPr="00113B35">
        <w:rPr>
          <w:highlight w:val="yellow"/>
          <w:lang w:val="en-US"/>
        </w:rPr>
        <w:t>, 95% CI [</w:t>
      </w:r>
      <w:r w:rsidR="00113B35" w:rsidRPr="00113B35">
        <w:rPr>
          <w:highlight w:val="yellow"/>
          <w:lang w:val="en-US"/>
        </w:rPr>
        <w:t>-0.105, 1.199</w:t>
      </w:r>
      <w:r w:rsidR="00E576AF" w:rsidRPr="00113B35">
        <w:rPr>
          <w:highlight w:val="yellow"/>
          <w:lang w:val="en-US"/>
        </w:rPr>
        <w:t>], and</w:t>
      </w:r>
      <w:r w:rsidRPr="00113B35">
        <w:rPr>
          <w:highlight w:val="yellow"/>
          <w:lang w:val="en-US"/>
        </w:rPr>
        <w:t xml:space="preserve"> the immunization-inhibiting conditi</w:t>
      </w:r>
      <w:r w:rsidR="00E576AF" w:rsidRPr="00113B35">
        <w:rPr>
          <w:highlight w:val="yellow"/>
          <w:lang w:val="en-US"/>
        </w:rPr>
        <w:t>on and the control condition were also</w:t>
      </w:r>
      <w:r w:rsidRPr="00113B35">
        <w:rPr>
          <w:highlight w:val="yellow"/>
          <w:lang w:val="en-US"/>
        </w:rPr>
        <w:t xml:space="preserve"> not significant, </w:t>
      </w:r>
      <w:r w:rsidRPr="00113B35">
        <w:rPr>
          <w:rFonts w:cs="Times New Roman"/>
          <w:highlight w:val="yellow"/>
          <w:lang w:val="en-US"/>
        </w:rPr>
        <w:t>α</w:t>
      </w:r>
      <w:r w:rsidRPr="00113B35">
        <w:rPr>
          <w:highlight w:val="yellow"/>
          <w:vertAlign w:val="subscript"/>
          <w:lang w:val="en-US"/>
        </w:rPr>
        <w:t xml:space="preserve">3 </w:t>
      </w:r>
      <w:r w:rsidRPr="00113B35">
        <w:rPr>
          <w:highlight w:val="yellow"/>
          <w:lang w:val="en-US"/>
        </w:rPr>
        <w:t xml:space="preserve">= 5%, </w:t>
      </w:r>
      <w:r w:rsidRPr="00113B35">
        <w:rPr>
          <w:i/>
          <w:highlight w:val="yellow"/>
          <w:lang w:val="en-US"/>
        </w:rPr>
        <w:t>t</w:t>
      </w:r>
      <w:r w:rsidR="00E576AF" w:rsidRPr="00113B35">
        <w:rPr>
          <w:highlight w:val="yellow"/>
          <w:lang w:val="en-US"/>
        </w:rPr>
        <w:t>(40) = -0.886</w:t>
      </w:r>
      <w:r w:rsidRPr="00113B35">
        <w:rPr>
          <w:highlight w:val="yellow"/>
          <w:lang w:val="en-US"/>
        </w:rPr>
        <w:t xml:space="preserve">; </w:t>
      </w:r>
      <w:r w:rsidRPr="00113B35">
        <w:rPr>
          <w:i/>
          <w:highlight w:val="yellow"/>
          <w:lang w:val="en-US"/>
        </w:rPr>
        <w:t xml:space="preserve">p </w:t>
      </w:r>
      <w:r w:rsidR="00E576AF" w:rsidRPr="00113B35">
        <w:rPr>
          <w:highlight w:val="yellow"/>
          <w:lang w:val="en-US"/>
        </w:rPr>
        <w:t>= .381</w:t>
      </w:r>
      <w:r w:rsidRPr="00113B35">
        <w:rPr>
          <w:highlight w:val="yellow"/>
          <w:lang w:val="en-US"/>
        </w:rPr>
        <w:t xml:space="preserve">; </w:t>
      </w:r>
      <w:r w:rsidRPr="00113B35">
        <w:rPr>
          <w:i/>
          <w:highlight w:val="yellow"/>
          <w:lang w:val="en-US"/>
        </w:rPr>
        <w:t xml:space="preserve">d </w:t>
      </w:r>
      <w:r w:rsidR="0055775B" w:rsidRPr="00113B35">
        <w:rPr>
          <w:highlight w:val="yellow"/>
          <w:lang w:val="en-US"/>
        </w:rPr>
        <w:t>= 0.273</w:t>
      </w:r>
      <w:r w:rsidR="00113B35" w:rsidRPr="00113B35">
        <w:rPr>
          <w:highlight w:val="yellow"/>
          <w:lang w:val="en-US"/>
        </w:rPr>
        <w:t>, 95% CI [0, 0.859</w:t>
      </w:r>
      <w:r w:rsidRPr="00113B35">
        <w:rPr>
          <w:highlight w:val="yellow"/>
          <w:lang w:val="en-US"/>
        </w:rPr>
        <w:t xml:space="preserve">]. Paired-samples </w:t>
      </w:r>
      <w:r w:rsidRPr="00113B35">
        <w:rPr>
          <w:i/>
          <w:highlight w:val="yellow"/>
          <w:lang w:val="en-US"/>
        </w:rPr>
        <w:t>t</w:t>
      </w:r>
      <w:r w:rsidRPr="00113B35">
        <w:rPr>
          <w:highlight w:val="yellow"/>
          <w:lang w:val="en-US"/>
        </w:rPr>
        <w:t xml:space="preserve">-tests indicated significant change in expectations among participants in the immunization-inhibiting condition, </w:t>
      </w:r>
      <w:r w:rsidRPr="00113B35">
        <w:rPr>
          <w:i/>
          <w:highlight w:val="yellow"/>
          <w:lang w:val="en-US"/>
        </w:rPr>
        <w:t>t</w:t>
      </w:r>
      <w:r w:rsidR="00E576AF" w:rsidRPr="00113B35">
        <w:rPr>
          <w:highlight w:val="yellow"/>
          <w:lang w:val="en-US"/>
        </w:rPr>
        <w:t>(20) = -4.285</w:t>
      </w:r>
      <w:r w:rsidRPr="00113B35">
        <w:rPr>
          <w:highlight w:val="yellow"/>
          <w:lang w:val="en-US"/>
        </w:rPr>
        <w:t xml:space="preserve">, </w:t>
      </w:r>
      <w:r w:rsidRPr="00113B35">
        <w:rPr>
          <w:i/>
          <w:highlight w:val="yellow"/>
          <w:lang w:val="en-US"/>
        </w:rPr>
        <w:t xml:space="preserve">p </w:t>
      </w:r>
      <w:r w:rsidR="00E576AF" w:rsidRPr="00113B35">
        <w:rPr>
          <w:highlight w:val="yellow"/>
          <w:lang w:val="en-US"/>
        </w:rPr>
        <w:t>&lt; .001</w:t>
      </w:r>
      <w:r w:rsidRPr="00113B35">
        <w:rPr>
          <w:highlight w:val="yellow"/>
          <w:lang w:val="en-US"/>
        </w:rPr>
        <w:t xml:space="preserve">, </w:t>
      </w:r>
      <w:r w:rsidRPr="00113B35">
        <w:rPr>
          <w:i/>
          <w:iCs/>
          <w:highlight w:val="yellow"/>
          <w:lang w:val="en-US"/>
        </w:rPr>
        <w:t xml:space="preserve">d </w:t>
      </w:r>
      <w:r w:rsidRPr="00113B35">
        <w:rPr>
          <w:highlight w:val="yellow"/>
          <w:lang w:val="en-US"/>
        </w:rPr>
        <w:t xml:space="preserve">= </w:t>
      </w:r>
      <w:r w:rsidR="003E71CC" w:rsidRPr="00113B35">
        <w:rPr>
          <w:highlight w:val="yellow"/>
          <w:lang w:val="en-US"/>
        </w:rPr>
        <w:t>0.933</w:t>
      </w:r>
      <w:r w:rsidR="009748E2" w:rsidRPr="00113B35">
        <w:rPr>
          <w:highlight w:val="yellow"/>
          <w:lang w:val="en-US"/>
        </w:rPr>
        <w:t>, 95% CI [0.420, 1.438</w:t>
      </w:r>
      <w:r w:rsidRPr="00113B35">
        <w:rPr>
          <w:highlight w:val="yellow"/>
          <w:lang w:val="en-US"/>
        </w:rPr>
        <w:t xml:space="preserve">] and the control condition, </w:t>
      </w:r>
      <w:r w:rsidRPr="00113B35">
        <w:rPr>
          <w:i/>
          <w:highlight w:val="yellow"/>
          <w:lang w:val="en-US"/>
        </w:rPr>
        <w:t>t</w:t>
      </w:r>
      <w:r w:rsidR="00E576AF" w:rsidRPr="00113B35">
        <w:rPr>
          <w:highlight w:val="yellow"/>
          <w:lang w:val="en-US"/>
        </w:rPr>
        <w:t>(20) = -3.211</w:t>
      </w:r>
      <w:r w:rsidRPr="00113B35">
        <w:rPr>
          <w:highlight w:val="yellow"/>
          <w:lang w:val="en-US"/>
        </w:rPr>
        <w:t xml:space="preserve">, </w:t>
      </w:r>
      <w:r w:rsidRPr="00113B35">
        <w:rPr>
          <w:i/>
          <w:highlight w:val="yellow"/>
          <w:lang w:val="en-US"/>
        </w:rPr>
        <w:t xml:space="preserve">p </w:t>
      </w:r>
      <w:r w:rsidR="00E576AF" w:rsidRPr="00113B35">
        <w:rPr>
          <w:highlight w:val="yellow"/>
          <w:lang w:val="en-US"/>
        </w:rPr>
        <w:t>= .004</w:t>
      </w:r>
      <w:r w:rsidRPr="00113B35">
        <w:rPr>
          <w:highlight w:val="yellow"/>
          <w:lang w:val="en-US"/>
        </w:rPr>
        <w:t xml:space="preserve">, </w:t>
      </w:r>
      <w:r w:rsidRPr="00113B35">
        <w:rPr>
          <w:i/>
          <w:iCs/>
          <w:highlight w:val="yellow"/>
          <w:lang w:val="en-US"/>
        </w:rPr>
        <w:t xml:space="preserve">d </w:t>
      </w:r>
      <w:r w:rsidRPr="00113B35">
        <w:rPr>
          <w:highlight w:val="yellow"/>
          <w:lang w:val="en-US"/>
        </w:rPr>
        <w:t xml:space="preserve">= </w:t>
      </w:r>
      <w:r w:rsidR="003E71CC" w:rsidRPr="00113B35">
        <w:rPr>
          <w:highlight w:val="yellow"/>
          <w:lang w:val="en-US"/>
        </w:rPr>
        <w:t>0.757</w:t>
      </w:r>
      <w:r w:rsidR="009748E2" w:rsidRPr="00113B35">
        <w:rPr>
          <w:highlight w:val="yellow"/>
          <w:lang w:val="en-US"/>
        </w:rPr>
        <w:t>, 95% CI [0.236, 1.168</w:t>
      </w:r>
      <w:r w:rsidRPr="00113B35">
        <w:rPr>
          <w:highlight w:val="yellow"/>
          <w:lang w:val="en-US"/>
        </w:rPr>
        <w:t xml:space="preserve">], while no significant change in expectations was found among participants from the immunization-enhancing condition, </w:t>
      </w:r>
      <w:r w:rsidRPr="00113B35">
        <w:rPr>
          <w:i/>
          <w:highlight w:val="yellow"/>
          <w:lang w:val="en-US"/>
        </w:rPr>
        <w:t>t</w:t>
      </w:r>
      <w:r w:rsidRPr="00113B35">
        <w:rPr>
          <w:highlight w:val="yellow"/>
          <w:lang w:val="en-US"/>
        </w:rPr>
        <w:t xml:space="preserve">(16) = </w:t>
      </w:r>
      <w:r w:rsidR="00E576AF" w:rsidRPr="00113B35">
        <w:rPr>
          <w:highlight w:val="yellow"/>
          <w:lang w:val="en-US"/>
        </w:rPr>
        <w:t>-0.496</w:t>
      </w:r>
      <w:r w:rsidRPr="00113B35">
        <w:rPr>
          <w:highlight w:val="yellow"/>
          <w:lang w:val="en-US"/>
        </w:rPr>
        <w:t xml:space="preserve">, </w:t>
      </w:r>
      <w:r w:rsidRPr="00113B35">
        <w:rPr>
          <w:i/>
          <w:highlight w:val="yellow"/>
          <w:lang w:val="en-US"/>
        </w:rPr>
        <w:t xml:space="preserve">p </w:t>
      </w:r>
      <w:r w:rsidR="00E576AF" w:rsidRPr="00113B35">
        <w:rPr>
          <w:highlight w:val="yellow"/>
          <w:lang w:val="en-US"/>
        </w:rPr>
        <w:t>= .627</w:t>
      </w:r>
      <w:r w:rsidRPr="00113B35">
        <w:rPr>
          <w:highlight w:val="yellow"/>
          <w:lang w:val="en-US"/>
        </w:rPr>
        <w:t xml:space="preserve">, </w:t>
      </w:r>
      <w:r w:rsidRPr="00113B35">
        <w:rPr>
          <w:i/>
          <w:iCs/>
          <w:highlight w:val="yellow"/>
          <w:lang w:val="en-US"/>
        </w:rPr>
        <w:t xml:space="preserve">d </w:t>
      </w:r>
      <w:r w:rsidRPr="00113B35">
        <w:rPr>
          <w:highlight w:val="yellow"/>
          <w:lang w:val="en-US"/>
        </w:rPr>
        <w:t xml:space="preserve">= </w:t>
      </w:r>
      <w:r w:rsidR="003E71CC" w:rsidRPr="00113B35">
        <w:rPr>
          <w:highlight w:val="yellow"/>
          <w:lang w:val="en-US"/>
        </w:rPr>
        <w:t>0.127</w:t>
      </w:r>
      <w:r w:rsidR="00113B35" w:rsidRPr="00113B35">
        <w:rPr>
          <w:highlight w:val="yellow"/>
          <w:lang w:val="en-US"/>
        </w:rPr>
        <w:t>, 95% CI [0, 0.573</w:t>
      </w:r>
      <w:r w:rsidRPr="00113B35">
        <w:rPr>
          <w:highlight w:val="yellow"/>
          <w:lang w:val="en-US"/>
        </w:rPr>
        <w:t>].</w:t>
      </w:r>
    </w:p>
    <w:p w:rsidR="00113B35" w:rsidRPr="008F1331" w:rsidRDefault="00113B35" w:rsidP="00120398">
      <w:pPr>
        <w:ind w:firstLine="567"/>
        <w:rPr>
          <w:lang w:val="en-US"/>
        </w:rPr>
      </w:pPr>
      <w:proofErr w:type="gramStart"/>
      <w:r w:rsidRPr="00B241DE">
        <w:rPr>
          <w:b/>
          <w:highlight w:val="yellow"/>
          <w:lang w:val="en-US"/>
        </w:rPr>
        <w:t>Discussion.</w:t>
      </w:r>
      <w:proofErr w:type="gramEnd"/>
      <w:r w:rsidRPr="00B241DE">
        <w:rPr>
          <w:highlight w:val="yellow"/>
          <w:lang w:val="en-US"/>
        </w:rPr>
        <w:t xml:space="preserve"> Results indicate that, though beyond the main goal of the manipulation, the </w:t>
      </w:r>
      <w:r w:rsidR="00B241DE" w:rsidRPr="00B241DE">
        <w:rPr>
          <w:highlight w:val="yellow"/>
          <w:lang w:val="en-US"/>
        </w:rPr>
        <w:t xml:space="preserve">experimental </w:t>
      </w:r>
      <w:r w:rsidRPr="00B241DE">
        <w:rPr>
          <w:highlight w:val="yellow"/>
          <w:lang w:val="en-US"/>
        </w:rPr>
        <w:t xml:space="preserve">variation of immunization tendencies also impacted change of task-specific expectations. </w:t>
      </w:r>
      <w:r w:rsidR="00B241DE" w:rsidRPr="00B241DE">
        <w:rPr>
          <w:highlight w:val="yellow"/>
          <w:lang w:val="en-US"/>
        </w:rPr>
        <w:t xml:space="preserve">Expectation change occurred in the immunization-inhibiting condition and in the control group, while participants from the immunization-enhancing condition did not change their task-specific expectations despite expectation-disconfirming feedback. Thus, these results are in line with the results regarding change of generalized expectations. </w:t>
      </w:r>
      <w:r w:rsidR="00B241DE" w:rsidRPr="00B241DE">
        <w:rPr>
          <w:highlight w:val="yellow"/>
          <w:lang w:val="en-US"/>
        </w:rPr>
        <w:lastRenderedPageBreak/>
        <w:t>However, the effect size for the group differences was smaller compared</w:t>
      </w:r>
      <w:r w:rsidR="00B241DE" w:rsidRPr="008F1331">
        <w:rPr>
          <w:highlight w:val="yellow"/>
          <w:lang w:val="en-US"/>
        </w:rPr>
        <w:t xml:space="preserve"> </w:t>
      </w:r>
      <w:r w:rsidR="008F1331" w:rsidRPr="008F1331">
        <w:rPr>
          <w:highlight w:val="yellow"/>
          <w:lang w:val="en-US"/>
        </w:rPr>
        <w:t>to</w:t>
      </w:r>
      <w:r w:rsidR="008F1331">
        <w:rPr>
          <w:highlight w:val="yellow"/>
          <w:lang w:val="en-US"/>
        </w:rPr>
        <w:t xml:space="preserve"> the</w:t>
      </w:r>
      <w:r w:rsidR="008F1331" w:rsidRPr="008F1331">
        <w:rPr>
          <w:highlight w:val="yellow"/>
          <w:lang w:val="en-US"/>
        </w:rPr>
        <w:t xml:space="preserve"> analysis regarding generalized expectations.</w:t>
      </w:r>
    </w:p>
    <w:p w:rsidR="00A831A3" w:rsidRPr="00812463" w:rsidRDefault="00A831A3" w:rsidP="00EB7599">
      <w:pPr>
        <w:ind w:firstLine="0"/>
        <w:rPr>
          <w:b/>
          <w:highlight w:val="yellow"/>
          <w:lang w:val="en-US"/>
        </w:rPr>
      </w:pPr>
      <w:r w:rsidRPr="00812463">
        <w:rPr>
          <w:b/>
          <w:highlight w:val="yellow"/>
          <w:lang w:val="en-US"/>
        </w:rPr>
        <w:t>Considering diagnosis as a covariate in Study 2</w:t>
      </w:r>
    </w:p>
    <w:p w:rsidR="00812463" w:rsidRPr="00812463" w:rsidRDefault="00A831A3" w:rsidP="00A831A3">
      <w:pPr>
        <w:ind w:firstLine="567"/>
        <w:rPr>
          <w:highlight w:val="yellow"/>
          <w:lang w:val="en-US"/>
        </w:rPr>
      </w:pPr>
      <w:r w:rsidRPr="00812463">
        <w:rPr>
          <w:highlight w:val="yellow"/>
          <w:lang w:val="en-US"/>
        </w:rPr>
        <w:t xml:space="preserve">In Study 2, we examined both people reporting elevated levels of depression and people meeting criteria of MDD. To examine whether </w:t>
      </w:r>
      <w:r w:rsidR="00511DC6" w:rsidRPr="00812463">
        <w:rPr>
          <w:highlight w:val="yellow"/>
          <w:lang w:val="en-US"/>
        </w:rPr>
        <w:t>this distinction influences the results, w</w:t>
      </w:r>
      <w:r w:rsidRPr="00812463">
        <w:rPr>
          <w:highlight w:val="yellow"/>
          <w:lang w:val="en-US"/>
        </w:rPr>
        <w:t>e performed an additional analysis</w:t>
      </w:r>
      <w:r w:rsidR="00812463" w:rsidRPr="00812463">
        <w:rPr>
          <w:highlight w:val="yellow"/>
          <w:lang w:val="en-US"/>
        </w:rPr>
        <w:t xml:space="preserve"> of covariance (ANCOVA)</w:t>
      </w:r>
      <w:r w:rsidRPr="00812463">
        <w:rPr>
          <w:highlight w:val="yellow"/>
          <w:lang w:val="en-US"/>
        </w:rPr>
        <w:t xml:space="preserve"> </w:t>
      </w:r>
      <w:r w:rsidR="00511DC6" w:rsidRPr="00812463">
        <w:rPr>
          <w:highlight w:val="yellow"/>
          <w:lang w:val="en-US"/>
        </w:rPr>
        <w:t xml:space="preserve">considering the diagnosis as a covariate. </w:t>
      </w:r>
    </w:p>
    <w:p w:rsidR="00A831A3" w:rsidRDefault="00812463" w:rsidP="00A831A3">
      <w:pPr>
        <w:ind w:firstLine="567"/>
        <w:rPr>
          <w:lang w:val="en-US"/>
        </w:rPr>
      </w:pPr>
      <w:r w:rsidRPr="00812463">
        <w:rPr>
          <w:highlight w:val="yellow"/>
          <w:lang w:val="en-US"/>
        </w:rPr>
        <w:t xml:space="preserve">The ANCOVA indicated no significant main effect of Time, </w:t>
      </w:r>
      <w:proofErr w:type="gramStart"/>
      <w:r w:rsidRPr="00812463">
        <w:rPr>
          <w:i/>
          <w:highlight w:val="yellow"/>
          <w:lang w:val="en-US"/>
        </w:rPr>
        <w:t>F</w:t>
      </w:r>
      <w:r w:rsidRPr="00812463">
        <w:rPr>
          <w:highlight w:val="yellow"/>
          <w:lang w:val="en-US"/>
        </w:rPr>
        <w:t>(</w:t>
      </w:r>
      <w:proofErr w:type="gramEnd"/>
      <w:r w:rsidRPr="00812463">
        <w:rPr>
          <w:highlight w:val="yellow"/>
          <w:lang w:val="en-US"/>
        </w:rPr>
        <w:t xml:space="preserve">2,56) = 1.336; </w:t>
      </w:r>
      <w:r w:rsidRPr="00812463">
        <w:rPr>
          <w:i/>
          <w:highlight w:val="yellow"/>
          <w:lang w:val="en-US"/>
        </w:rPr>
        <w:t xml:space="preserve">p </w:t>
      </w:r>
      <w:r w:rsidRPr="00812463">
        <w:rPr>
          <w:highlight w:val="yellow"/>
          <w:lang w:val="en-US"/>
        </w:rPr>
        <w:t xml:space="preserve">= .253; </w:t>
      </w:r>
      <w:r w:rsidRPr="00812463">
        <w:rPr>
          <w:i/>
          <w:highlight w:val="yellow"/>
          <w:lang w:val="en-US"/>
        </w:rPr>
        <w:t>ɳ²</w:t>
      </w:r>
      <w:r w:rsidRPr="00812463">
        <w:rPr>
          <w:i/>
          <w:highlight w:val="yellow"/>
          <w:vertAlign w:val="subscript"/>
          <w:lang w:val="en-US"/>
        </w:rPr>
        <w:t xml:space="preserve">p </w:t>
      </w:r>
      <w:r w:rsidRPr="00812463">
        <w:rPr>
          <w:highlight w:val="yellow"/>
          <w:lang w:val="en-US"/>
        </w:rPr>
        <w:t xml:space="preserve">= 0.024, or Condition, </w:t>
      </w:r>
      <w:r w:rsidRPr="00812463">
        <w:rPr>
          <w:i/>
          <w:highlight w:val="yellow"/>
          <w:lang w:val="en-US"/>
        </w:rPr>
        <w:t>F</w:t>
      </w:r>
      <w:r w:rsidRPr="00812463">
        <w:rPr>
          <w:highlight w:val="yellow"/>
          <w:lang w:val="en-US"/>
        </w:rPr>
        <w:t xml:space="preserve">(2,56) = 0.681; </w:t>
      </w:r>
      <w:r w:rsidRPr="00812463">
        <w:rPr>
          <w:i/>
          <w:highlight w:val="yellow"/>
          <w:lang w:val="en-US"/>
        </w:rPr>
        <w:t xml:space="preserve">p </w:t>
      </w:r>
      <w:r w:rsidRPr="00812463">
        <w:rPr>
          <w:highlight w:val="yellow"/>
          <w:lang w:val="en-US"/>
        </w:rPr>
        <w:t xml:space="preserve">= .510; </w:t>
      </w:r>
      <w:r w:rsidRPr="00812463">
        <w:rPr>
          <w:i/>
          <w:highlight w:val="yellow"/>
          <w:lang w:val="en-US"/>
        </w:rPr>
        <w:t>ɳ²</w:t>
      </w:r>
      <w:r w:rsidRPr="00812463">
        <w:rPr>
          <w:i/>
          <w:highlight w:val="yellow"/>
          <w:vertAlign w:val="subscript"/>
          <w:lang w:val="en-US"/>
        </w:rPr>
        <w:t xml:space="preserve">p </w:t>
      </w:r>
      <w:r w:rsidRPr="00812463">
        <w:rPr>
          <w:highlight w:val="yellow"/>
          <w:lang w:val="en-US"/>
        </w:rPr>
        <w:t xml:space="preserve">= 0.024, or Diagnosis, </w:t>
      </w:r>
      <w:r w:rsidRPr="00812463">
        <w:rPr>
          <w:i/>
          <w:highlight w:val="yellow"/>
          <w:lang w:val="en-US"/>
        </w:rPr>
        <w:t>F</w:t>
      </w:r>
      <w:r w:rsidRPr="00812463">
        <w:rPr>
          <w:highlight w:val="yellow"/>
          <w:lang w:val="en-US"/>
        </w:rPr>
        <w:t xml:space="preserve">(2,56) = 1.214; </w:t>
      </w:r>
      <w:r w:rsidRPr="00812463">
        <w:rPr>
          <w:i/>
          <w:highlight w:val="yellow"/>
          <w:lang w:val="en-US"/>
        </w:rPr>
        <w:t xml:space="preserve">p </w:t>
      </w:r>
      <w:r w:rsidRPr="00812463">
        <w:rPr>
          <w:highlight w:val="yellow"/>
          <w:lang w:val="en-US"/>
        </w:rPr>
        <w:t xml:space="preserve">= .275; </w:t>
      </w:r>
      <w:r w:rsidRPr="00812463">
        <w:rPr>
          <w:i/>
          <w:highlight w:val="yellow"/>
          <w:lang w:val="en-US"/>
        </w:rPr>
        <w:t>ɳ²</w:t>
      </w:r>
      <w:r w:rsidRPr="00812463">
        <w:rPr>
          <w:i/>
          <w:highlight w:val="yellow"/>
          <w:vertAlign w:val="subscript"/>
          <w:lang w:val="en-US"/>
        </w:rPr>
        <w:t xml:space="preserve">p </w:t>
      </w:r>
      <w:r w:rsidRPr="00812463">
        <w:rPr>
          <w:highlight w:val="yellow"/>
          <w:lang w:val="en-US"/>
        </w:rPr>
        <w:t xml:space="preserve">= 0.022. However, there was a significant Time by Condition interaction, </w:t>
      </w:r>
      <w:proofErr w:type="gramStart"/>
      <w:r w:rsidRPr="00812463">
        <w:rPr>
          <w:i/>
          <w:highlight w:val="yellow"/>
          <w:lang w:val="en-US"/>
        </w:rPr>
        <w:t>F</w:t>
      </w:r>
      <w:r w:rsidRPr="00812463">
        <w:rPr>
          <w:highlight w:val="yellow"/>
          <w:lang w:val="en-US"/>
        </w:rPr>
        <w:t>(</w:t>
      </w:r>
      <w:proofErr w:type="gramEnd"/>
      <w:r w:rsidRPr="00812463">
        <w:rPr>
          <w:highlight w:val="yellow"/>
          <w:lang w:val="en-US"/>
        </w:rPr>
        <w:t xml:space="preserve">2,56) = 5.090; </w:t>
      </w:r>
      <w:r w:rsidRPr="00812463">
        <w:rPr>
          <w:i/>
          <w:highlight w:val="yellow"/>
          <w:lang w:val="en-US"/>
        </w:rPr>
        <w:t xml:space="preserve">p </w:t>
      </w:r>
      <w:r w:rsidRPr="00812463">
        <w:rPr>
          <w:highlight w:val="yellow"/>
          <w:lang w:val="en-US"/>
        </w:rPr>
        <w:t xml:space="preserve">= .009; </w:t>
      </w:r>
      <w:r w:rsidRPr="00812463">
        <w:rPr>
          <w:i/>
          <w:highlight w:val="yellow"/>
          <w:lang w:val="en-US"/>
        </w:rPr>
        <w:t>ɳ²</w:t>
      </w:r>
      <w:r w:rsidRPr="00812463">
        <w:rPr>
          <w:i/>
          <w:highlight w:val="yellow"/>
          <w:vertAlign w:val="subscript"/>
          <w:lang w:val="en-US"/>
        </w:rPr>
        <w:t xml:space="preserve">p </w:t>
      </w:r>
      <w:r w:rsidRPr="00812463">
        <w:rPr>
          <w:highlight w:val="yellow"/>
          <w:lang w:val="en-US"/>
        </w:rPr>
        <w:t xml:space="preserve">= 0.156. The Time by Diagnosis interaction was not significant, </w:t>
      </w:r>
      <w:proofErr w:type="gramStart"/>
      <w:r w:rsidRPr="00812463">
        <w:rPr>
          <w:i/>
          <w:highlight w:val="yellow"/>
          <w:lang w:val="en-US"/>
        </w:rPr>
        <w:t>F</w:t>
      </w:r>
      <w:r w:rsidRPr="00812463">
        <w:rPr>
          <w:highlight w:val="yellow"/>
          <w:lang w:val="en-US"/>
        </w:rPr>
        <w:t>(</w:t>
      </w:r>
      <w:proofErr w:type="gramEnd"/>
      <w:r w:rsidRPr="00812463">
        <w:rPr>
          <w:highlight w:val="yellow"/>
          <w:lang w:val="en-US"/>
        </w:rPr>
        <w:t xml:space="preserve">2,56) = 0.357; </w:t>
      </w:r>
      <w:r w:rsidRPr="00812463">
        <w:rPr>
          <w:i/>
          <w:highlight w:val="yellow"/>
          <w:lang w:val="en-US"/>
        </w:rPr>
        <w:t xml:space="preserve">p </w:t>
      </w:r>
      <w:r w:rsidRPr="00812463">
        <w:rPr>
          <w:highlight w:val="yellow"/>
          <w:lang w:val="en-US"/>
        </w:rPr>
        <w:t xml:space="preserve">= .553; </w:t>
      </w:r>
      <w:r w:rsidRPr="00812463">
        <w:rPr>
          <w:i/>
          <w:highlight w:val="yellow"/>
          <w:lang w:val="en-US"/>
        </w:rPr>
        <w:t>ɳ²</w:t>
      </w:r>
      <w:r w:rsidRPr="00812463">
        <w:rPr>
          <w:i/>
          <w:highlight w:val="yellow"/>
          <w:vertAlign w:val="subscript"/>
          <w:lang w:val="en-US"/>
        </w:rPr>
        <w:t xml:space="preserve">p </w:t>
      </w:r>
      <w:r w:rsidRPr="00812463">
        <w:rPr>
          <w:highlight w:val="yellow"/>
          <w:lang w:val="en-US"/>
        </w:rPr>
        <w:t>= 0.006.</w:t>
      </w:r>
    </w:p>
    <w:p w:rsidR="00812463" w:rsidRDefault="00812463" w:rsidP="00812463">
      <w:pPr>
        <w:ind w:firstLine="567"/>
        <w:rPr>
          <w:lang w:val="en-US"/>
        </w:rPr>
      </w:pPr>
      <w:r w:rsidRPr="00812463">
        <w:rPr>
          <w:highlight w:val="yellow"/>
          <w:lang w:val="en-US"/>
        </w:rPr>
        <w:t>Thus, the diagnosis did not have unique effects on the dependent variable, and its inclusion did not change the significance of any of the other main or interaction effects. Effect size in the ANCOVA was similar to the one in the ANOVA for the effect of most interest, that is, the two-way interaction effect. Therefore, it can be concluded</w:t>
      </w:r>
      <w:r w:rsidR="008C5635">
        <w:rPr>
          <w:highlight w:val="yellow"/>
          <w:lang w:val="en-US"/>
        </w:rPr>
        <w:t xml:space="preserve"> that</w:t>
      </w:r>
      <w:r w:rsidRPr="00812463">
        <w:rPr>
          <w:highlight w:val="yellow"/>
          <w:lang w:val="en-US"/>
        </w:rPr>
        <w:t xml:space="preserve"> considering the distinction between MDD diagnosis and elevated levels of depression does</w:t>
      </w:r>
      <w:r>
        <w:rPr>
          <w:highlight w:val="yellow"/>
          <w:lang w:val="en-US"/>
        </w:rPr>
        <w:t xml:space="preserve"> not significantly </w:t>
      </w:r>
      <w:r w:rsidRPr="00812463">
        <w:rPr>
          <w:highlight w:val="yellow"/>
          <w:lang w:val="en-US"/>
        </w:rPr>
        <w:t>influence the results.</w:t>
      </w:r>
    </w:p>
    <w:p w:rsidR="00812463" w:rsidRPr="00A831A3" w:rsidRDefault="00812463" w:rsidP="00A831A3">
      <w:pPr>
        <w:ind w:firstLine="567"/>
        <w:rPr>
          <w:lang w:val="en-US"/>
        </w:rPr>
      </w:pPr>
    </w:p>
    <w:p w:rsidR="009B57DB" w:rsidRDefault="00EB7599" w:rsidP="00EB7599">
      <w:pPr>
        <w:ind w:firstLine="0"/>
        <w:rPr>
          <w:b/>
          <w:lang w:val="en-US"/>
        </w:rPr>
      </w:pPr>
      <w:r w:rsidRPr="00812463">
        <w:rPr>
          <w:b/>
          <w:highlight w:val="yellow"/>
          <w:lang w:val="en-US"/>
        </w:rPr>
        <w:t>Credibility of the cover story</w:t>
      </w:r>
    </w:p>
    <w:p w:rsidR="00EB7599" w:rsidRPr="0054570D" w:rsidRDefault="00EB7599" w:rsidP="00EB7599">
      <w:pPr>
        <w:ind w:firstLine="567"/>
        <w:rPr>
          <w:lang w:val="en-US"/>
        </w:rPr>
      </w:pPr>
      <w:proofErr w:type="gramStart"/>
      <w:r>
        <w:rPr>
          <w:b/>
          <w:lang w:val="en-US"/>
        </w:rPr>
        <w:t>Study 1</w:t>
      </w:r>
      <w:r>
        <w:rPr>
          <w:lang w:val="en-US"/>
        </w:rPr>
        <w:t>.</w:t>
      </w:r>
      <w:proofErr w:type="gramEnd"/>
      <w:r>
        <w:rPr>
          <w:lang w:val="en-US"/>
        </w:rPr>
        <w:t xml:space="preserve"> </w:t>
      </w:r>
      <w:r w:rsidRPr="002D346F">
        <w:rPr>
          <w:highlight w:val="yellow"/>
          <w:lang w:val="en-US"/>
        </w:rPr>
        <w:t>As described in the main text, eleven participants (one depressed individual, ten healthy participants) had serious doubts concerning the credibility of the cover story and suspected the actual purpose of the study. Therefore, these participants were excluded so that analyses</w:t>
      </w:r>
      <w:r w:rsidR="002D346F">
        <w:rPr>
          <w:highlight w:val="yellow"/>
          <w:lang w:val="en-US"/>
        </w:rPr>
        <w:t xml:space="preserve"> were</w:t>
      </w:r>
      <w:r w:rsidRPr="002D346F">
        <w:rPr>
          <w:highlight w:val="yellow"/>
          <w:lang w:val="en-US"/>
        </w:rPr>
        <w:t xml:space="preserve"> based on data from 117 participants. </w:t>
      </w:r>
      <w:r w:rsidR="002D346F" w:rsidRPr="002D346F">
        <w:rPr>
          <w:highlight w:val="yellow"/>
          <w:lang w:val="en-US"/>
        </w:rPr>
        <w:t xml:space="preserve">Twenty-eight out of the remaining </w:t>
      </w:r>
      <w:r w:rsidR="002D346F" w:rsidRPr="002D346F">
        <w:rPr>
          <w:highlight w:val="yellow"/>
          <w:lang w:val="en-US"/>
        </w:rPr>
        <w:lastRenderedPageBreak/>
        <w:t>participants</w:t>
      </w:r>
      <w:r w:rsidRPr="002D346F">
        <w:rPr>
          <w:highlight w:val="yellow"/>
          <w:lang w:val="en-US"/>
        </w:rPr>
        <w:t xml:space="preserve"> </w:t>
      </w:r>
      <w:r w:rsidR="002D346F" w:rsidRPr="002D346F">
        <w:rPr>
          <w:highlight w:val="yellow"/>
          <w:lang w:val="en-US"/>
        </w:rPr>
        <w:t xml:space="preserve">also </w:t>
      </w:r>
      <w:r w:rsidRPr="002D346F">
        <w:rPr>
          <w:highlight w:val="yellow"/>
          <w:lang w:val="en-US"/>
        </w:rPr>
        <w:t>suspected that the study could have another aim than the one indicated in the study information,</w:t>
      </w:r>
      <w:r w:rsidR="002D346F" w:rsidRPr="002D346F">
        <w:rPr>
          <w:highlight w:val="yellow"/>
          <w:lang w:val="en-US"/>
        </w:rPr>
        <w:t xml:space="preserve"> but they did not guess the real purpose of the study.</w:t>
      </w:r>
      <w:r w:rsidRPr="002D346F">
        <w:rPr>
          <w:highlight w:val="yellow"/>
          <w:lang w:val="en-US"/>
        </w:rPr>
        <w:t xml:space="preserve"> </w:t>
      </w:r>
      <w:r w:rsidR="002D346F" w:rsidRPr="002D346F">
        <w:rPr>
          <w:highlight w:val="yellow"/>
          <w:lang w:val="en-US"/>
        </w:rPr>
        <w:t xml:space="preserve">Among these 28 participants, </w:t>
      </w:r>
      <w:r w:rsidRPr="002D346F">
        <w:rPr>
          <w:highlight w:val="yellow"/>
          <w:lang w:val="en-US"/>
        </w:rPr>
        <w:t>the following reasons of suspicions were mentioned</w:t>
      </w:r>
      <w:r w:rsidRPr="0054570D">
        <w:rPr>
          <w:lang w:val="en-US"/>
        </w:rPr>
        <w:t>: “the</w:t>
      </w:r>
      <w:r>
        <w:rPr>
          <w:lang w:val="en-US"/>
        </w:rPr>
        <w:t xml:space="preserve"> </w:t>
      </w:r>
      <w:r w:rsidRPr="0054570D">
        <w:rPr>
          <w:lang w:val="en-US"/>
        </w:rPr>
        <w:t>study aimed to examine t</w:t>
      </w:r>
      <w:r>
        <w:rPr>
          <w:lang w:val="en-US"/>
        </w:rPr>
        <w:t>he participants' self-esteem</w:t>
      </w:r>
      <w:r w:rsidRPr="0054570D">
        <w:rPr>
          <w:lang w:val="en-US"/>
        </w:rPr>
        <w:t>” (</w:t>
      </w:r>
      <w:r>
        <w:rPr>
          <w:lang w:val="en-US"/>
        </w:rPr>
        <w:t>thirteen</w:t>
      </w:r>
      <w:r w:rsidRPr="0054570D">
        <w:rPr>
          <w:lang w:val="en-US"/>
        </w:rPr>
        <w:t xml:space="preserve"> participants),</w:t>
      </w:r>
      <w:r>
        <w:rPr>
          <w:lang w:val="en-US"/>
        </w:rPr>
        <w:t xml:space="preserve"> “the study aimed to examine the relationship between self-esteem and the ability to empathize with others” (five participants), “the study aimed to examine empathy in depression” (five participants), “the study aimed to examine the participants’ own emotions” (one participant), “the study aimed to examine the influence of language on the evaluation of feelings” (one participant). Another three</w:t>
      </w:r>
      <w:r w:rsidRPr="0054570D">
        <w:rPr>
          <w:lang w:val="en-US"/>
        </w:rPr>
        <w:t xml:space="preserve"> participants</w:t>
      </w:r>
      <w:r>
        <w:rPr>
          <w:lang w:val="en-US"/>
        </w:rPr>
        <w:t xml:space="preserve"> </w:t>
      </w:r>
      <w:r w:rsidRPr="0054570D">
        <w:rPr>
          <w:lang w:val="en-US"/>
        </w:rPr>
        <w:t>suspected another aim although they</w:t>
      </w:r>
      <w:r>
        <w:rPr>
          <w:lang w:val="en-US"/>
        </w:rPr>
        <w:t xml:space="preserve"> did not explicitly mention one</w:t>
      </w:r>
      <w:r w:rsidRPr="00ED42DB">
        <w:rPr>
          <w:lang w:val="en-US"/>
        </w:rPr>
        <w:t>. No participant mentioned the suspicion that the</w:t>
      </w:r>
      <w:r>
        <w:rPr>
          <w:lang w:val="en-US"/>
        </w:rPr>
        <w:t xml:space="preserve"> </w:t>
      </w:r>
      <w:r w:rsidRPr="00ED42DB">
        <w:rPr>
          <w:lang w:val="en-US"/>
        </w:rPr>
        <w:t>study could be about participants' expectations.</w:t>
      </w:r>
    </w:p>
    <w:p w:rsidR="00EB7599" w:rsidRDefault="002D346F" w:rsidP="002D346F">
      <w:pPr>
        <w:ind w:firstLine="0"/>
        <w:rPr>
          <w:lang w:val="en-US"/>
        </w:rPr>
      </w:pPr>
      <w:proofErr w:type="gramStart"/>
      <w:r>
        <w:rPr>
          <w:b/>
          <w:lang w:val="en-US"/>
        </w:rPr>
        <w:t>Study 2.</w:t>
      </w:r>
      <w:proofErr w:type="gramEnd"/>
      <w:r>
        <w:rPr>
          <w:b/>
          <w:lang w:val="en-US"/>
        </w:rPr>
        <w:t xml:space="preserve"> </w:t>
      </w:r>
      <w:r w:rsidRPr="002D346F">
        <w:rPr>
          <w:highlight w:val="yellow"/>
          <w:lang w:val="en-US"/>
        </w:rPr>
        <w:t>Similar to Study 1, two participants were excluded because they had serious doubts concerning the credibility of the cover story and suspected the actual purpose of the study. Sixteen out of the remaining 59 participants suspected that the study could have another aim than the one indicated in the study information, but did not guess the real purpose of the study.</w:t>
      </w:r>
      <w:r w:rsidRPr="002D346F">
        <w:rPr>
          <w:lang w:val="en-US"/>
        </w:rPr>
        <w:t xml:space="preserve"> </w:t>
      </w:r>
      <w:r>
        <w:rPr>
          <w:lang w:val="en-US"/>
        </w:rPr>
        <w:t>T</w:t>
      </w:r>
      <w:r w:rsidRPr="002D346F">
        <w:rPr>
          <w:lang w:val="en-US"/>
        </w:rPr>
        <w:t>he following reasons of suspicions were mentioned: “the study aimed to examine the participants' self-esteem” (six participants), “the study aimed to examine the relationship between self-esteem and the ability to empathize with others” (two participants), “the study aimed to examine empathy in depression” (one participant), “the study aimed to examine the participants’ own emotions” (one participant), “the study was about the participants attitudes” (one participant), “the study aimed to examine how I would have reacted in the given situations” (one participant), “the study aimed to assess my emotional intelligence” (one participant), “the study aimed to examine how individuals cope with ambiguous feedback” (one participant). Another two participants suspected another aim although they did not explicitly mention one. No participant mentioned the suspicion that the study could be about participants' expectations.</w:t>
      </w:r>
    </w:p>
    <w:p w:rsidR="00E34F29" w:rsidRDefault="00E34F29" w:rsidP="00E34F29">
      <w:pPr>
        <w:pStyle w:val="Heading1"/>
        <w:rPr>
          <w:rFonts w:cs="Times New Roman"/>
          <w:lang w:val="en-GB"/>
        </w:rPr>
      </w:pPr>
      <w:r>
        <w:rPr>
          <w:lang w:val="en-GB"/>
        </w:rPr>
        <w:lastRenderedPageBreak/>
        <w:t>Figure legends of supplementary figures</w:t>
      </w:r>
    </w:p>
    <w:p w:rsidR="00E34F29" w:rsidRDefault="00E34F29" w:rsidP="00E34F29">
      <w:pPr>
        <w:ind w:firstLine="567"/>
        <w:rPr>
          <w:lang w:val="en-GB"/>
        </w:rPr>
      </w:pPr>
      <w:r>
        <w:rPr>
          <w:b/>
          <w:lang w:val="en-GB"/>
        </w:rPr>
        <w:t>Figure A.</w:t>
      </w:r>
      <w:r>
        <w:rPr>
          <w:lang w:val="en-GB"/>
        </w:rPr>
        <w:t xml:space="preserve"> Flow-chart diagram for participants from Study 1. </w:t>
      </w:r>
      <w:r w:rsidRPr="00E34F29">
        <w:rPr>
          <w:i/>
          <w:lang w:val="en-GB"/>
        </w:rPr>
        <w:t>Note</w:t>
      </w:r>
      <w:r>
        <w:rPr>
          <w:lang w:val="en-GB"/>
        </w:rPr>
        <w:t>. MDD = major depressive disorder.</w:t>
      </w:r>
    </w:p>
    <w:p w:rsidR="00E34F29" w:rsidRPr="002D346F" w:rsidRDefault="00E34F29" w:rsidP="00E34F29">
      <w:pPr>
        <w:ind w:firstLine="567"/>
        <w:rPr>
          <w:lang w:val="en-US"/>
        </w:rPr>
      </w:pPr>
      <w:r>
        <w:rPr>
          <w:b/>
          <w:lang w:val="en-GB"/>
        </w:rPr>
        <w:t>Figure B.</w:t>
      </w:r>
      <w:r>
        <w:rPr>
          <w:lang w:val="en-GB"/>
        </w:rPr>
        <w:t xml:space="preserve"> Flow-chart diagram for participants from Study 2. </w:t>
      </w:r>
      <w:r w:rsidRPr="00E34F29">
        <w:rPr>
          <w:i/>
          <w:lang w:val="en-GB"/>
        </w:rPr>
        <w:t>Note</w:t>
      </w:r>
      <w:r>
        <w:rPr>
          <w:lang w:val="en-GB"/>
        </w:rPr>
        <w:t>. MDD = major depressive disorder.</w:t>
      </w:r>
    </w:p>
    <w:p w:rsidR="00E34F29" w:rsidRPr="002D346F" w:rsidRDefault="00E34F29" w:rsidP="00E34F29">
      <w:pPr>
        <w:ind w:firstLine="567"/>
        <w:rPr>
          <w:lang w:val="en-US"/>
        </w:rPr>
      </w:pPr>
      <w:r>
        <w:rPr>
          <w:b/>
          <w:lang w:val="en-GB"/>
        </w:rPr>
        <w:t>Figure C.</w:t>
      </w:r>
      <w:r>
        <w:rPr>
          <w:lang w:val="en-GB"/>
        </w:rPr>
        <w:t xml:space="preserve"> Illustration of one task from the Test for the Measure of Emotional Intelligence (TEMINT). Participants’ task is to empathize with the person described, and to evaluate his/her feelings. In total, participants are presented twelve situations, and they have to rate 85 emotional states. </w:t>
      </w:r>
    </w:p>
    <w:p w:rsidR="00E34F29" w:rsidRPr="002D346F" w:rsidRDefault="00E34F29" w:rsidP="00E34F29">
      <w:pPr>
        <w:ind w:firstLine="567"/>
        <w:rPr>
          <w:lang w:val="en-US"/>
        </w:rPr>
      </w:pPr>
    </w:p>
    <w:sectPr w:rsidR="00E34F29" w:rsidRPr="002D346F">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599D" w:rsidRDefault="006F599D" w:rsidP="00D671C7">
      <w:pPr>
        <w:spacing w:after="0" w:line="240" w:lineRule="auto"/>
      </w:pPr>
      <w:r>
        <w:separator/>
      </w:r>
    </w:p>
  </w:endnote>
  <w:endnote w:type="continuationSeparator" w:id="0">
    <w:p w:rsidR="006F599D" w:rsidRDefault="006F599D" w:rsidP="00D671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libri Light">
    <w:altName w:val="Arial"/>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599D" w:rsidRDefault="006F599D" w:rsidP="00D671C7">
      <w:pPr>
        <w:spacing w:after="0" w:line="240" w:lineRule="auto"/>
      </w:pPr>
      <w:r>
        <w:separator/>
      </w:r>
    </w:p>
  </w:footnote>
  <w:footnote w:type="continuationSeparator" w:id="0">
    <w:p w:rsidR="006F599D" w:rsidRDefault="006F599D" w:rsidP="00D671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3717408"/>
      <w:docPartObj>
        <w:docPartGallery w:val="Page Numbers (Top of Page)"/>
        <w:docPartUnique/>
      </w:docPartObj>
    </w:sdtPr>
    <w:sdtEndPr/>
    <w:sdtContent>
      <w:p w:rsidR="008C5635" w:rsidRDefault="008C5635">
        <w:pPr>
          <w:pStyle w:val="Header"/>
          <w:jc w:val="right"/>
        </w:pPr>
        <w:r>
          <w:fldChar w:fldCharType="begin"/>
        </w:r>
        <w:r>
          <w:instrText>PAGE   \* MERGEFORMAT</w:instrText>
        </w:r>
        <w:r>
          <w:fldChar w:fldCharType="separate"/>
        </w:r>
        <w:r w:rsidR="00184C06">
          <w:rPr>
            <w:noProof/>
          </w:rPr>
          <w:t>4</w:t>
        </w:r>
        <w:r>
          <w:fldChar w:fldCharType="end"/>
        </w:r>
      </w:p>
    </w:sdtContent>
  </w:sdt>
  <w:p w:rsidR="008C5635" w:rsidRDefault="008C563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7DB"/>
    <w:rsid w:val="00113B35"/>
    <w:rsid w:val="00120398"/>
    <w:rsid w:val="00184C06"/>
    <w:rsid w:val="00272B4B"/>
    <w:rsid w:val="002D346F"/>
    <w:rsid w:val="003E71CC"/>
    <w:rsid w:val="004D2A4A"/>
    <w:rsid w:val="00511DC6"/>
    <w:rsid w:val="0055775B"/>
    <w:rsid w:val="006F599D"/>
    <w:rsid w:val="00812463"/>
    <w:rsid w:val="00844153"/>
    <w:rsid w:val="00890BB5"/>
    <w:rsid w:val="008C5635"/>
    <w:rsid w:val="008F1331"/>
    <w:rsid w:val="0094245B"/>
    <w:rsid w:val="009748E2"/>
    <w:rsid w:val="009B57DB"/>
    <w:rsid w:val="009F166E"/>
    <w:rsid w:val="009F27E9"/>
    <w:rsid w:val="00A831A3"/>
    <w:rsid w:val="00B241DE"/>
    <w:rsid w:val="00C06A75"/>
    <w:rsid w:val="00D671C7"/>
    <w:rsid w:val="00D90A71"/>
    <w:rsid w:val="00E34F29"/>
    <w:rsid w:val="00E576AF"/>
    <w:rsid w:val="00E94B21"/>
    <w:rsid w:val="00EA0867"/>
    <w:rsid w:val="00EB75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7DB"/>
    <w:pPr>
      <w:spacing w:after="180" w:line="480" w:lineRule="auto"/>
      <w:ind w:firstLine="340"/>
    </w:pPr>
    <w:rPr>
      <w:rFonts w:ascii="Times New Roman" w:eastAsiaTheme="minorEastAsia" w:hAnsi="Times New Roman"/>
      <w:sz w:val="24"/>
      <w:szCs w:val="24"/>
      <w:lang w:eastAsia="de-DE"/>
    </w:rPr>
  </w:style>
  <w:style w:type="paragraph" w:styleId="Heading1">
    <w:name w:val="heading 1"/>
    <w:basedOn w:val="Normal"/>
    <w:next w:val="Normal"/>
    <w:link w:val="Heading1Char"/>
    <w:uiPriority w:val="9"/>
    <w:qFormat/>
    <w:rsid w:val="00E34F29"/>
    <w:pPr>
      <w:keepNext/>
      <w:keepLines/>
      <w:spacing w:after="0"/>
      <w:ind w:firstLine="0"/>
      <w:jc w:val="center"/>
      <w:outlineLvl w:val="0"/>
    </w:pPr>
    <w:rPr>
      <w:rFonts w:eastAsiaTheme="majorEastAsia" w:cstheme="majorBidi"/>
      <w:b/>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B57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94B21"/>
    <w:rPr>
      <w:sz w:val="16"/>
      <w:szCs w:val="16"/>
    </w:rPr>
  </w:style>
  <w:style w:type="paragraph" w:styleId="CommentText">
    <w:name w:val="annotation text"/>
    <w:basedOn w:val="Normal"/>
    <w:link w:val="CommentTextChar"/>
    <w:uiPriority w:val="99"/>
    <w:semiHidden/>
    <w:unhideWhenUsed/>
    <w:rsid w:val="00E94B21"/>
    <w:pPr>
      <w:spacing w:line="240" w:lineRule="auto"/>
    </w:pPr>
    <w:rPr>
      <w:sz w:val="20"/>
      <w:szCs w:val="20"/>
    </w:rPr>
  </w:style>
  <w:style w:type="character" w:customStyle="1" w:styleId="CommentTextChar">
    <w:name w:val="Comment Text Char"/>
    <w:basedOn w:val="DefaultParagraphFont"/>
    <w:link w:val="CommentText"/>
    <w:uiPriority w:val="99"/>
    <w:semiHidden/>
    <w:rsid w:val="00E94B21"/>
    <w:rPr>
      <w:rFonts w:ascii="Times New Roman" w:eastAsiaTheme="minorEastAsia" w:hAnsi="Times New Roman"/>
      <w:sz w:val="20"/>
      <w:szCs w:val="20"/>
      <w:lang w:eastAsia="de-DE"/>
    </w:rPr>
  </w:style>
  <w:style w:type="character" w:styleId="Emphasis">
    <w:name w:val="Emphasis"/>
    <w:basedOn w:val="DefaultParagraphFont"/>
    <w:uiPriority w:val="20"/>
    <w:qFormat/>
    <w:rsid w:val="00E94B21"/>
    <w:rPr>
      <w:i/>
      <w:iCs/>
    </w:rPr>
  </w:style>
  <w:style w:type="paragraph" w:styleId="BalloonText">
    <w:name w:val="Balloon Text"/>
    <w:basedOn w:val="Normal"/>
    <w:link w:val="BalloonTextChar"/>
    <w:uiPriority w:val="99"/>
    <w:semiHidden/>
    <w:unhideWhenUsed/>
    <w:rsid w:val="00E94B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4B21"/>
    <w:rPr>
      <w:rFonts w:ascii="Tahoma" w:eastAsiaTheme="minorEastAsia" w:hAnsi="Tahoma" w:cs="Tahoma"/>
      <w:sz w:val="16"/>
      <w:szCs w:val="16"/>
      <w:lang w:eastAsia="de-DE"/>
    </w:rPr>
  </w:style>
  <w:style w:type="paragraph" w:styleId="Header">
    <w:name w:val="header"/>
    <w:basedOn w:val="Normal"/>
    <w:link w:val="HeaderChar"/>
    <w:uiPriority w:val="99"/>
    <w:unhideWhenUsed/>
    <w:rsid w:val="00D671C7"/>
    <w:pPr>
      <w:tabs>
        <w:tab w:val="center" w:pos="4536"/>
        <w:tab w:val="right" w:pos="9072"/>
      </w:tabs>
      <w:spacing w:after="0" w:line="240" w:lineRule="auto"/>
    </w:pPr>
  </w:style>
  <w:style w:type="character" w:customStyle="1" w:styleId="HeaderChar">
    <w:name w:val="Header Char"/>
    <w:basedOn w:val="DefaultParagraphFont"/>
    <w:link w:val="Header"/>
    <w:uiPriority w:val="99"/>
    <w:rsid w:val="00D671C7"/>
    <w:rPr>
      <w:rFonts w:ascii="Times New Roman" w:eastAsiaTheme="minorEastAsia" w:hAnsi="Times New Roman"/>
      <w:sz w:val="24"/>
      <w:szCs w:val="24"/>
      <w:lang w:eastAsia="de-DE"/>
    </w:rPr>
  </w:style>
  <w:style w:type="paragraph" w:styleId="Footer">
    <w:name w:val="footer"/>
    <w:basedOn w:val="Normal"/>
    <w:link w:val="FooterChar"/>
    <w:uiPriority w:val="99"/>
    <w:unhideWhenUsed/>
    <w:rsid w:val="00D671C7"/>
    <w:pPr>
      <w:tabs>
        <w:tab w:val="center" w:pos="4536"/>
        <w:tab w:val="right" w:pos="9072"/>
      </w:tabs>
      <w:spacing w:after="0" w:line="240" w:lineRule="auto"/>
    </w:pPr>
  </w:style>
  <w:style w:type="character" w:customStyle="1" w:styleId="FooterChar">
    <w:name w:val="Footer Char"/>
    <w:basedOn w:val="DefaultParagraphFont"/>
    <w:link w:val="Footer"/>
    <w:uiPriority w:val="99"/>
    <w:rsid w:val="00D671C7"/>
    <w:rPr>
      <w:rFonts w:ascii="Times New Roman" w:eastAsiaTheme="minorEastAsia" w:hAnsi="Times New Roman"/>
      <w:sz w:val="24"/>
      <w:szCs w:val="24"/>
      <w:lang w:eastAsia="de-DE"/>
    </w:rPr>
  </w:style>
  <w:style w:type="character" w:customStyle="1" w:styleId="Heading1Char">
    <w:name w:val="Heading 1 Char"/>
    <w:basedOn w:val="DefaultParagraphFont"/>
    <w:link w:val="Heading1"/>
    <w:uiPriority w:val="9"/>
    <w:rsid w:val="00E34F29"/>
    <w:rPr>
      <w:rFonts w:ascii="Times New Roman" w:eastAsiaTheme="majorEastAsia" w:hAnsi="Times New Roman" w:cstheme="majorBidi"/>
      <w:b/>
      <w:sz w:val="24"/>
      <w:szCs w:val="32"/>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7DB"/>
    <w:pPr>
      <w:spacing w:after="180" w:line="480" w:lineRule="auto"/>
      <w:ind w:firstLine="340"/>
    </w:pPr>
    <w:rPr>
      <w:rFonts w:ascii="Times New Roman" w:eastAsiaTheme="minorEastAsia" w:hAnsi="Times New Roman"/>
      <w:sz w:val="24"/>
      <w:szCs w:val="24"/>
      <w:lang w:eastAsia="de-DE"/>
    </w:rPr>
  </w:style>
  <w:style w:type="paragraph" w:styleId="Heading1">
    <w:name w:val="heading 1"/>
    <w:basedOn w:val="Normal"/>
    <w:next w:val="Normal"/>
    <w:link w:val="Heading1Char"/>
    <w:uiPriority w:val="9"/>
    <w:qFormat/>
    <w:rsid w:val="00E34F29"/>
    <w:pPr>
      <w:keepNext/>
      <w:keepLines/>
      <w:spacing w:after="0"/>
      <w:ind w:firstLine="0"/>
      <w:jc w:val="center"/>
      <w:outlineLvl w:val="0"/>
    </w:pPr>
    <w:rPr>
      <w:rFonts w:eastAsiaTheme="majorEastAsia" w:cstheme="majorBidi"/>
      <w:b/>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B57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94B21"/>
    <w:rPr>
      <w:sz w:val="16"/>
      <w:szCs w:val="16"/>
    </w:rPr>
  </w:style>
  <w:style w:type="paragraph" w:styleId="CommentText">
    <w:name w:val="annotation text"/>
    <w:basedOn w:val="Normal"/>
    <w:link w:val="CommentTextChar"/>
    <w:uiPriority w:val="99"/>
    <w:semiHidden/>
    <w:unhideWhenUsed/>
    <w:rsid w:val="00E94B21"/>
    <w:pPr>
      <w:spacing w:line="240" w:lineRule="auto"/>
    </w:pPr>
    <w:rPr>
      <w:sz w:val="20"/>
      <w:szCs w:val="20"/>
    </w:rPr>
  </w:style>
  <w:style w:type="character" w:customStyle="1" w:styleId="CommentTextChar">
    <w:name w:val="Comment Text Char"/>
    <w:basedOn w:val="DefaultParagraphFont"/>
    <w:link w:val="CommentText"/>
    <w:uiPriority w:val="99"/>
    <w:semiHidden/>
    <w:rsid w:val="00E94B21"/>
    <w:rPr>
      <w:rFonts w:ascii="Times New Roman" w:eastAsiaTheme="minorEastAsia" w:hAnsi="Times New Roman"/>
      <w:sz w:val="20"/>
      <w:szCs w:val="20"/>
      <w:lang w:eastAsia="de-DE"/>
    </w:rPr>
  </w:style>
  <w:style w:type="character" w:styleId="Emphasis">
    <w:name w:val="Emphasis"/>
    <w:basedOn w:val="DefaultParagraphFont"/>
    <w:uiPriority w:val="20"/>
    <w:qFormat/>
    <w:rsid w:val="00E94B21"/>
    <w:rPr>
      <w:i/>
      <w:iCs/>
    </w:rPr>
  </w:style>
  <w:style w:type="paragraph" w:styleId="BalloonText">
    <w:name w:val="Balloon Text"/>
    <w:basedOn w:val="Normal"/>
    <w:link w:val="BalloonTextChar"/>
    <w:uiPriority w:val="99"/>
    <w:semiHidden/>
    <w:unhideWhenUsed/>
    <w:rsid w:val="00E94B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4B21"/>
    <w:rPr>
      <w:rFonts w:ascii="Tahoma" w:eastAsiaTheme="minorEastAsia" w:hAnsi="Tahoma" w:cs="Tahoma"/>
      <w:sz w:val="16"/>
      <w:szCs w:val="16"/>
      <w:lang w:eastAsia="de-DE"/>
    </w:rPr>
  </w:style>
  <w:style w:type="paragraph" w:styleId="Header">
    <w:name w:val="header"/>
    <w:basedOn w:val="Normal"/>
    <w:link w:val="HeaderChar"/>
    <w:uiPriority w:val="99"/>
    <w:unhideWhenUsed/>
    <w:rsid w:val="00D671C7"/>
    <w:pPr>
      <w:tabs>
        <w:tab w:val="center" w:pos="4536"/>
        <w:tab w:val="right" w:pos="9072"/>
      </w:tabs>
      <w:spacing w:after="0" w:line="240" w:lineRule="auto"/>
    </w:pPr>
  </w:style>
  <w:style w:type="character" w:customStyle="1" w:styleId="HeaderChar">
    <w:name w:val="Header Char"/>
    <w:basedOn w:val="DefaultParagraphFont"/>
    <w:link w:val="Header"/>
    <w:uiPriority w:val="99"/>
    <w:rsid w:val="00D671C7"/>
    <w:rPr>
      <w:rFonts w:ascii="Times New Roman" w:eastAsiaTheme="minorEastAsia" w:hAnsi="Times New Roman"/>
      <w:sz w:val="24"/>
      <w:szCs w:val="24"/>
      <w:lang w:eastAsia="de-DE"/>
    </w:rPr>
  </w:style>
  <w:style w:type="paragraph" w:styleId="Footer">
    <w:name w:val="footer"/>
    <w:basedOn w:val="Normal"/>
    <w:link w:val="FooterChar"/>
    <w:uiPriority w:val="99"/>
    <w:unhideWhenUsed/>
    <w:rsid w:val="00D671C7"/>
    <w:pPr>
      <w:tabs>
        <w:tab w:val="center" w:pos="4536"/>
        <w:tab w:val="right" w:pos="9072"/>
      </w:tabs>
      <w:spacing w:after="0" w:line="240" w:lineRule="auto"/>
    </w:pPr>
  </w:style>
  <w:style w:type="character" w:customStyle="1" w:styleId="FooterChar">
    <w:name w:val="Footer Char"/>
    <w:basedOn w:val="DefaultParagraphFont"/>
    <w:link w:val="Footer"/>
    <w:uiPriority w:val="99"/>
    <w:rsid w:val="00D671C7"/>
    <w:rPr>
      <w:rFonts w:ascii="Times New Roman" w:eastAsiaTheme="minorEastAsia" w:hAnsi="Times New Roman"/>
      <w:sz w:val="24"/>
      <w:szCs w:val="24"/>
      <w:lang w:eastAsia="de-DE"/>
    </w:rPr>
  </w:style>
  <w:style w:type="character" w:customStyle="1" w:styleId="Heading1Char">
    <w:name w:val="Heading 1 Char"/>
    <w:basedOn w:val="DefaultParagraphFont"/>
    <w:link w:val="Heading1"/>
    <w:uiPriority w:val="9"/>
    <w:rsid w:val="00E34F29"/>
    <w:rPr>
      <w:rFonts w:ascii="Times New Roman" w:eastAsiaTheme="majorEastAsia" w:hAnsi="Times New Roman" w:cstheme="majorBidi"/>
      <w:b/>
      <w:sz w:val="24"/>
      <w:szCs w:val="3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2180502">
      <w:bodyDiv w:val="1"/>
      <w:marLeft w:val="0"/>
      <w:marRight w:val="0"/>
      <w:marTop w:val="0"/>
      <w:marBottom w:val="0"/>
      <w:divBdr>
        <w:top w:val="none" w:sz="0" w:space="0" w:color="auto"/>
        <w:left w:val="none" w:sz="0" w:space="0" w:color="auto"/>
        <w:bottom w:val="none" w:sz="0" w:space="0" w:color="auto"/>
        <w:right w:val="none" w:sz="0" w:space="0" w:color="auto"/>
      </w:divBdr>
    </w:div>
    <w:div w:id="164588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1341</Words>
  <Characters>7646</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Philipps-Universität Marburg</Company>
  <LinksUpToDate>false</LinksUpToDate>
  <CharactersWithSpaces>8970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Tobias Kube</dc:creator>
  <cp:lastModifiedBy>Senthil C. Kumari</cp:lastModifiedBy>
  <cp:revision>10</cp:revision>
  <dcterms:created xsi:type="dcterms:W3CDTF">2018-04-06T13:07:00Z</dcterms:created>
  <dcterms:modified xsi:type="dcterms:W3CDTF">2018-08-21T05:09:00Z</dcterms:modified>
</cp:coreProperties>
</file>