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8BDF0" w14:textId="0650B9E0" w:rsidR="00606150" w:rsidRDefault="00F95745" w:rsidP="006061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5745">
        <w:rPr>
          <w:rFonts w:ascii="Times New Roman" w:eastAsia="Calibri" w:hAnsi="Times New Roman" w:cs="Times New Roman"/>
          <w:b/>
          <w:sz w:val="24"/>
          <w:szCs w:val="24"/>
        </w:rPr>
        <w:t xml:space="preserve">Trauma-Associated Anterior Cingulate Connectivity During Reward </w:t>
      </w:r>
      <w:r w:rsidR="00C77BEC">
        <w:rPr>
          <w:rFonts w:ascii="Times New Roman" w:eastAsia="Calibri" w:hAnsi="Times New Roman" w:cs="Times New Roman"/>
          <w:b/>
          <w:sz w:val="24"/>
          <w:szCs w:val="24"/>
        </w:rPr>
        <w:t>Learning</w:t>
      </w:r>
      <w:r w:rsidRPr="00F95745">
        <w:rPr>
          <w:rFonts w:ascii="Times New Roman" w:eastAsia="Calibri" w:hAnsi="Times New Roman" w:cs="Times New Roman"/>
          <w:b/>
          <w:sz w:val="24"/>
          <w:szCs w:val="24"/>
        </w:rPr>
        <w:t xml:space="preserve"> Predicts Affective and Anxiety States in Young Adults</w:t>
      </w:r>
    </w:p>
    <w:p w14:paraId="4506867C" w14:textId="77777777" w:rsidR="00F95745" w:rsidRPr="00C1546C" w:rsidRDefault="00F95745" w:rsidP="006061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AB6113" w14:textId="77777777" w:rsidR="00606150" w:rsidRPr="00C1546C" w:rsidRDefault="00606150" w:rsidP="006061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546C">
        <w:rPr>
          <w:rFonts w:ascii="Times New Roman" w:eastAsia="Calibri" w:hAnsi="Times New Roman" w:cs="Times New Roman"/>
          <w:b/>
          <w:sz w:val="24"/>
          <w:szCs w:val="24"/>
        </w:rPr>
        <w:t>Supplementary Material</w:t>
      </w:r>
    </w:p>
    <w:p w14:paraId="33B7FB48" w14:textId="77777777" w:rsidR="00606150" w:rsidRPr="00C1546C" w:rsidRDefault="00606150" w:rsidP="006061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2FC9DB" w14:textId="77777777" w:rsidR="00606150" w:rsidRPr="00C1546C" w:rsidRDefault="00606150" w:rsidP="006061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5FA217" w14:textId="77777777" w:rsidR="00606150" w:rsidRPr="00C1546C" w:rsidRDefault="00606150" w:rsidP="006061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546C">
        <w:rPr>
          <w:rFonts w:ascii="Times New Roman" w:eastAsia="Calibri" w:hAnsi="Times New Roman" w:cs="Times New Roman"/>
          <w:b/>
          <w:sz w:val="24"/>
          <w:szCs w:val="24"/>
        </w:rPr>
        <w:t>Methods</w:t>
      </w:r>
    </w:p>
    <w:p w14:paraId="77DA036D" w14:textId="77777777" w:rsidR="00606150" w:rsidRPr="00E20B61" w:rsidRDefault="00606150" w:rsidP="00606150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1C259D9" w14:textId="77777777" w:rsidR="00606150" w:rsidRPr="00E20B61" w:rsidRDefault="00606150" w:rsidP="00606150">
      <w:pPr>
        <w:spacing w:after="0" w:line="480" w:lineRule="auto"/>
        <w:rPr>
          <w:rFonts w:ascii="Times New Roman" w:eastAsia="Calibri" w:hAnsi="Times New Roman" w:cs="Times New Roman"/>
          <w:sz w:val="20"/>
          <w:szCs w:val="20"/>
        </w:rPr>
      </w:pPr>
      <w:r w:rsidRPr="00E20B61">
        <w:rPr>
          <w:rFonts w:ascii="Times New Roman" w:eastAsia="Calibri" w:hAnsi="Times New Roman" w:cs="Times New Roman"/>
          <w:i/>
          <w:sz w:val="20"/>
          <w:szCs w:val="20"/>
        </w:rPr>
        <w:t>Participant Exclusion Criteria</w:t>
      </w:r>
    </w:p>
    <w:p w14:paraId="17FD8704" w14:textId="03C527A8" w:rsidR="00606150" w:rsidRPr="00E20B61" w:rsidRDefault="007505BF" w:rsidP="00606150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Exclusion criteria included any </w:t>
      </w:r>
      <w:r w:rsidRPr="007505BF">
        <w:rPr>
          <w:rFonts w:ascii="Times New Roman" w:hAnsi="Times New Roman" w:cs="Times New Roman"/>
          <w:sz w:val="20"/>
          <w:szCs w:val="20"/>
        </w:rPr>
        <w:t xml:space="preserve">history of serious medical/physical conditions: neurological disorder (past stroke, seizures, dementia), history of brain tumor/brain surgery, progressive endocrine disorder (Cushing’s, Lupus), heart disorder (past history of heart attacks, arteriosclerosis) or other major systemic medical conditions (kidney disease, </w:t>
      </w:r>
      <w:r>
        <w:rPr>
          <w:rFonts w:ascii="Times New Roman" w:hAnsi="Times New Roman" w:cs="Times New Roman"/>
          <w:sz w:val="20"/>
          <w:szCs w:val="20"/>
        </w:rPr>
        <w:t>multiple sclerosis, cerebral palsy</w:t>
      </w:r>
      <w:r w:rsidRPr="007505BF">
        <w:rPr>
          <w:rFonts w:ascii="Times New Roman" w:hAnsi="Times New Roman" w:cs="Times New Roman"/>
          <w:sz w:val="20"/>
          <w:szCs w:val="20"/>
        </w:rPr>
        <w:t>, blindness, serious physical disability) or chronic/acute condition including any managed by medication (chronic back problem, recent surgery)</w:t>
      </w:r>
      <w:r w:rsidR="00A44D40">
        <w:rPr>
          <w:rFonts w:ascii="Times New Roman" w:hAnsi="Times New Roman" w:cs="Times New Roman"/>
          <w:sz w:val="20"/>
          <w:szCs w:val="20"/>
        </w:rPr>
        <w:t>; t</w:t>
      </w:r>
      <w:r w:rsidRPr="007505BF">
        <w:rPr>
          <w:rFonts w:ascii="Times New Roman" w:hAnsi="Times New Roman" w:cs="Times New Roman"/>
          <w:sz w:val="20"/>
          <w:szCs w:val="20"/>
        </w:rPr>
        <w:t>aking medication for an excluded medical condition</w:t>
      </w:r>
      <w:r w:rsidR="00A44D40">
        <w:rPr>
          <w:rFonts w:ascii="Times New Roman" w:hAnsi="Times New Roman" w:cs="Times New Roman"/>
          <w:sz w:val="20"/>
          <w:szCs w:val="20"/>
        </w:rPr>
        <w:t>; a</w:t>
      </w:r>
      <w:r w:rsidRPr="007505BF">
        <w:rPr>
          <w:rFonts w:ascii="Times New Roman" w:hAnsi="Times New Roman" w:cs="Times New Roman"/>
          <w:sz w:val="20"/>
          <w:szCs w:val="20"/>
        </w:rPr>
        <w:t xml:space="preserve"> visual disturbance (&lt;20/40 Snellen visual ac</w:t>
      </w:r>
      <w:r w:rsidR="00A44D40">
        <w:rPr>
          <w:rFonts w:ascii="Times New Roman" w:hAnsi="Times New Roman" w:cs="Times New Roman"/>
          <w:sz w:val="20"/>
          <w:szCs w:val="20"/>
        </w:rPr>
        <w:t>uity) when corrected by glasses; p</w:t>
      </w:r>
      <w:r w:rsidRPr="007505BF">
        <w:rPr>
          <w:rFonts w:ascii="Times New Roman" w:hAnsi="Times New Roman" w:cs="Times New Roman"/>
          <w:sz w:val="20"/>
          <w:szCs w:val="20"/>
        </w:rPr>
        <w:t>resence of metallic foreign objects in body, such as aneurysm clips or pacemakers, or a questionable history of metallic fragments</w:t>
      </w:r>
      <w:r w:rsidR="00A44D40">
        <w:rPr>
          <w:rFonts w:ascii="Times New Roman" w:hAnsi="Times New Roman" w:cs="Times New Roman"/>
          <w:sz w:val="20"/>
          <w:szCs w:val="20"/>
        </w:rPr>
        <w:t>; p</w:t>
      </w:r>
      <w:r w:rsidRPr="007505BF">
        <w:rPr>
          <w:rFonts w:ascii="Times New Roman" w:hAnsi="Times New Roman" w:cs="Times New Roman"/>
          <w:sz w:val="20"/>
          <w:szCs w:val="20"/>
        </w:rPr>
        <w:t>ositive pregnancy test for female individuals, or self-reporting of pregnancy</w:t>
      </w:r>
      <w:r w:rsidR="00A44D40">
        <w:rPr>
          <w:rFonts w:ascii="Times New Roman" w:hAnsi="Times New Roman" w:cs="Times New Roman"/>
          <w:sz w:val="20"/>
          <w:szCs w:val="20"/>
        </w:rPr>
        <w:t>; claustrophobia; a</w:t>
      </w:r>
      <w:r w:rsidRPr="007505BF">
        <w:rPr>
          <w:rFonts w:ascii="Times New Roman" w:hAnsi="Times New Roman" w:cs="Times New Roman"/>
          <w:sz w:val="20"/>
          <w:szCs w:val="20"/>
        </w:rPr>
        <w:t xml:space="preserve"> Mini-Mental State Examination score &lt;24</w:t>
      </w:r>
      <w:r w:rsidR="00A44D40">
        <w:rPr>
          <w:rFonts w:ascii="Times New Roman" w:hAnsi="Times New Roman" w:cs="Times New Roman"/>
          <w:sz w:val="20"/>
          <w:szCs w:val="20"/>
        </w:rPr>
        <w:t>; a</w:t>
      </w:r>
      <w:r w:rsidRPr="007505BF">
        <w:rPr>
          <w:rFonts w:ascii="Times New Roman" w:hAnsi="Times New Roman" w:cs="Times New Roman"/>
          <w:sz w:val="20"/>
          <w:szCs w:val="20"/>
        </w:rPr>
        <w:t xml:space="preserve"> premorbid IQ estimate &lt;85 (as determined by t</w:t>
      </w:r>
      <w:r w:rsidR="00A44D40">
        <w:rPr>
          <w:rFonts w:ascii="Times New Roman" w:hAnsi="Times New Roman" w:cs="Times New Roman"/>
          <w:sz w:val="20"/>
          <w:szCs w:val="20"/>
        </w:rPr>
        <w:t xml:space="preserve">he National Adult Reading Test); </w:t>
      </w:r>
      <w:r w:rsidR="00606150" w:rsidRPr="00E20B61">
        <w:rPr>
          <w:rFonts w:ascii="Times New Roman" w:hAnsi="Times New Roman" w:cs="Times New Roman"/>
          <w:sz w:val="20"/>
          <w:szCs w:val="20"/>
        </w:rPr>
        <w:t xml:space="preserve">presence of an alcohol, tobacco, or substance use disorder in the prior 3 months; current treatment with psychotropic medication for &gt;2 weeks; previous psychotropic medication treatment in the past 6 months. For typically-developing individuals, personal history of any psychiatric disorder </w:t>
      </w:r>
      <w:r w:rsidR="008D55A6">
        <w:rPr>
          <w:rFonts w:ascii="Times New Roman" w:hAnsi="Times New Roman" w:cs="Times New Roman"/>
          <w:sz w:val="20"/>
          <w:szCs w:val="20"/>
        </w:rPr>
        <w:t>or psychotropic medication use were</w:t>
      </w:r>
      <w:r w:rsidR="00606150" w:rsidRPr="00E20B61">
        <w:rPr>
          <w:rFonts w:ascii="Times New Roman" w:hAnsi="Times New Roman" w:cs="Times New Roman"/>
          <w:sz w:val="20"/>
          <w:szCs w:val="20"/>
        </w:rPr>
        <w:t xml:space="preserve"> also </w:t>
      </w:r>
      <w:r w:rsidR="008D55A6">
        <w:rPr>
          <w:rFonts w:ascii="Times New Roman" w:hAnsi="Times New Roman" w:cs="Times New Roman"/>
          <w:sz w:val="20"/>
          <w:szCs w:val="20"/>
        </w:rPr>
        <w:t>exclusion criteria</w:t>
      </w:r>
      <w:r w:rsidR="00606150" w:rsidRPr="00E20B61">
        <w:rPr>
          <w:rFonts w:ascii="Times New Roman" w:hAnsi="Times New Roman" w:cs="Times New Roman"/>
          <w:sz w:val="20"/>
          <w:szCs w:val="20"/>
        </w:rPr>
        <w:t>. Twelve individuals were excluded due to incomplete data, two individuals were excluded due to excessive motion (&gt;5mm), one participant was excluded due to excessive task performance errors (20, other participants &lt;12), and six participants were excluded due to excessive signal loss (&gt;30%).</w:t>
      </w:r>
    </w:p>
    <w:p w14:paraId="14860567" w14:textId="77777777" w:rsidR="00606150" w:rsidRPr="00E20B61" w:rsidRDefault="00606150" w:rsidP="00606150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427132B5" w14:textId="77777777" w:rsidR="003A7211" w:rsidRPr="00E20B61" w:rsidRDefault="003A7211" w:rsidP="003A7211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  <w:r w:rsidRPr="00E20B61">
        <w:rPr>
          <w:rFonts w:ascii="Times New Roman" w:hAnsi="Times New Roman" w:cs="Times New Roman"/>
          <w:i/>
          <w:sz w:val="20"/>
          <w:szCs w:val="20"/>
        </w:rPr>
        <w:t>Monetary Reward fMRI Task</w:t>
      </w:r>
    </w:p>
    <w:p w14:paraId="721313C5" w14:textId="1593B06B" w:rsidR="003A7211" w:rsidRPr="00E20B61" w:rsidRDefault="003A7211" w:rsidP="003A7211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addition to RPE, reward expectancy (R</w:t>
      </w:r>
      <w:r w:rsidRPr="00E20B61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) and outcome expectanc</w:t>
      </w:r>
      <w:r w:rsidR="00145B29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(O</w:t>
      </w:r>
      <w:r w:rsidRPr="00E20B61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E20B61">
        <w:rPr>
          <w:rFonts w:ascii="Times New Roman" w:hAnsi="Times New Roman" w:cs="Times New Roman"/>
          <w:sz w:val="20"/>
          <w:szCs w:val="20"/>
        </w:rPr>
        <w:t xml:space="preserve"> were calculated during the reward anticipation period in each trial. RE was defined as the expected value of the arrow: +$0.50 for the possible win condition (50% chance of winning $1), –$0.375 for the possible loss condition (50% chance of losing $0.75), +$0.125 for the mixed condition (50% chance of winning $1; 50% chance of losing $0.75), and zero for the neutral condition. In contrast, OE represented the range of unsigned values of possible outcomes where the greatest value is </w:t>
      </w:r>
      <w:r w:rsidRPr="00E20B61">
        <w:rPr>
          <w:rFonts w:ascii="Times New Roman" w:hAnsi="Times New Roman" w:cs="Times New Roman"/>
          <w:sz w:val="20"/>
          <w:szCs w:val="20"/>
        </w:rPr>
        <w:lastRenderedPageBreak/>
        <w:t>for the mixed trials ($1−$0.75 = 1.75) and lowest for neutral trials (zero). Possible win ($1−$0 = 1) and possible loss (0−$0.75 = 0.75) trial values were in between.</w:t>
      </w:r>
    </w:p>
    <w:p w14:paraId="42D00C35" w14:textId="77777777" w:rsidR="003A7211" w:rsidRDefault="003A7211" w:rsidP="00606150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7489FE02" w14:textId="77777777" w:rsidR="00606150" w:rsidRPr="00E20B61" w:rsidRDefault="00606150" w:rsidP="00606150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20B61">
        <w:rPr>
          <w:rFonts w:ascii="Times New Roman" w:hAnsi="Times New Roman" w:cs="Times New Roman"/>
          <w:i/>
          <w:sz w:val="20"/>
          <w:szCs w:val="20"/>
        </w:rPr>
        <w:t>fMRI Acquisition Parameters</w:t>
      </w:r>
    </w:p>
    <w:p w14:paraId="6CE27867" w14:textId="77777777" w:rsidR="00606150" w:rsidRPr="00E20B61" w:rsidRDefault="00606150" w:rsidP="00606150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20B61">
        <w:rPr>
          <w:rFonts w:ascii="Times New Roman" w:hAnsi="Times New Roman" w:cs="Times New Roman"/>
          <w:sz w:val="20"/>
          <w:szCs w:val="20"/>
        </w:rPr>
        <w:t>Functional neuroimaging data were collected at the University of Pittsburgh using a 3.0 Tesla Siemens Trio 2 MRI scanner. Blood-oxygenation-level-dependent (BOLD) images were acquired with a multi-band gradient echo EPI sequence (18 slices, three-factor multiband; 2.3 mm isotropic voxels; TR=1500ms, TE=30ms; field of view=220 × 220 mm; matrix 96 × 96; flip angle 55°, bandwidth 1860 Hz Px–1). Structural 3D axial MPRAGE images (TR=1500ms, TE=3.19ms; flip angle 8° FOV=256 × 256 mm; 1 mm isotropic voxels; 176 continuous slices) and fieldmaps (2.3 mm isotropic voxels; TR=500 ms, TE1=4.92 ms, TE2=7.38 ms; FOV=220 × 220 mm; flip angle 45°, bandwidth 1302 Hz Px–1) were acquired in the same session. Fieldmaps were not available for 11 participants (6 healthy, 5 distressed).</w:t>
      </w:r>
    </w:p>
    <w:p w14:paraId="4731F3FD" w14:textId="77777777" w:rsidR="00606150" w:rsidRDefault="00606150" w:rsidP="00606150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0C278C6D" w14:textId="379FDACD" w:rsidR="00282DCB" w:rsidRDefault="00282DCB" w:rsidP="00606150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Determination of </w:t>
      </w:r>
      <w:r w:rsidR="00FF7408">
        <w:rPr>
          <w:rFonts w:ascii="Times New Roman" w:hAnsi="Times New Roman" w:cs="Times New Roman"/>
          <w:i/>
          <w:sz w:val="20"/>
          <w:szCs w:val="20"/>
        </w:rPr>
        <w:t xml:space="preserve">Cluster </w:t>
      </w:r>
      <w:r>
        <w:rPr>
          <w:rFonts w:ascii="Times New Roman" w:hAnsi="Times New Roman" w:cs="Times New Roman"/>
          <w:i/>
          <w:sz w:val="20"/>
          <w:szCs w:val="20"/>
        </w:rPr>
        <w:t>Threshold</w:t>
      </w:r>
    </w:p>
    <w:p w14:paraId="24EB7030" w14:textId="41593003" w:rsidR="00282DCB" w:rsidRPr="00282DCB" w:rsidRDefault="00282DCB" w:rsidP="00606150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282DCB">
        <w:rPr>
          <w:rFonts w:ascii="Times New Roman" w:hAnsi="Times New Roman" w:cs="Times New Roman"/>
          <w:sz w:val="20"/>
          <w:szCs w:val="20"/>
        </w:rPr>
        <w:t>Recent concern has been raised about the use of less stringent cluster determining thresholds (CDT) in neuroimaging analyses leading to high false positive rates (</w:t>
      </w:r>
      <w:r w:rsidRPr="00282DCB">
        <w:rPr>
          <w:rFonts w:ascii="Times New Roman" w:hAnsi="Times New Roman" w:cs="Times New Roman"/>
          <w:sz w:val="20"/>
          <w:szCs w:val="20"/>
        </w:rPr>
        <w:fldChar w:fldCharType="begin"/>
      </w:r>
      <w:r w:rsidR="00DA40A1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&lt;EndNote&gt;&lt;Cite&gt;&lt;Author&gt;Woo&lt;/Author&gt;&lt;Year&gt;2014&lt;/Year&gt;&lt;RecNum&gt;177&lt;/RecNum&gt;&lt;DisplayText&gt;(Eklund&lt;style face="italic"&gt; et al.&lt;/style&gt;, 2016, Woo&lt;style face="italic"&gt; et al.&lt;/style&gt;, 2014)&lt;/DisplayText&gt;&lt;record&gt;&lt;rec-number&gt;177&lt;/rec-number&gt;&lt;foreign-keys&gt;&lt;key app="EN" db-id="f9rdftdslzzpfneev2lxxzez0ppvdxvs5fda" timestamp="1512015768"&gt;177&lt;/key&gt;&lt;/foreign-keys&gt;&lt;ref-type name="Journal Article"&gt;17&lt;/ref-type&gt;&lt;contributors&gt;&lt;authors&gt;&lt;author&gt;Woo, Choong-Wan&lt;/author&gt;&lt;author&gt;Krishnan, Anjali&lt;/author&gt;&lt;author&gt;Wager, Tor D&lt;/author&gt;&lt;/authors&gt;&lt;/contributors&gt;&lt;titles&gt;&lt;title&gt;Cluster-extent based thresholding in fMRI analyses: pitfalls and recommendations&lt;/title&gt;&lt;secondary-title&gt;Neuroimage&lt;/secondary-title&gt;&lt;/titles&gt;&lt;periodical&gt;&lt;full-title&gt;Neuroimage&lt;/full-title&gt;&lt;/periodical&gt;&lt;pages&gt;412-419&lt;/pages&gt;&lt;volume&gt;91&lt;/volume&gt;&lt;dates&gt;&lt;year&gt;2014&lt;/year&gt;&lt;/dates&gt;&lt;isbn&gt;1053-8119&lt;/isbn&gt;&lt;urls&gt;&lt;/urls&gt;&lt;/record&gt;&lt;/Cite&gt;&lt;Cite&gt;&lt;Author&gt;Eklund&lt;/Author&gt;&lt;Year&gt;2016&lt;/Year&gt;&lt;RecNum&gt;178&lt;/RecNum&gt;&lt;record&gt;&lt;rec-number&gt;178&lt;/rec-number&gt;&lt;foreign-keys&gt;&lt;key app="EN" db-id="f9rdftdslzzpfneev2lxxzez0ppvdxvs5fda" timestamp="1512015826"&gt;178&lt;/key&gt;&lt;/foreign-keys&gt;&lt;ref-type name="Journal Article"&gt;17&lt;/ref-type&gt;&lt;contributors&gt;&lt;authors&gt;&lt;author&gt;Eklund, Anders&lt;/author&gt;&lt;author&gt;Nichols, Thomas E&lt;/author&gt;&lt;author&gt;Knutsson, Hans&lt;/author&gt;&lt;/authors&gt;&lt;/contributors&gt;&lt;titles&gt;&lt;title&gt;Cluster failure: why fMRI inferences for spatial extent have inflated false-positive rates&lt;/title&gt;&lt;secondary-title&gt;Proceedings of the National Academy of Sciences&lt;/secondary-title&gt;&lt;/titles&gt;&lt;periodical&gt;&lt;full-title&gt;Proceedings of the National Academy of Sciences&lt;/full-title&gt;&lt;/periodical&gt;&lt;pages&gt;201602413&lt;/pages&gt;&lt;dates&gt;&lt;year&gt;2016&lt;/year&gt;&lt;/dates&gt;&lt;isbn&gt;0027-8424&lt;/isbn&gt;&lt;urls&gt;&lt;/urls&gt;&lt;/record&gt;&lt;/Cite&gt;&lt;/EndNote&gt;</w:instrText>
      </w:r>
      <w:r w:rsidRPr="00282DCB">
        <w:rPr>
          <w:rFonts w:ascii="Times New Roman" w:hAnsi="Times New Roman" w:cs="Times New Roman"/>
          <w:sz w:val="20"/>
          <w:szCs w:val="20"/>
        </w:rPr>
        <w:fldChar w:fldCharType="separate"/>
      </w:r>
      <w:r w:rsidR="00DA40A1">
        <w:rPr>
          <w:rFonts w:ascii="Times New Roman" w:hAnsi="Times New Roman" w:cs="Times New Roman"/>
          <w:noProof/>
          <w:sz w:val="20"/>
          <w:szCs w:val="20"/>
        </w:rPr>
        <w:t>(Eklund</w:t>
      </w:r>
      <w:r w:rsidR="00DA40A1" w:rsidRPr="00DA40A1">
        <w:rPr>
          <w:rFonts w:ascii="Times New Roman" w:hAnsi="Times New Roman" w:cs="Times New Roman"/>
          <w:i/>
          <w:noProof/>
          <w:sz w:val="20"/>
          <w:szCs w:val="20"/>
        </w:rPr>
        <w:t xml:space="preserve"> et al.</w:t>
      </w:r>
      <w:r w:rsidR="00DA40A1">
        <w:rPr>
          <w:rFonts w:ascii="Times New Roman" w:hAnsi="Times New Roman" w:cs="Times New Roman"/>
          <w:noProof/>
          <w:sz w:val="20"/>
          <w:szCs w:val="20"/>
        </w:rPr>
        <w:t>, 2016, Woo</w:t>
      </w:r>
      <w:r w:rsidR="00DA40A1" w:rsidRPr="00DA40A1">
        <w:rPr>
          <w:rFonts w:ascii="Times New Roman" w:hAnsi="Times New Roman" w:cs="Times New Roman"/>
          <w:i/>
          <w:noProof/>
          <w:sz w:val="20"/>
          <w:szCs w:val="20"/>
        </w:rPr>
        <w:t xml:space="preserve"> et al.</w:t>
      </w:r>
      <w:r w:rsidR="00DA40A1">
        <w:rPr>
          <w:rFonts w:ascii="Times New Roman" w:hAnsi="Times New Roman" w:cs="Times New Roman"/>
          <w:noProof/>
          <w:sz w:val="20"/>
          <w:szCs w:val="20"/>
        </w:rPr>
        <w:t>, 2014)</w:t>
      </w:r>
      <w:r w:rsidRPr="00282DCB">
        <w:rPr>
          <w:rFonts w:ascii="Times New Roman" w:hAnsi="Times New Roman" w:cs="Times New Roman"/>
          <w:sz w:val="20"/>
          <w:szCs w:val="20"/>
        </w:rPr>
        <w:fldChar w:fldCharType="end"/>
      </w:r>
      <w:r w:rsidRPr="00282DCB">
        <w:rPr>
          <w:rFonts w:ascii="Times New Roman" w:hAnsi="Times New Roman" w:cs="Times New Roman"/>
          <w:sz w:val="20"/>
          <w:szCs w:val="20"/>
        </w:rPr>
        <w:t xml:space="preserve">. The seminal paper by Eklund et al. examines the false positive rate in three independent </w:t>
      </w:r>
      <w:r w:rsidR="001A41E1">
        <w:rPr>
          <w:rFonts w:ascii="Times New Roman" w:hAnsi="Times New Roman" w:cs="Times New Roman"/>
          <w:sz w:val="20"/>
          <w:szCs w:val="20"/>
        </w:rPr>
        <w:t xml:space="preserve">adult </w:t>
      </w:r>
      <w:r w:rsidRPr="00282DCB">
        <w:rPr>
          <w:rFonts w:ascii="Times New Roman" w:hAnsi="Times New Roman" w:cs="Times New Roman"/>
          <w:sz w:val="20"/>
          <w:szCs w:val="20"/>
        </w:rPr>
        <w:t>samples (with sample sizes of 20-40 subjects) across image analysis platforms using four different functional MRI tasks, finding that the false positive rate is affected most by the CDT, smoothing kernel, task type</w:t>
      </w:r>
      <w:r>
        <w:rPr>
          <w:rFonts w:ascii="Times New Roman" w:hAnsi="Times New Roman" w:cs="Times New Roman"/>
          <w:sz w:val="20"/>
          <w:szCs w:val="20"/>
        </w:rPr>
        <w:t>, and second-level model</w:t>
      </w:r>
      <w:r w:rsidRPr="00282DCB">
        <w:rPr>
          <w:rFonts w:ascii="Times New Roman" w:hAnsi="Times New Roman" w:cs="Times New Roman"/>
          <w:sz w:val="20"/>
          <w:szCs w:val="20"/>
        </w:rPr>
        <w:t>. Specifically, less stringent CDTs</w:t>
      </w:r>
      <w:r>
        <w:rPr>
          <w:rFonts w:ascii="Times New Roman" w:hAnsi="Times New Roman" w:cs="Times New Roman"/>
          <w:sz w:val="20"/>
          <w:szCs w:val="20"/>
        </w:rPr>
        <w:t xml:space="preserve"> (e.g. </w:t>
      </w:r>
      <w:r>
        <w:rPr>
          <w:rFonts w:ascii="Times New Roman" w:hAnsi="Times New Roman" w:cs="Times New Roman"/>
          <w:i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&lt;0.005, </w:t>
      </w:r>
      <w:r>
        <w:rPr>
          <w:rFonts w:ascii="Times New Roman" w:hAnsi="Times New Roman" w:cs="Times New Roman"/>
          <w:i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&lt;0.01)</w:t>
      </w:r>
      <w:r w:rsidRPr="00282DCB">
        <w:rPr>
          <w:rFonts w:ascii="Times New Roman" w:hAnsi="Times New Roman" w:cs="Times New Roman"/>
          <w:sz w:val="20"/>
          <w:szCs w:val="20"/>
        </w:rPr>
        <w:t xml:space="preserve">, smaller smoothing kernels, </w:t>
      </w:r>
      <w:r>
        <w:rPr>
          <w:rFonts w:ascii="Times New Roman" w:hAnsi="Times New Roman" w:cs="Times New Roman"/>
          <w:sz w:val="20"/>
          <w:szCs w:val="20"/>
        </w:rPr>
        <w:t>fixed-duration event-related</w:t>
      </w:r>
      <w:r w:rsidRPr="00282DCB">
        <w:rPr>
          <w:rFonts w:ascii="Times New Roman" w:hAnsi="Times New Roman" w:cs="Times New Roman"/>
          <w:sz w:val="20"/>
          <w:szCs w:val="20"/>
        </w:rPr>
        <w:t xml:space="preserve"> designs</w:t>
      </w:r>
      <w:r>
        <w:rPr>
          <w:rFonts w:ascii="Times New Roman" w:hAnsi="Times New Roman" w:cs="Times New Roman"/>
          <w:sz w:val="20"/>
          <w:szCs w:val="20"/>
        </w:rPr>
        <w:t>, and task activation second-level models</w:t>
      </w:r>
      <w:r w:rsidRPr="00282DCB">
        <w:rPr>
          <w:rFonts w:ascii="Times New Roman" w:hAnsi="Times New Roman" w:cs="Times New Roman"/>
          <w:sz w:val="20"/>
          <w:szCs w:val="20"/>
        </w:rPr>
        <w:t xml:space="preserve"> had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2DCB">
        <w:rPr>
          <w:rFonts w:ascii="Times New Roman" w:hAnsi="Times New Roman" w:cs="Times New Roman"/>
          <w:sz w:val="20"/>
          <w:szCs w:val="20"/>
        </w:rPr>
        <w:t>higher false positive rate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282DCB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In more complex second-level models (e.g. two-sample t-tests, regression</w:t>
      </w:r>
      <w:r w:rsidR="001A41E1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) from a randomized event-related design</w:t>
      </w:r>
      <w:r w:rsidR="001A41E1">
        <w:rPr>
          <w:rFonts w:ascii="Times New Roman" w:hAnsi="Times New Roman" w:cs="Times New Roman"/>
          <w:sz w:val="20"/>
          <w:szCs w:val="20"/>
        </w:rPr>
        <w:t xml:space="preserve"> with 20</w:t>
      </w:r>
      <w:r>
        <w:rPr>
          <w:rFonts w:ascii="Times New Roman" w:hAnsi="Times New Roman" w:cs="Times New Roman"/>
          <w:sz w:val="20"/>
          <w:szCs w:val="20"/>
        </w:rPr>
        <w:t xml:space="preserve"> subjects</w:t>
      </w:r>
      <w:r w:rsidRPr="00282DCB">
        <w:rPr>
          <w:rFonts w:ascii="Times New Roman" w:hAnsi="Times New Roman" w:cs="Times New Roman"/>
          <w:sz w:val="20"/>
          <w:szCs w:val="20"/>
        </w:rPr>
        <w:t xml:space="preserve">, Eklund et al. found that false </w:t>
      </w:r>
      <w:r>
        <w:rPr>
          <w:rFonts w:ascii="Times New Roman" w:hAnsi="Times New Roman" w:cs="Times New Roman"/>
          <w:sz w:val="20"/>
          <w:szCs w:val="20"/>
        </w:rPr>
        <w:t xml:space="preserve">positive rates ranged between </w:t>
      </w:r>
      <w:r w:rsidR="001A41E1">
        <w:rPr>
          <w:rFonts w:ascii="Times New Roman" w:hAnsi="Times New Roman" w:cs="Times New Roman"/>
          <w:sz w:val="20"/>
          <w:szCs w:val="20"/>
        </w:rPr>
        <w:t>5-10</w:t>
      </w:r>
      <w:r w:rsidRPr="00282DCB">
        <w:rPr>
          <w:rFonts w:ascii="Times New Roman" w:hAnsi="Times New Roman" w:cs="Times New Roman"/>
          <w:sz w:val="20"/>
          <w:szCs w:val="20"/>
        </w:rPr>
        <w:t xml:space="preserve">% with a CDT of </w:t>
      </w:r>
      <w:r w:rsidRPr="00282DCB">
        <w:rPr>
          <w:rFonts w:ascii="Times New Roman" w:hAnsi="Times New Roman" w:cs="Times New Roman"/>
          <w:i/>
          <w:sz w:val="20"/>
          <w:szCs w:val="20"/>
        </w:rPr>
        <w:t>p</w:t>
      </w:r>
      <w:r w:rsidRPr="00282DCB">
        <w:rPr>
          <w:rFonts w:ascii="Times New Roman" w:hAnsi="Times New Roman" w:cs="Times New Roman"/>
          <w:sz w:val="20"/>
          <w:szCs w:val="20"/>
        </w:rPr>
        <w:t>&lt;0.001 (see</w:t>
      </w:r>
      <w:r w:rsidRPr="00282DCB">
        <w:rPr>
          <w:rFonts w:ascii="Times New Roman" w:hAnsi="Times New Roman" w:cs="Times New Roman"/>
          <w:sz w:val="20"/>
          <w:szCs w:val="20"/>
        </w:rPr>
        <w:fldChar w:fldCharType="begin"/>
      </w:r>
      <w:r w:rsidR="00DA40A1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&lt;EndNote&gt;&lt;Cite&gt;&lt;Author&gt;Eklund&lt;/Author&gt;&lt;Year&gt;2016&lt;/Year&gt;&lt;RecNum&gt;178&lt;/RecNum&gt;&lt;DisplayText&gt;(Eklund&lt;style face="italic"&gt; et al.&lt;/style&gt;, 2016)&lt;/DisplayText&gt;&lt;record&gt;&lt;rec-number&gt;178&lt;/rec-number&gt;&lt;foreign-keys&gt;&lt;key app="EN" db-id="f9rdftdslzzpfneev2lxxzez0ppvdxvs5fda" timestamp="1512015826"&gt;178&lt;/key&gt;&lt;/foreign-keys&gt;&lt;ref-type name="Journal Article"&gt;17&lt;/ref-type&gt;&lt;contributors&gt;&lt;authors&gt;&lt;author&gt;Eklund, Anders&lt;/author&gt;&lt;author&gt;Nichols, Thomas E&lt;/author&gt;&lt;author&gt;Knutsson, Hans&lt;/author&gt;&lt;/authors&gt;&lt;/contributors&gt;&lt;titles&gt;&lt;title&gt;Cluster failure: why fMRI inferences for spatial extent have inflated false-positive rates&lt;/title&gt;&lt;secondary-title&gt;Proceedings of the National Academy of Sciences&lt;/secondary-title&gt;&lt;/titles&gt;&lt;periodical&gt;&lt;full-title&gt;Proceedings of the National Academy of Sciences&lt;/full-title&gt;&lt;/periodical&gt;&lt;pages&gt;201602413&lt;/pages&gt;&lt;dates&gt;&lt;year&gt;2016&lt;/year&gt;&lt;/dates&gt;&lt;isbn&gt;0027-8424&lt;/isbn&gt;&lt;urls&gt;&lt;/urls&gt;&lt;/record&gt;&lt;/Cite&gt;&lt;/EndNote&gt;</w:instrText>
      </w:r>
      <w:r w:rsidRPr="00282DCB">
        <w:rPr>
          <w:rFonts w:ascii="Times New Roman" w:hAnsi="Times New Roman" w:cs="Times New Roman"/>
          <w:sz w:val="20"/>
          <w:szCs w:val="20"/>
        </w:rPr>
        <w:fldChar w:fldCharType="separate"/>
      </w:r>
      <w:r w:rsidR="00DA40A1">
        <w:rPr>
          <w:rFonts w:ascii="Times New Roman" w:hAnsi="Times New Roman" w:cs="Times New Roman"/>
          <w:noProof/>
          <w:sz w:val="20"/>
          <w:szCs w:val="20"/>
        </w:rPr>
        <w:t>(Eklund</w:t>
      </w:r>
      <w:r w:rsidR="00DA40A1" w:rsidRPr="00DA40A1">
        <w:rPr>
          <w:rFonts w:ascii="Times New Roman" w:hAnsi="Times New Roman" w:cs="Times New Roman"/>
          <w:i/>
          <w:noProof/>
          <w:sz w:val="20"/>
          <w:szCs w:val="20"/>
        </w:rPr>
        <w:t xml:space="preserve"> et al.</w:t>
      </w:r>
      <w:r w:rsidR="00DA40A1">
        <w:rPr>
          <w:rFonts w:ascii="Times New Roman" w:hAnsi="Times New Roman" w:cs="Times New Roman"/>
          <w:noProof/>
          <w:sz w:val="20"/>
          <w:szCs w:val="20"/>
        </w:rPr>
        <w:t>, 2016)</w:t>
      </w:r>
      <w:r w:rsidRPr="00282DCB">
        <w:rPr>
          <w:rFonts w:ascii="Times New Roman" w:hAnsi="Times New Roman" w:cs="Times New Roman"/>
          <w:sz w:val="20"/>
          <w:szCs w:val="20"/>
        </w:rPr>
        <w:fldChar w:fldCharType="end"/>
      </w:r>
      <w:r w:rsidR="001A41E1">
        <w:rPr>
          <w:rFonts w:ascii="Times New Roman" w:hAnsi="Times New Roman" w:cs="Times New Roman"/>
          <w:sz w:val="20"/>
          <w:szCs w:val="20"/>
        </w:rPr>
        <w:t>, supplementary figure 8</w:t>
      </w:r>
      <w:r w:rsidRPr="00282DCB">
        <w:rPr>
          <w:rFonts w:ascii="Times New Roman" w:hAnsi="Times New Roman" w:cs="Times New Roman"/>
          <w:sz w:val="20"/>
          <w:szCs w:val="20"/>
        </w:rPr>
        <w:t>).</w:t>
      </w:r>
      <w:r w:rsidR="003966D3">
        <w:rPr>
          <w:rFonts w:ascii="Times New Roman" w:hAnsi="Times New Roman" w:cs="Times New Roman"/>
          <w:sz w:val="20"/>
          <w:szCs w:val="20"/>
        </w:rPr>
        <w:t xml:space="preserve"> </w:t>
      </w:r>
      <w:r w:rsidR="001A41E1">
        <w:rPr>
          <w:rFonts w:ascii="Times New Roman" w:hAnsi="Times New Roman" w:cs="Times New Roman"/>
          <w:sz w:val="20"/>
          <w:szCs w:val="20"/>
        </w:rPr>
        <w:t xml:space="preserve">Notably, this false positive range decreased with a larger sample size of 40 subjects to 3-8% (see supplementary figure 8). </w:t>
      </w:r>
      <w:r w:rsidR="003966D3">
        <w:rPr>
          <w:rFonts w:ascii="Times New Roman" w:hAnsi="Times New Roman" w:cs="Times New Roman"/>
          <w:sz w:val="20"/>
          <w:szCs w:val="20"/>
        </w:rPr>
        <w:t xml:space="preserve">It was also determined that voxelwise inference was less prone to false positives compared with clusterwise inference. </w:t>
      </w:r>
      <w:r w:rsidRPr="00282DCB">
        <w:rPr>
          <w:rFonts w:ascii="Times New Roman" w:hAnsi="Times New Roman" w:cs="Times New Roman"/>
          <w:sz w:val="20"/>
          <w:szCs w:val="20"/>
        </w:rPr>
        <w:t xml:space="preserve">In the present study, we utilized SPM and a 6mm smoothing kernel to analyze data from a </w:t>
      </w:r>
      <w:r>
        <w:rPr>
          <w:rFonts w:ascii="Times New Roman" w:hAnsi="Times New Roman" w:cs="Times New Roman"/>
          <w:sz w:val="20"/>
          <w:szCs w:val="20"/>
        </w:rPr>
        <w:t xml:space="preserve">randomized event-related design in a regression analysis in a </w:t>
      </w:r>
      <w:r w:rsidR="001A41E1">
        <w:rPr>
          <w:rFonts w:ascii="Times New Roman" w:hAnsi="Times New Roman" w:cs="Times New Roman"/>
          <w:sz w:val="20"/>
          <w:szCs w:val="20"/>
        </w:rPr>
        <w:t>much larger sample</w:t>
      </w:r>
      <w:r>
        <w:rPr>
          <w:rFonts w:ascii="Times New Roman" w:hAnsi="Times New Roman" w:cs="Times New Roman"/>
          <w:sz w:val="20"/>
          <w:szCs w:val="20"/>
        </w:rPr>
        <w:t xml:space="preserve"> correcting for age, gender, race, IQ, and distress – </w:t>
      </w:r>
      <w:r w:rsidR="001A41E1">
        <w:rPr>
          <w:rFonts w:ascii="Times New Roman" w:hAnsi="Times New Roman" w:cs="Times New Roman"/>
          <w:sz w:val="20"/>
          <w:szCs w:val="20"/>
        </w:rPr>
        <w:t>critical</w:t>
      </w:r>
      <w:r>
        <w:rPr>
          <w:rFonts w:ascii="Times New Roman" w:hAnsi="Times New Roman" w:cs="Times New Roman"/>
          <w:sz w:val="20"/>
          <w:szCs w:val="20"/>
        </w:rPr>
        <w:t xml:space="preserve"> demographic variables particularly important to include </w:t>
      </w:r>
      <w:r w:rsidR="001A41E1">
        <w:rPr>
          <w:rFonts w:ascii="Times New Roman" w:hAnsi="Times New Roman" w:cs="Times New Roman"/>
          <w:sz w:val="20"/>
          <w:szCs w:val="20"/>
        </w:rPr>
        <w:t xml:space="preserve">in young adults that were not included in the </w:t>
      </w:r>
      <w:r w:rsidR="001A41E1">
        <w:rPr>
          <w:rFonts w:ascii="Times New Roman" w:hAnsi="Times New Roman" w:cs="Times New Roman"/>
          <w:sz w:val="20"/>
          <w:szCs w:val="20"/>
        </w:rPr>
        <w:lastRenderedPageBreak/>
        <w:t xml:space="preserve">aforementioned papers. With the addition of more subjects and stringent control for critical demographic variables, we expect that the </w:t>
      </w:r>
      <w:r w:rsidR="003966D3">
        <w:rPr>
          <w:rFonts w:ascii="Times New Roman" w:hAnsi="Times New Roman" w:cs="Times New Roman"/>
          <w:sz w:val="20"/>
          <w:szCs w:val="20"/>
        </w:rPr>
        <w:t>voxelwise threshold</w:t>
      </w:r>
      <w:r w:rsidR="001A41E1">
        <w:rPr>
          <w:rFonts w:ascii="Times New Roman" w:hAnsi="Times New Roman" w:cs="Times New Roman"/>
          <w:sz w:val="20"/>
          <w:szCs w:val="20"/>
        </w:rPr>
        <w:t xml:space="preserve"> of </w:t>
      </w:r>
      <w:r w:rsidR="001A41E1">
        <w:rPr>
          <w:rFonts w:ascii="Times New Roman" w:hAnsi="Times New Roman" w:cs="Times New Roman"/>
          <w:i/>
          <w:sz w:val="20"/>
          <w:szCs w:val="20"/>
        </w:rPr>
        <w:t>p</w:t>
      </w:r>
      <w:r w:rsidR="001A41E1" w:rsidRPr="003966D3">
        <w:rPr>
          <w:rFonts w:ascii="Times New Roman" w:hAnsi="Times New Roman" w:cs="Times New Roman"/>
          <w:i/>
          <w:sz w:val="20"/>
          <w:szCs w:val="20"/>
          <w:vertAlign w:val="subscript"/>
        </w:rPr>
        <w:t>unc</w:t>
      </w:r>
      <w:r w:rsidR="001A41E1">
        <w:rPr>
          <w:rFonts w:ascii="Times New Roman" w:hAnsi="Times New Roman" w:cs="Times New Roman"/>
          <w:sz w:val="20"/>
          <w:szCs w:val="20"/>
        </w:rPr>
        <w:t xml:space="preserve">&lt;0.001 </w:t>
      </w:r>
      <w:r w:rsidR="003966D3">
        <w:rPr>
          <w:rFonts w:ascii="Times New Roman" w:hAnsi="Times New Roman" w:cs="Times New Roman"/>
          <w:sz w:val="20"/>
          <w:szCs w:val="20"/>
        </w:rPr>
        <w:t>will</w:t>
      </w:r>
      <w:r w:rsidR="001A41E1">
        <w:rPr>
          <w:rFonts w:ascii="Times New Roman" w:hAnsi="Times New Roman" w:cs="Times New Roman"/>
          <w:sz w:val="20"/>
          <w:szCs w:val="20"/>
        </w:rPr>
        <w:t xml:space="preserve"> sufficiently control for false positives.</w:t>
      </w:r>
    </w:p>
    <w:p w14:paraId="7F502515" w14:textId="77777777" w:rsidR="00606150" w:rsidRPr="00E20B61" w:rsidRDefault="00606150" w:rsidP="00606150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40AB9136" w14:textId="77777777" w:rsidR="00606150" w:rsidRPr="00C1546C" w:rsidRDefault="00606150" w:rsidP="0060615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1546C">
        <w:rPr>
          <w:rFonts w:ascii="Times New Roman" w:hAnsi="Times New Roman" w:cs="Times New Roman"/>
          <w:b/>
          <w:sz w:val="24"/>
          <w:szCs w:val="24"/>
        </w:rPr>
        <w:t>Results</w:t>
      </w:r>
    </w:p>
    <w:p w14:paraId="10EEA4C1" w14:textId="52EFEA9C" w:rsidR="00606150" w:rsidRPr="00E20B61" w:rsidRDefault="00606150" w:rsidP="00606150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  <w:r w:rsidRPr="00E20B61">
        <w:rPr>
          <w:rFonts w:ascii="Times New Roman" w:hAnsi="Times New Roman" w:cs="Times New Roman"/>
          <w:i/>
          <w:sz w:val="20"/>
          <w:szCs w:val="20"/>
        </w:rPr>
        <w:t xml:space="preserve">Analyses by </w:t>
      </w:r>
      <w:r w:rsidR="002020D0" w:rsidRPr="00E20B61">
        <w:rPr>
          <w:rFonts w:ascii="Times New Roman" w:hAnsi="Times New Roman" w:cs="Times New Roman"/>
          <w:i/>
          <w:sz w:val="20"/>
          <w:szCs w:val="20"/>
        </w:rPr>
        <w:t>Trauma T</w:t>
      </w:r>
      <w:r w:rsidRPr="00E20B61">
        <w:rPr>
          <w:rFonts w:ascii="Times New Roman" w:hAnsi="Times New Roman" w:cs="Times New Roman"/>
          <w:i/>
          <w:sz w:val="20"/>
          <w:szCs w:val="20"/>
        </w:rPr>
        <w:t>ype</w:t>
      </w:r>
    </w:p>
    <w:p w14:paraId="2E333550" w14:textId="4895EA48" w:rsidR="00606150" w:rsidRPr="00E20B61" w:rsidRDefault="00606150" w:rsidP="00606150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20B61">
        <w:rPr>
          <w:rFonts w:ascii="Times New Roman" w:hAnsi="Times New Roman" w:cs="Times New Roman"/>
          <w:sz w:val="20"/>
          <w:szCs w:val="20"/>
        </w:rPr>
        <w:t>While analyzing data across trauma subscales was considered, the majority of individuals exposed to trauma had experienced more than one type of trauma and 74% of trauma-exposed individuals had experienced two or more traumas. Further, the only subscale for which there was a robust sample size was general disaster trauma (n=73); however, these individuals comprised 91% of the total trauma-exposed group. Thus, subscale-specific analyses were not performed, given the heterogeneity among the subscales and small sample sizes.</w:t>
      </w:r>
    </w:p>
    <w:p w14:paraId="74BE56F4" w14:textId="77777777" w:rsidR="00157EC7" w:rsidRDefault="00157E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1DE17CC" w14:textId="26AA77B0" w:rsidR="00792981" w:rsidRDefault="0079298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1F2791CF" w14:textId="45ECA0B5" w:rsidR="008A3376" w:rsidRPr="00E20B61" w:rsidRDefault="008A3376" w:rsidP="008A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0B6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Supplementary Table 1. </w:t>
      </w:r>
      <w:r w:rsidRPr="002641B7">
        <w:rPr>
          <w:rFonts w:ascii="Times New Roman" w:hAnsi="Times New Roman" w:cs="Times New Roman"/>
          <w:sz w:val="20"/>
          <w:szCs w:val="20"/>
        </w:rPr>
        <w:t>Sample Characteristics by Gender</w:t>
      </w:r>
    </w:p>
    <w:p w14:paraId="76EA9C39" w14:textId="77777777" w:rsidR="00C57814" w:rsidRPr="00E20B61" w:rsidRDefault="00C57814" w:rsidP="008A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45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3470"/>
        <w:gridCol w:w="539"/>
        <w:gridCol w:w="1477"/>
        <w:gridCol w:w="485"/>
        <w:gridCol w:w="1327"/>
        <w:gridCol w:w="894"/>
      </w:tblGrid>
      <w:tr w:rsidR="008A3376" w:rsidRPr="00E20B61" w14:paraId="477A2CFF" w14:textId="77777777" w:rsidTr="00A47764">
        <w:tc>
          <w:tcPr>
            <w:tcW w:w="1258" w:type="dxa"/>
          </w:tcPr>
          <w:p w14:paraId="4C116680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0" w:type="dxa"/>
          </w:tcPr>
          <w:p w14:paraId="52960E19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4"/>
          </w:tcPr>
          <w:p w14:paraId="61A7A780" w14:textId="03EA69EC" w:rsidR="008A3376" w:rsidRPr="00E20B61" w:rsidRDefault="008369F9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Gender</w:t>
            </w:r>
          </w:p>
        </w:tc>
        <w:tc>
          <w:tcPr>
            <w:tcW w:w="894" w:type="dxa"/>
            <w:vMerge w:val="restart"/>
            <w:vAlign w:val="bottom"/>
          </w:tcPr>
          <w:p w14:paraId="77D1D235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</w:tr>
      <w:tr w:rsidR="008A3376" w:rsidRPr="00E20B61" w14:paraId="5D028EAC" w14:textId="77777777" w:rsidTr="00A47764">
        <w:tc>
          <w:tcPr>
            <w:tcW w:w="1258" w:type="dxa"/>
          </w:tcPr>
          <w:p w14:paraId="351D0249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0" w:type="dxa"/>
          </w:tcPr>
          <w:p w14:paraId="34ED8795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6" w:type="dxa"/>
            <w:gridSpan w:val="2"/>
            <w:tcBorders>
              <w:bottom w:val="single" w:sz="6" w:space="0" w:color="auto"/>
            </w:tcBorders>
          </w:tcPr>
          <w:p w14:paraId="17772989" w14:textId="67D0EBC7" w:rsidR="008A3376" w:rsidRPr="00E20B61" w:rsidRDefault="008369F9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Female (N=78</w:t>
            </w:r>
            <w:r w:rsidR="008A3376" w:rsidRPr="00E20B6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14:paraId="51812E68" w14:textId="5992BFB2" w:rsidR="008A3376" w:rsidRPr="00E20B61" w:rsidRDefault="008369F9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Male (N=33</w:t>
            </w:r>
            <w:r w:rsidR="008A3376" w:rsidRPr="00E20B6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894" w:type="dxa"/>
            <w:vMerge/>
          </w:tcPr>
          <w:p w14:paraId="63DE2A1D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376" w:rsidRPr="00E20B61" w14:paraId="39F7046C" w14:textId="77777777" w:rsidTr="00A47764">
        <w:tc>
          <w:tcPr>
            <w:tcW w:w="1258" w:type="dxa"/>
            <w:tcBorders>
              <w:bottom w:val="single" w:sz="12" w:space="0" w:color="auto"/>
            </w:tcBorders>
          </w:tcPr>
          <w:p w14:paraId="46284B27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0" w:type="dxa"/>
            <w:tcBorders>
              <w:bottom w:val="single" w:sz="12" w:space="0" w:color="auto"/>
            </w:tcBorders>
          </w:tcPr>
          <w:p w14:paraId="12D7FBE0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auto"/>
              <w:bottom w:val="single" w:sz="12" w:space="0" w:color="auto"/>
            </w:tcBorders>
          </w:tcPr>
          <w:p w14:paraId="02E678A6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477" w:type="dxa"/>
            <w:tcBorders>
              <w:top w:val="single" w:sz="6" w:space="0" w:color="auto"/>
              <w:bottom w:val="single" w:sz="12" w:space="0" w:color="auto"/>
            </w:tcBorders>
          </w:tcPr>
          <w:p w14:paraId="5EAF3B97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Mean</w:t>
            </w:r>
            <w:r w:rsidRPr="00E20B61">
              <w:rPr>
                <w:rFonts w:ascii="Times New Roman" w:hAnsi="Times New Roman" w:cs="Times New Roman"/>
                <w:sz w:val="16"/>
                <w:szCs w:val="16"/>
              </w:rPr>
              <w:sym w:font="Symbol" w:char="F0B1"/>
            </w: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SD</w:t>
            </w:r>
          </w:p>
        </w:tc>
        <w:tc>
          <w:tcPr>
            <w:tcW w:w="485" w:type="dxa"/>
            <w:tcBorders>
              <w:top w:val="single" w:sz="6" w:space="0" w:color="auto"/>
              <w:bottom w:val="single" w:sz="12" w:space="0" w:color="auto"/>
            </w:tcBorders>
          </w:tcPr>
          <w:p w14:paraId="038DEE0C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12" w:space="0" w:color="auto"/>
            </w:tcBorders>
          </w:tcPr>
          <w:p w14:paraId="76F1F2D6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Mean</w:t>
            </w:r>
            <w:r w:rsidRPr="00E20B61">
              <w:rPr>
                <w:rFonts w:ascii="Times New Roman" w:hAnsi="Times New Roman" w:cs="Times New Roman"/>
                <w:sz w:val="16"/>
                <w:szCs w:val="16"/>
              </w:rPr>
              <w:sym w:font="Symbol" w:char="F0B1"/>
            </w: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SD</w:t>
            </w:r>
          </w:p>
        </w:tc>
        <w:tc>
          <w:tcPr>
            <w:tcW w:w="894" w:type="dxa"/>
            <w:vMerge/>
            <w:tcBorders>
              <w:bottom w:val="single" w:sz="12" w:space="0" w:color="auto"/>
            </w:tcBorders>
          </w:tcPr>
          <w:p w14:paraId="3AFDE996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376" w:rsidRPr="00E20B61" w14:paraId="308BF8E4" w14:textId="77777777" w:rsidTr="00A47764">
        <w:tc>
          <w:tcPr>
            <w:tcW w:w="1258" w:type="dxa"/>
            <w:vMerge w:val="restart"/>
            <w:tcBorders>
              <w:top w:val="single" w:sz="12" w:space="0" w:color="auto"/>
            </w:tcBorders>
          </w:tcPr>
          <w:p w14:paraId="54717069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Distress</w:t>
            </w:r>
          </w:p>
        </w:tc>
        <w:tc>
          <w:tcPr>
            <w:tcW w:w="3470" w:type="dxa"/>
            <w:tcBorders>
              <w:top w:val="single" w:sz="12" w:space="0" w:color="auto"/>
              <w:bottom w:val="nil"/>
            </w:tcBorders>
          </w:tcPr>
          <w:p w14:paraId="1EF2496F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Not Distressed</w:t>
            </w:r>
          </w:p>
        </w:tc>
        <w:tc>
          <w:tcPr>
            <w:tcW w:w="539" w:type="dxa"/>
            <w:tcBorders>
              <w:top w:val="single" w:sz="12" w:space="0" w:color="auto"/>
              <w:bottom w:val="nil"/>
            </w:tcBorders>
            <w:vAlign w:val="center"/>
          </w:tcPr>
          <w:p w14:paraId="4FF7E045" w14:textId="3C9F1652" w:rsidR="008A3376" w:rsidRPr="00E20B61" w:rsidRDefault="008369F9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47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6392B3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85" w:type="dxa"/>
            <w:tcBorders>
              <w:top w:val="single" w:sz="12" w:space="0" w:color="auto"/>
              <w:bottom w:val="nil"/>
            </w:tcBorders>
            <w:vAlign w:val="center"/>
          </w:tcPr>
          <w:p w14:paraId="4DFFE2D9" w14:textId="42CBAD9C" w:rsidR="008A3376" w:rsidRPr="00E20B61" w:rsidRDefault="008369F9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27" w:type="dxa"/>
            <w:vMerge w:val="restart"/>
            <w:tcBorders>
              <w:top w:val="single" w:sz="12" w:space="0" w:color="auto"/>
            </w:tcBorders>
            <w:vAlign w:val="center"/>
          </w:tcPr>
          <w:p w14:paraId="6CAE888E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894" w:type="dxa"/>
            <w:vMerge w:val="restart"/>
            <w:tcBorders>
              <w:top w:val="single" w:sz="12" w:space="0" w:color="auto"/>
            </w:tcBorders>
            <w:vAlign w:val="center"/>
          </w:tcPr>
          <w:p w14:paraId="7EB994BC" w14:textId="796DEF3B" w:rsidR="008A3376" w:rsidRPr="00E20B61" w:rsidRDefault="00096490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0.107</w:t>
            </w:r>
          </w:p>
        </w:tc>
      </w:tr>
      <w:tr w:rsidR="008A3376" w:rsidRPr="00E20B61" w14:paraId="1FCE1293" w14:textId="77777777" w:rsidTr="00A47764">
        <w:tc>
          <w:tcPr>
            <w:tcW w:w="1258" w:type="dxa"/>
            <w:vMerge/>
            <w:tcBorders>
              <w:bottom w:val="single" w:sz="6" w:space="0" w:color="auto"/>
            </w:tcBorders>
          </w:tcPr>
          <w:p w14:paraId="04D821C4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0" w:type="dxa"/>
            <w:tcBorders>
              <w:top w:val="nil"/>
              <w:bottom w:val="single" w:sz="6" w:space="0" w:color="auto"/>
            </w:tcBorders>
          </w:tcPr>
          <w:p w14:paraId="729414FF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Distressed</w:t>
            </w:r>
          </w:p>
        </w:tc>
        <w:tc>
          <w:tcPr>
            <w:tcW w:w="539" w:type="dxa"/>
            <w:tcBorders>
              <w:top w:val="nil"/>
              <w:bottom w:val="single" w:sz="6" w:space="0" w:color="auto"/>
            </w:tcBorders>
            <w:vAlign w:val="center"/>
          </w:tcPr>
          <w:p w14:paraId="35F66EB4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47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A01B0CE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bottom w:val="single" w:sz="6" w:space="0" w:color="auto"/>
            </w:tcBorders>
            <w:vAlign w:val="center"/>
          </w:tcPr>
          <w:p w14:paraId="3DE89844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27" w:type="dxa"/>
            <w:vMerge/>
            <w:tcBorders>
              <w:bottom w:val="single" w:sz="6" w:space="0" w:color="auto"/>
            </w:tcBorders>
            <w:vAlign w:val="center"/>
          </w:tcPr>
          <w:p w14:paraId="1F2642D8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bottom w:val="single" w:sz="6" w:space="0" w:color="auto"/>
            </w:tcBorders>
            <w:vAlign w:val="center"/>
          </w:tcPr>
          <w:p w14:paraId="19DF1FA7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376" w:rsidRPr="00E20B61" w14:paraId="74203B13" w14:textId="77777777" w:rsidTr="00A47764">
        <w:tc>
          <w:tcPr>
            <w:tcW w:w="1258" w:type="dxa"/>
            <w:vMerge w:val="restart"/>
            <w:tcBorders>
              <w:top w:val="single" w:sz="6" w:space="0" w:color="auto"/>
            </w:tcBorders>
          </w:tcPr>
          <w:p w14:paraId="3FAB6120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Race</w:t>
            </w:r>
          </w:p>
        </w:tc>
        <w:tc>
          <w:tcPr>
            <w:tcW w:w="3470" w:type="dxa"/>
            <w:tcBorders>
              <w:top w:val="single" w:sz="6" w:space="0" w:color="auto"/>
            </w:tcBorders>
          </w:tcPr>
          <w:p w14:paraId="2CB9ECA8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White</w:t>
            </w:r>
          </w:p>
        </w:tc>
        <w:tc>
          <w:tcPr>
            <w:tcW w:w="539" w:type="dxa"/>
            <w:tcBorders>
              <w:top w:val="single" w:sz="6" w:space="0" w:color="auto"/>
            </w:tcBorders>
            <w:vAlign w:val="center"/>
          </w:tcPr>
          <w:p w14:paraId="73B8AF50" w14:textId="4757347D" w:rsidR="008A3376" w:rsidRPr="00E20B61" w:rsidRDefault="008369F9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477" w:type="dxa"/>
            <w:vMerge w:val="restart"/>
            <w:tcBorders>
              <w:top w:val="single" w:sz="6" w:space="0" w:color="auto"/>
            </w:tcBorders>
            <w:vAlign w:val="center"/>
          </w:tcPr>
          <w:p w14:paraId="0F2A7871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85" w:type="dxa"/>
            <w:tcBorders>
              <w:top w:val="single" w:sz="6" w:space="0" w:color="auto"/>
            </w:tcBorders>
            <w:vAlign w:val="center"/>
          </w:tcPr>
          <w:p w14:paraId="6B5B3B93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</w:tcBorders>
            <w:vAlign w:val="center"/>
          </w:tcPr>
          <w:p w14:paraId="26095CE8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</w:tcBorders>
            <w:vAlign w:val="center"/>
          </w:tcPr>
          <w:p w14:paraId="503DF657" w14:textId="5F16132D" w:rsidR="008A3376" w:rsidRPr="00E20B61" w:rsidRDefault="00096490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0.619</w:t>
            </w:r>
          </w:p>
        </w:tc>
      </w:tr>
      <w:tr w:rsidR="008A3376" w:rsidRPr="00E20B61" w14:paraId="23BCA068" w14:textId="77777777" w:rsidTr="00A47764">
        <w:tc>
          <w:tcPr>
            <w:tcW w:w="1258" w:type="dxa"/>
            <w:vMerge/>
          </w:tcPr>
          <w:p w14:paraId="13872F15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0" w:type="dxa"/>
          </w:tcPr>
          <w:p w14:paraId="4425F0C0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Black or African American</w:t>
            </w:r>
          </w:p>
        </w:tc>
        <w:tc>
          <w:tcPr>
            <w:tcW w:w="539" w:type="dxa"/>
            <w:vAlign w:val="center"/>
          </w:tcPr>
          <w:p w14:paraId="7E91D175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77" w:type="dxa"/>
            <w:vMerge/>
            <w:vAlign w:val="center"/>
          </w:tcPr>
          <w:p w14:paraId="3B1D824B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14:paraId="761C5CC5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7" w:type="dxa"/>
            <w:vMerge/>
            <w:vAlign w:val="center"/>
          </w:tcPr>
          <w:p w14:paraId="391FF67D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vMerge/>
            <w:vAlign w:val="center"/>
          </w:tcPr>
          <w:p w14:paraId="1A3FFC3E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376" w:rsidRPr="00E20B61" w14:paraId="71269461" w14:textId="77777777" w:rsidTr="00A47764">
        <w:tc>
          <w:tcPr>
            <w:tcW w:w="1258" w:type="dxa"/>
            <w:vMerge/>
          </w:tcPr>
          <w:p w14:paraId="16626D02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0" w:type="dxa"/>
          </w:tcPr>
          <w:p w14:paraId="58FC942E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Asian</w:t>
            </w:r>
          </w:p>
        </w:tc>
        <w:tc>
          <w:tcPr>
            <w:tcW w:w="539" w:type="dxa"/>
            <w:vAlign w:val="center"/>
          </w:tcPr>
          <w:p w14:paraId="6CCD9A3A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77" w:type="dxa"/>
            <w:vMerge/>
            <w:vAlign w:val="center"/>
          </w:tcPr>
          <w:p w14:paraId="26A28408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14:paraId="43AFDC2E" w14:textId="51AB85CA" w:rsidR="008A3376" w:rsidRPr="00E20B61" w:rsidRDefault="008369F9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7" w:type="dxa"/>
            <w:vMerge/>
            <w:vAlign w:val="center"/>
          </w:tcPr>
          <w:p w14:paraId="4C9EB02B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vMerge/>
            <w:vAlign w:val="center"/>
          </w:tcPr>
          <w:p w14:paraId="7ED94B31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376" w:rsidRPr="00E20B61" w14:paraId="33D92C31" w14:textId="77777777" w:rsidTr="00A47764">
        <w:tc>
          <w:tcPr>
            <w:tcW w:w="1258" w:type="dxa"/>
            <w:vMerge/>
            <w:tcBorders>
              <w:bottom w:val="single" w:sz="6" w:space="0" w:color="auto"/>
            </w:tcBorders>
          </w:tcPr>
          <w:p w14:paraId="7017378F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0" w:type="dxa"/>
            <w:tcBorders>
              <w:bottom w:val="single" w:sz="6" w:space="0" w:color="auto"/>
            </w:tcBorders>
          </w:tcPr>
          <w:p w14:paraId="45BB5F90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More than one race</w:t>
            </w:r>
          </w:p>
        </w:tc>
        <w:tc>
          <w:tcPr>
            <w:tcW w:w="539" w:type="dxa"/>
            <w:tcBorders>
              <w:bottom w:val="single" w:sz="6" w:space="0" w:color="auto"/>
            </w:tcBorders>
            <w:vAlign w:val="center"/>
          </w:tcPr>
          <w:p w14:paraId="404DDF78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7" w:type="dxa"/>
            <w:vMerge/>
            <w:tcBorders>
              <w:bottom w:val="single" w:sz="6" w:space="0" w:color="auto"/>
            </w:tcBorders>
            <w:vAlign w:val="center"/>
          </w:tcPr>
          <w:p w14:paraId="0682D55D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bottom w:val="single" w:sz="6" w:space="0" w:color="auto"/>
            </w:tcBorders>
            <w:vAlign w:val="center"/>
          </w:tcPr>
          <w:p w14:paraId="6440114C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27" w:type="dxa"/>
            <w:vMerge/>
            <w:tcBorders>
              <w:bottom w:val="single" w:sz="6" w:space="0" w:color="auto"/>
            </w:tcBorders>
            <w:vAlign w:val="center"/>
          </w:tcPr>
          <w:p w14:paraId="08E47983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bottom w:val="single" w:sz="6" w:space="0" w:color="auto"/>
            </w:tcBorders>
            <w:vAlign w:val="center"/>
          </w:tcPr>
          <w:p w14:paraId="40165574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376" w:rsidRPr="00E20B61" w14:paraId="03F6FF3E" w14:textId="77777777" w:rsidTr="00A47764">
        <w:tc>
          <w:tcPr>
            <w:tcW w:w="1258" w:type="dxa"/>
            <w:tcBorders>
              <w:top w:val="single" w:sz="6" w:space="0" w:color="auto"/>
              <w:bottom w:val="single" w:sz="6" w:space="0" w:color="auto"/>
            </w:tcBorders>
          </w:tcPr>
          <w:p w14:paraId="2D81209B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3470" w:type="dxa"/>
            <w:tcBorders>
              <w:top w:val="single" w:sz="6" w:space="0" w:color="auto"/>
              <w:bottom w:val="single" w:sz="6" w:space="0" w:color="auto"/>
            </w:tcBorders>
          </w:tcPr>
          <w:p w14:paraId="4DCC94C1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737DAA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4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8BC86" w14:textId="52ADC4DD" w:rsidR="008A3376" w:rsidRPr="00E20B61" w:rsidRDefault="008369F9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21.58</w:t>
            </w:r>
            <w:r w:rsidR="008A3376" w:rsidRPr="00E20B61">
              <w:rPr>
                <w:rFonts w:ascii="Times New Roman" w:hAnsi="Times New Roman" w:cs="Times New Roman"/>
                <w:sz w:val="16"/>
                <w:szCs w:val="16"/>
              </w:rPr>
              <w:sym w:font="Symbol" w:char="F0B1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1.85</w:t>
            </w: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552B63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6E2C1D" w14:textId="2A2756F3" w:rsidR="008A3376" w:rsidRPr="00E20B61" w:rsidRDefault="008369F9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22.10</w:t>
            </w:r>
            <w:r w:rsidR="008A3376" w:rsidRPr="00E20B61">
              <w:rPr>
                <w:rFonts w:ascii="Times New Roman" w:hAnsi="Times New Roman" w:cs="Times New Roman"/>
                <w:sz w:val="16"/>
                <w:szCs w:val="16"/>
              </w:rPr>
              <w:sym w:font="Symbol" w:char="F0B1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2.16</w:t>
            </w:r>
          </w:p>
        </w:tc>
        <w:tc>
          <w:tcPr>
            <w:tcW w:w="8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9F2263" w14:textId="732A28E3" w:rsidR="008A3376" w:rsidRPr="00E20B61" w:rsidRDefault="00096490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0.230</w:t>
            </w:r>
          </w:p>
        </w:tc>
      </w:tr>
      <w:tr w:rsidR="008A3376" w:rsidRPr="00E20B61" w14:paraId="52C204DA" w14:textId="77777777" w:rsidTr="00A47764">
        <w:tc>
          <w:tcPr>
            <w:tcW w:w="1258" w:type="dxa"/>
            <w:tcBorders>
              <w:top w:val="single" w:sz="6" w:space="0" w:color="auto"/>
              <w:bottom w:val="single" w:sz="6" w:space="0" w:color="auto"/>
            </w:tcBorders>
          </w:tcPr>
          <w:p w14:paraId="35AAA7BE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IQ</w:t>
            </w:r>
          </w:p>
        </w:tc>
        <w:tc>
          <w:tcPr>
            <w:tcW w:w="3470" w:type="dxa"/>
            <w:tcBorders>
              <w:top w:val="single" w:sz="6" w:space="0" w:color="auto"/>
              <w:bottom w:val="single" w:sz="6" w:space="0" w:color="auto"/>
            </w:tcBorders>
          </w:tcPr>
          <w:p w14:paraId="6EF20308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6B3008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4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1E92ED" w14:textId="530C40E9" w:rsidR="008A3376" w:rsidRPr="00E20B61" w:rsidRDefault="008369F9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107.33</w:t>
            </w:r>
            <w:r w:rsidR="008A3376" w:rsidRPr="00E20B61">
              <w:rPr>
                <w:rFonts w:ascii="Times New Roman" w:hAnsi="Times New Roman" w:cs="Times New Roman"/>
                <w:sz w:val="16"/>
                <w:szCs w:val="16"/>
              </w:rPr>
              <w:sym w:font="Symbol" w:char="F0B1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7.22</w:t>
            </w: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F756C8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C8F17A" w14:textId="0E41C04D" w:rsidR="008A3376" w:rsidRPr="00E20B61" w:rsidRDefault="008369F9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110.14</w:t>
            </w:r>
            <w:r w:rsidR="008A3376" w:rsidRPr="00E20B61">
              <w:rPr>
                <w:rFonts w:ascii="Times New Roman" w:hAnsi="Times New Roman" w:cs="Times New Roman"/>
                <w:sz w:val="16"/>
                <w:szCs w:val="16"/>
              </w:rPr>
              <w:sym w:font="Symbol" w:char="F0B1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8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E49F59" w14:textId="3F92E147" w:rsidR="008A3376" w:rsidRPr="00E20B61" w:rsidRDefault="00096490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0.061</w:t>
            </w:r>
          </w:p>
        </w:tc>
      </w:tr>
      <w:tr w:rsidR="008A3376" w:rsidRPr="00E20B61" w14:paraId="47344F87" w14:textId="77777777" w:rsidTr="00A47764">
        <w:tc>
          <w:tcPr>
            <w:tcW w:w="1258" w:type="dxa"/>
            <w:vMerge w:val="restart"/>
            <w:tcBorders>
              <w:top w:val="single" w:sz="6" w:space="0" w:color="auto"/>
            </w:tcBorders>
          </w:tcPr>
          <w:p w14:paraId="78411235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Affective Symptoms</w:t>
            </w:r>
          </w:p>
        </w:tc>
        <w:tc>
          <w:tcPr>
            <w:tcW w:w="3470" w:type="dxa"/>
            <w:tcBorders>
              <w:top w:val="single" w:sz="6" w:space="0" w:color="auto"/>
            </w:tcBorders>
          </w:tcPr>
          <w:p w14:paraId="7364747C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Anxiety (HAMA)</w:t>
            </w:r>
          </w:p>
        </w:tc>
        <w:tc>
          <w:tcPr>
            <w:tcW w:w="539" w:type="dxa"/>
            <w:tcBorders>
              <w:top w:val="single" w:sz="6" w:space="0" w:color="auto"/>
            </w:tcBorders>
            <w:vAlign w:val="center"/>
          </w:tcPr>
          <w:p w14:paraId="6FD5B55A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477" w:type="dxa"/>
            <w:tcBorders>
              <w:top w:val="single" w:sz="6" w:space="0" w:color="auto"/>
            </w:tcBorders>
            <w:vAlign w:val="center"/>
          </w:tcPr>
          <w:p w14:paraId="749B24B8" w14:textId="1E997C14" w:rsidR="008A3376" w:rsidRPr="00E20B61" w:rsidRDefault="008369F9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7.24</w:t>
            </w:r>
            <w:r w:rsidR="008A3376" w:rsidRPr="00E20B61">
              <w:rPr>
                <w:rFonts w:ascii="Times New Roman" w:hAnsi="Times New Roman" w:cs="Times New Roman"/>
                <w:sz w:val="16"/>
                <w:szCs w:val="16"/>
              </w:rPr>
              <w:sym w:font="Symbol" w:char="F0B1"/>
            </w:r>
            <w:r w:rsidR="008A3376" w:rsidRPr="00E20B61">
              <w:rPr>
                <w:rFonts w:ascii="Times New Roman" w:hAnsi="Times New Roman" w:cs="Times New Roman"/>
                <w:sz w:val="16"/>
                <w:szCs w:val="16"/>
              </w:rPr>
              <w:t>7.96</w:t>
            </w:r>
          </w:p>
        </w:tc>
        <w:tc>
          <w:tcPr>
            <w:tcW w:w="485" w:type="dxa"/>
            <w:tcBorders>
              <w:top w:val="single" w:sz="6" w:space="0" w:color="auto"/>
            </w:tcBorders>
            <w:vAlign w:val="center"/>
          </w:tcPr>
          <w:p w14:paraId="7EDC9DC0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27" w:type="dxa"/>
            <w:tcBorders>
              <w:top w:val="single" w:sz="6" w:space="0" w:color="auto"/>
            </w:tcBorders>
            <w:vAlign w:val="center"/>
          </w:tcPr>
          <w:p w14:paraId="709CD924" w14:textId="7CBB7EB3" w:rsidR="008A3376" w:rsidRPr="00E20B61" w:rsidRDefault="00096490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2.52</w:t>
            </w:r>
            <w:r w:rsidR="008A3376" w:rsidRPr="00E20B61">
              <w:rPr>
                <w:rFonts w:ascii="Times New Roman" w:hAnsi="Times New Roman" w:cs="Times New Roman"/>
                <w:sz w:val="16"/>
                <w:szCs w:val="16"/>
              </w:rPr>
              <w:sym w:font="Symbol" w:char="F0B1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4.64</w:t>
            </w:r>
          </w:p>
        </w:tc>
        <w:tc>
          <w:tcPr>
            <w:tcW w:w="894" w:type="dxa"/>
            <w:tcBorders>
              <w:top w:val="single" w:sz="6" w:space="0" w:color="auto"/>
            </w:tcBorders>
            <w:vAlign w:val="center"/>
          </w:tcPr>
          <w:p w14:paraId="4C4326CC" w14:textId="07ACA3FD" w:rsidR="008A3376" w:rsidRPr="00E20B61" w:rsidRDefault="00096490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</w:tr>
      <w:tr w:rsidR="008A3376" w:rsidRPr="00E20B61" w14:paraId="41C5C406" w14:textId="77777777" w:rsidTr="00A47764">
        <w:tc>
          <w:tcPr>
            <w:tcW w:w="1258" w:type="dxa"/>
            <w:vMerge/>
          </w:tcPr>
          <w:p w14:paraId="3CDBCBB4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0" w:type="dxa"/>
          </w:tcPr>
          <w:p w14:paraId="5722942D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Depression (HRSD)</w:t>
            </w:r>
          </w:p>
        </w:tc>
        <w:tc>
          <w:tcPr>
            <w:tcW w:w="539" w:type="dxa"/>
            <w:vAlign w:val="center"/>
          </w:tcPr>
          <w:p w14:paraId="649B6FBE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477" w:type="dxa"/>
            <w:vAlign w:val="center"/>
          </w:tcPr>
          <w:p w14:paraId="3A1AAD5B" w14:textId="3D55A824" w:rsidR="008A3376" w:rsidRPr="00E20B61" w:rsidRDefault="008369F9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8.69</w:t>
            </w:r>
            <w:r w:rsidR="008A3376" w:rsidRPr="00E20B61">
              <w:rPr>
                <w:rFonts w:ascii="Times New Roman" w:hAnsi="Times New Roman" w:cs="Times New Roman"/>
                <w:sz w:val="16"/>
                <w:szCs w:val="16"/>
              </w:rPr>
              <w:sym w:font="Symbol" w:char="F0B1"/>
            </w:r>
            <w:r w:rsidR="008A3376" w:rsidRPr="00E20B61">
              <w:rPr>
                <w:rFonts w:ascii="Times New Roman" w:hAnsi="Times New Roman" w:cs="Times New Roman"/>
                <w:sz w:val="16"/>
                <w:szCs w:val="16"/>
              </w:rPr>
              <w:t>9.00</w:t>
            </w:r>
          </w:p>
        </w:tc>
        <w:tc>
          <w:tcPr>
            <w:tcW w:w="485" w:type="dxa"/>
            <w:vAlign w:val="center"/>
          </w:tcPr>
          <w:p w14:paraId="2C795407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27" w:type="dxa"/>
            <w:vAlign w:val="center"/>
          </w:tcPr>
          <w:p w14:paraId="45994D76" w14:textId="63DB41CF" w:rsidR="008A3376" w:rsidRPr="00E20B61" w:rsidRDefault="00096490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3.58</w:t>
            </w:r>
            <w:r w:rsidR="008A3376" w:rsidRPr="00E20B61">
              <w:rPr>
                <w:rFonts w:ascii="Times New Roman" w:hAnsi="Times New Roman" w:cs="Times New Roman"/>
                <w:sz w:val="16"/>
                <w:szCs w:val="16"/>
              </w:rPr>
              <w:sym w:font="Symbol" w:char="F0B1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6.15</w:t>
            </w:r>
          </w:p>
        </w:tc>
        <w:tc>
          <w:tcPr>
            <w:tcW w:w="894" w:type="dxa"/>
            <w:vAlign w:val="center"/>
          </w:tcPr>
          <w:p w14:paraId="253D7532" w14:textId="2093B291" w:rsidR="008A3376" w:rsidRPr="00E20B61" w:rsidRDefault="00096490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</w:tr>
      <w:tr w:rsidR="008A3376" w:rsidRPr="00E20B61" w14:paraId="289B0EDE" w14:textId="77777777" w:rsidTr="00A47764">
        <w:tc>
          <w:tcPr>
            <w:tcW w:w="1258" w:type="dxa"/>
            <w:vMerge/>
          </w:tcPr>
          <w:p w14:paraId="5AFDF13F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0" w:type="dxa"/>
          </w:tcPr>
          <w:p w14:paraId="5B1CDA46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Anhedonic Depression (MASQ-AD)</w:t>
            </w:r>
          </w:p>
        </w:tc>
        <w:tc>
          <w:tcPr>
            <w:tcW w:w="539" w:type="dxa"/>
            <w:vAlign w:val="center"/>
          </w:tcPr>
          <w:p w14:paraId="7CEE87D7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477" w:type="dxa"/>
            <w:vAlign w:val="center"/>
          </w:tcPr>
          <w:p w14:paraId="65DE5032" w14:textId="688FF47A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2.90</w:t>
            </w:r>
            <w:r w:rsidRPr="00E20B61">
              <w:rPr>
                <w:rFonts w:ascii="Times New Roman" w:hAnsi="Times New Roman" w:cs="Times New Roman"/>
                <w:sz w:val="16"/>
                <w:szCs w:val="16"/>
              </w:rPr>
              <w:sym w:font="Symbol" w:char="F0B1"/>
            </w:r>
            <w:r w:rsidR="008369F9"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485" w:type="dxa"/>
            <w:vAlign w:val="center"/>
          </w:tcPr>
          <w:p w14:paraId="1CB76934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27" w:type="dxa"/>
            <w:vAlign w:val="center"/>
          </w:tcPr>
          <w:p w14:paraId="434BBDF7" w14:textId="6A3C5EF2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2.52</w:t>
            </w:r>
            <w:r w:rsidRPr="00E20B61">
              <w:rPr>
                <w:rFonts w:ascii="Times New Roman" w:hAnsi="Times New Roman" w:cs="Times New Roman"/>
                <w:sz w:val="16"/>
                <w:szCs w:val="16"/>
              </w:rPr>
              <w:sym w:font="Symbol" w:char="F0B1"/>
            </w:r>
            <w:r w:rsidR="00096490"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894" w:type="dxa"/>
            <w:vAlign w:val="center"/>
          </w:tcPr>
          <w:p w14:paraId="4BC390E9" w14:textId="54247648" w:rsidR="008A3376" w:rsidRPr="00E20B61" w:rsidRDefault="00096490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0.019</w:t>
            </w:r>
          </w:p>
        </w:tc>
      </w:tr>
      <w:tr w:rsidR="008A3376" w:rsidRPr="00E20B61" w14:paraId="50BFF392" w14:textId="77777777" w:rsidTr="00A47764">
        <w:tc>
          <w:tcPr>
            <w:tcW w:w="1258" w:type="dxa"/>
            <w:vMerge/>
          </w:tcPr>
          <w:p w14:paraId="5F96146B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0" w:type="dxa"/>
          </w:tcPr>
          <w:p w14:paraId="1B9A2870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Anxious Arousal (MASQ-AA)</w:t>
            </w:r>
          </w:p>
        </w:tc>
        <w:tc>
          <w:tcPr>
            <w:tcW w:w="539" w:type="dxa"/>
            <w:vAlign w:val="center"/>
          </w:tcPr>
          <w:p w14:paraId="040E02D2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477" w:type="dxa"/>
            <w:vAlign w:val="center"/>
          </w:tcPr>
          <w:p w14:paraId="288ED342" w14:textId="1EC3FE44" w:rsidR="008A3376" w:rsidRPr="00E20B61" w:rsidRDefault="008369F9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1.45</w:t>
            </w:r>
            <w:r w:rsidR="008A3376" w:rsidRPr="00E20B61">
              <w:rPr>
                <w:rFonts w:ascii="Times New Roman" w:hAnsi="Times New Roman" w:cs="Times New Roman"/>
                <w:sz w:val="16"/>
                <w:szCs w:val="16"/>
              </w:rPr>
              <w:sym w:font="Symbol" w:char="F0B1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485" w:type="dxa"/>
            <w:vAlign w:val="center"/>
          </w:tcPr>
          <w:p w14:paraId="0A4B61D2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27" w:type="dxa"/>
            <w:vAlign w:val="center"/>
          </w:tcPr>
          <w:p w14:paraId="08F47CC6" w14:textId="42EA3E06" w:rsidR="008A3376" w:rsidRPr="00E20B61" w:rsidRDefault="00096490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1.19</w:t>
            </w:r>
            <w:r w:rsidR="008A3376" w:rsidRPr="00E20B61">
              <w:rPr>
                <w:rFonts w:ascii="Times New Roman" w:hAnsi="Times New Roman" w:cs="Times New Roman"/>
                <w:sz w:val="16"/>
                <w:szCs w:val="16"/>
              </w:rPr>
              <w:sym w:font="Symbol" w:char="F0B1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894" w:type="dxa"/>
            <w:vAlign w:val="center"/>
          </w:tcPr>
          <w:p w14:paraId="26637659" w14:textId="1B57FFB5" w:rsidR="008A3376" w:rsidRPr="00E20B61" w:rsidRDefault="00096490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</w:tr>
      <w:tr w:rsidR="008369F9" w:rsidRPr="00E20B61" w14:paraId="46FF07C0" w14:textId="77777777" w:rsidTr="00A47764">
        <w:tc>
          <w:tcPr>
            <w:tcW w:w="1258" w:type="dxa"/>
          </w:tcPr>
          <w:p w14:paraId="47B861DE" w14:textId="77777777" w:rsidR="008369F9" w:rsidRPr="00E20B61" w:rsidRDefault="008369F9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0" w:type="dxa"/>
            <w:tcBorders>
              <w:bottom w:val="nil"/>
            </w:tcBorders>
          </w:tcPr>
          <w:p w14:paraId="078F6B87" w14:textId="191AA0E0" w:rsidR="008369F9" w:rsidRPr="00E20B61" w:rsidRDefault="008369F9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Anhedonia (SHAPS)</w:t>
            </w:r>
          </w:p>
        </w:tc>
        <w:tc>
          <w:tcPr>
            <w:tcW w:w="539" w:type="dxa"/>
            <w:tcBorders>
              <w:bottom w:val="nil"/>
            </w:tcBorders>
            <w:vAlign w:val="center"/>
          </w:tcPr>
          <w:p w14:paraId="241CC069" w14:textId="08E7998B" w:rsidR="008369F9" w:rsidRPr="00E20B61" w:rsidRDefault="008369F9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477" w:type="dxa"/>
            <w:tcBorders>
              <w:bottom w:val="nil"/>
            </w:tcBorders>
            <w:vAlign w:val="center"/>
          </w:tcPr>
          <w:p w14:paraId="7E0E2F9E" w14:textId="1D02DFF8" w:rsidR="008369F9" w:rsidRDefault="00096490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22.51</w:t>
            </w:r>
            <w:r w:rsidRPr="00E20B61">
              <w:rPr>
                <w:rFonts w:ascii="Times New Roman" w:hAnsi="Times New Roman" w:cs="Times New Roman"/>
                <w:sz w:val="16"/>
                <w:szCs w:val="16"/>
              </w:rPr>
              <w:sym w:font="Symbol" w:char="F0B1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8.00</w:t>
            </w:r>
          </w:p>
        </w:tc>
        <w:tc>
          <w:tcPr>
            <w:tcW w:w="485" w:type="dxa"/>
            <w:tcBorders>
              <w:bottom w:val="nil"/>
            </w:tcBorders>
            <w:vAlign w:val="center"/>
          </w:tcPr>
          <w:p w14:paraId="0145B870" w14:textId="17181469" w:rsidR="008369F9" w:rsidRPr="00E20B61" w:rsidRDefault="008369F9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27" w:type="dxa"/>
            <w:tcBorders>
              <w:bottom w:val="nil"/>
            </w:tcBorders>
            <w:vAlign w:val="center"/>
          </w:tcPr>
          <w:p w14:paraId="6AC153DC" w14:textId="075CB2EB" w:rsidR="008369F9" w:rsidRPr="00E20B61" w:rsidRDefault="00096490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22.45</w:t>
            </w:r>
            <w:r w:rsidRPr="00E20B61">
              <w:rPr>
                <w:rFonts w:ascii="Times New Roman" w:hAnsi="Times New Roman" w:cs="Times New Roman"/>
                <w:sz w:val="16"/>
                <w:szCs w:val="16"/>
              </w:rPr>
              <w:sym w:font="Symbol" w:char="F0B1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6.16</w:t>
            </w:r>
          </w:p>
        </w:tc>
        <w:tc>
          <w:tcPr>
            <w:tcW w:w="894" w:type="dxa"/>
            <w:tcBorders>
              <w:bottom w:val="nil"/>
            </w:tcBorders>
            <w:vAlign w:val="center"/>
          </w:tcPr>
          <w:p w14:paraId="15BB2173" w14:textId="280CF365" w:rsidR="008369F9" w:rsidRPr="00E20B61" w:rsidRDefault="00096490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0.967</w:t>
            </w:r>
          </w:p>
        </w:tc>
      </w:tr>
      <w:tr w:rsidR="008A3376" w:rsidRPr="00E20B61" w14:paraId="1AF1C7C8" w14:textId="77777777" w:rsidTr="00A47764">
        <w:tc>
          <w:tcPr>
            <w:tcW w:w="1258" w:type="dxa"/>
            <w:tcBorders>
              <w:top w:val="single" w:sz="6" w:space="0" w:color="auto"/>
              <w:bottom w:val="single" w:sz="12" w:space="0" w:color="auto"/>
            </w:tcBorders>
          </w:tcPr>
          <w:p w14:paraId="699053B2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Trauma</w:t>
            </w:r>
          </w:p>
        </w:tc>
        <w:tc>
          <w:tcPr>
            <w:tcW w:w="3470" w:type="dxa"/>
            <w:tcBorders>
              <w:top w:val="single" w:sz="6" w:space="0" w:color="auto"/>
              <w:bottom w:val="single" w:sz="12" w:space="0" w:color="auto"/>
            </w:tcBorders>
          </w:tcPr>
          <w:p w14:paraId="60E7CB8C" w14:textId="77777777" w:rsidR="008A3376" w:rsidRPr="00E20B61" w:rsidRDefault="008A3376" w:rsidP="00A477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Events (THQ)</w:t>
            </w:r>
          </w:p>
        </w:tc>
        <w:tc>
          <w:tcPr>
            <w:tcW w:w="53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778ABAD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47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B5EE251" w14:textId="77979442" w:rsidR="008A3376" w:rsidRPr="00E20B61" w:rsidRDefault="00096490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2.23</w:t>
            </w:r>
            <w:r w:rsidR="008A3376" w:rsidRPr="00E20B61">
              <w:rPr>
                <w:rFonts w:ascii="Times New Roman" w:hAnsi="Times New Roman" w:cs="Times New Roman"/>
                <w:sz w:val="16"/>
                <w:szCs w:val="16"/>
              </w:rPr>
              <w:sym w:font="Symbol" w:char="F0B1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2.04</w:t>
            </w:r>
          </w:p>
        </w:tc>
        <w:tc>
          <w:tcPr>
            <w:tcW w:w="4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21D086D" w14:textId="77777777" w:rsidR="008A3376" w:rsidRPr="00E20B61" w:rsidRDefault="008A337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D936FB" w14:textId="50725592" w:rsidR="008A3376" w:rsidRPr="00E20B61" w:rsidRDefault="00096490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1.42</w:t>
            </w:r>
            <w:r w:rsidR="008A3376" w:rsidRPr="00E20B61">
              <w:rPr>
                <w:rFonts w:ascii="Times New Roman" w:hAnsi="Times New Roman" w:cs="Times New Roman"/>
                <w:sz w:val="16"/>
                <w:szCs w:val="16"/>
              </w:rPr>
              <w:sym w:font="Symbol" w:char="F0B1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1.52</w:t>
            </w:r>
          </w:p>
        </w:tc>
        <w:tc>
          <w:tcPr>
            <w:tcW w:w="8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E1F1EEA" w14:textId="40104A87" w:rsidR="008A3376" w:rsidRPr="00E20B61" w:rsidRDefault="00390F96" w:rsidP="00A4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0.044</w:t>
            </w:r>
          </w:p>
        </w:tc>
      </w:tr>
      <w:tr w:rsidR="008A3376" w:rsidRPr="00E20B61" w14:paraId="7480AF7B" w14:textId="77777777" w:rsidTr="00A47764">
        <w:tc>
          <w:tcPr>
            <w:tcW w:w="9450" w:type="dxa"/>
            <w:gridSpan w:val="7"/>
            <w:tcBorders>
              <w:top w:val="single" w:sz="12" w:space="0" w:color="auto"/>
              <w:bottom w:val="nil"/>
            </w:tcBorders>
          </w:tcPr>
          <w:p w14:paraId="488A1627" w14:textId="3CB6336D" w:rsidR="008A3376" w:rsidRPr="00E20B61" w:rsidRDefault="008A3376" w:rsidP="00E20B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 xml:space="preserve">HAMA, Hamilton Anxiety Rating Scale; HRSD, Hamilton Depression Rating Scale; MASQ-AA, Mood and Anxiety Symptom Questionnaire – Anxious Arousal; MASQ-AD, Mood and Anxiety Symptom Questionnaire – Anhedonic Depression; </w:t>
            </w:r>
            <w:r w:rsidR="00096490">
              <w:rPr>
                <w:rFonts w:ascii="Times New Roman" w:hAnsi="Times New Roman" w:cs="Times New Roman"/>
                <w:sz w:val="16"/>
                <w:szCs w:val="16"/>
              </w:rPr>
              <w:t xml:space="preserve">SHAPS, Snaith-Hamilton Pleasure Scale; </w:t>
            </w: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THQ, Trauma History Questionnaire</w:t>
            </w:r>
          </w:p>
        </w:tc>
      </w:tr>
    </w:tbl>
    <w:p w14:paraId="08748490" w14:textId="77777777" w:rsidR="0095525A" w:rsidRDefault="0095525A" w:rsidP="00C7652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2C86D60" w14:textId="77777777" w:rsidR="00565FC8" w:rsidRDefault="009552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565FC8" w:rsidSect="00345603">
          <w:footerReference w:type="even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34C78726" w14:textId="7FB037D3" w:rsidR="0095525A" w:rsidRDefault="00565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Supplementary Table 2. </w:t>
      </w:r>
      <w:r>
        <w:rPr>
          <w:rFonts w:ascii="Times New Roman" w:hAnsi="Times New Roman" w:cs="Times New Roman"/>
          <w:sz w:val="20"/>
          <w:szCs w:val="20"/>
        </w:rPr>
        <w:t xml:space="preserve">Multiple linear regression analyses </w:t>
      </w:r>
      <w:r w:rsidR="00EA6779">
        <w:rPr>
          <w:rFonts w:ascii="Times New Roman" w:hAnsi="Times New Roman" w:cs="Times New Roman"/>
          <w:sz w:val="20"/>
          <w:szCs w:val="20"/>
        </w:rPr>
        <w:t>by gender</w:t>
      </w:r>
      <w:r>
        <w:rPr>
          <w:rFonts w:ascii="Times New Roman" w:hAnsi="Times New Roman" w:cs="Times New Roman"/>
          <w:sz w:val="20"/>
          <w:szCs w:val="20"/>
        </w:rPr>
        <w:t>.</w:t>
      </w:r>
      <w:r w:rsidR="007754F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3C7A34" w14:textId="77777777" w:rsidR="00565FC8" w:rsidRDefault="00565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3140" w:type="dxa"/>
        <w:tblLayout w:type="fixed"/>
        <w:tblLook w:val="04A0" w:firstRow="1" w:lastRow="0" w:firstColumn="1" w:lastColumn="0" w:noHBand="0" w:noVBand="1"/>
      </w:tblPr>
      <w:tblGrid>
        <w:gridCol w:w="2790"/>
        <w:gridCol w:w="990"/>
        <w:gridCol w:w="540"/>
        <w:gridCol w:w="540"/>
        <w:gridCol w:w="990"/>
        <w:gridCol w:w="540"/>
        <w:gridCol w:w="540"/>
        <w:gridCol w:w="990"/>
        <w:gridCol w:w="540"/>
        <w:gridCol w:w="540"/>
        <w:gridCol w:w="990"/>
        <w:gridCol w:w="540"/>
        <w:gridCol w:w="540"/>
        <w:gridCol w:w="990"/>
        <w:gridCol w:w="540"/>
        <w:gridCol w:w="540"/>
      </w:tblGrid>
      <w:tr w:rsidR="00565FC8" w:rsidRPr="004D2032" w14:paraId="3FFE2643" w14:textId="77777777" w:rsidTr="007754F3">
        <w:trPr>
          <w:trHeight w:val="216"/>
        </w:trPr>
        <w:tc>
          <w:tcPr>
            <w:tcW w:w="27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970251" w14:textId="77777777" w:rsidR="00565FC8" w:rsidRPr="009A1092" w:rsidRDefault="00565FC8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40E4E6" w14:textId="77777777" w:rsidR="00565FC8" w:rsidRPr="009A1092" w:rsidRDefault="00565FC8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0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Anxiety </w:t>
            </w:r>
          </w:p>
          <w:p w14:paraId="219A1C8E" w14:textId="77777777" w:rsidR="00565FC8" w:rsidRPr="009A1092" w:rsidRDefault="00565FC8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0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(HAMA)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4634A0" w14:textId="77777777" w:rsidR="00565FC8" w:rsidRPr="009A1092" w:rsidRDefault="00565FC8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0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Depression </w:t>
            </w:r>
          </w:p>
          <w:p w14:paraId="105DAB14" w14:textId="77777777" w:rsidR="00565FC8" w:rsidRPr="009A1092" w:rsidRDefault="00565FC8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0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(HRSD)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78E6A5" w14:textId="77777777" w:rsidR="00565FC8" w:rsidRPr="009A1092" w:rsidRDefault="00565FC8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0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Anhedonic Depression </w:t>
            </w:r>
          </w:p>
          <w:p w14:paraId="5D35339D" w14:textId="77777777" w:rsidR="00565FC8" w:rsidRPr="009A1092" w:rsidRDefault="00565FC8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0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(MASQ-AD)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09E89F" w14:textId="77777777" w:rsidR="00565FC8" w:rsidRPr="009A1092" w:rsidRDefault="00565FC8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0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Anxious Arousal</w:t>
            </w:r>
          </w:p>
          <w:p w14:paraId="602E0CC0" w14:textId="77777777" w:rsidR="00565FC8" w:rsidRPr="009A1092" w:rsidRDefault="00565FC8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0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(MASQ-AA)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AC1EA7" w14:textId="77777777" w:rsidR="00565FC8" w:rsidRPr="009A1092" w:rsidRDefault="00565FC8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0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Anhedonia </w:t>
            </w:r>
          </w:p>
          <w:p w14:paraId="2320E501" w14:textId="77777777" w:rsidR="00565FC8" w:rsidRPr="009A1092" w:rsidRDefault="00565FC8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09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(SHAPS)</w:t>
            </w:r>
          </w:p>
        </w:tc>
      </w:tr>
      <w:tr w:rsidR="002A70C7" w:rsidRPr="004D2032" w14:paraId="30658CB5" w14:textId="77777777" w:rsidTr="007754F3">
        <w:trPr>
          <w:trHeight w:val="216"/>
        </w:trPr>
        <w:tc>
          <w:tcPr>
            <w:tcW w:w="27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EBC72" w14:textId="3337F8D6" w:rsidR="002A70C7" w:rsidRPr="004D2032" w:rsidRDefault="002A70C7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Females Only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602EAB" w14:textId="0D7F74CA" w:rsidR="002A70C7" w:rsidRPr="004D2032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EB1403" w14:textId="77777777" w:rsidR="002A70C7" w:rsidRPr="004D2032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D6B9246" w14:textId="77777777" w:rsidR="002A70C7" w:rsidRPr="004D2032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4D203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2D789CF" w14:textId="7C10D63A" w:rsidR="002A70C7" w:rsidRPr="004D2032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1CE7FC6" w14:textId="2B3844F8" w:rsidR="002A70C7" w:rsidRPr="004D2032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A08A3E6" w14:textId="1BED577E" w:rsidR="002A70C7" w:rsidRPr="004D2032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4D203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88487A5" w14:textId="38979283" w:rsidR="002A70C7" w:rsidRPr="004D2032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549DA7" w14:textId="0C7618F2" w:rsidR="002A70C7" w:rsidRPr="004D2032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C311244" w14:textId="22818FAC" w:rsidR="002A70C7" w:rsidRPr="004D2032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4D203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96AB9F" w14:textId="20D7C3BA" w:rsidR="002A70C7" w:rsidRPr="004D2032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42C268" w14:textId="11E5CA0D" w:rsidR="002A70C7" w:rsidRPr="004D2032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8291335" w14:textId="0405F04F" w:rsidR="002A70C7" w:rsidRPr="004D2032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4D203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D2A2CF" w14:textId="327B6036" w:rsidR="002A70C7" w:rsidRPr="004D2032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DBCAEC7" w14:textId="63476951" w:rsidR="002A70C7" w:rsidRPr="004D2032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89B806" w14:textId="2D4F055B" w:rsidR="002A70C7" w:rsidRPr="004D2032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4D203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</w:t>
            </w:r>
          </w:p>
        </w:tc>
      </w:tr>
      <w:tr w:rsidR="00123783" w:rsidRPr="004D2032" w14:paraId="155206BA" w14:textId="77777777" w:rsidTr="007754F3">
        <w:trPr>
          <w:trHeight w:val="216"/>
        </w:trPr>
        <w:tc>
          <w:tcPr>
            <w:tcW w:w="2790" w:type="dxa"/>
            <w:tcBorders>
              <w:top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D3BD04" w14:textId="63A50610" w:rsidR="00123783" w:rsidRPr="004D2032" w:rsidRDefault="00123783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Left Frontopolar Cortex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07244F" w14:textId="26C0AA78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-0.22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08CD15" w14:textId="62D883A9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-0.43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B06510" w14:textId="57C79BE5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21E6C3" w14:textId="4C9A5569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-0.09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9E9969" w14:textId="7294226E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-0.15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70316E" w14:textId="37F9CBE6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250C19" w14:textId="14101790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4DEB55" w14:textId="35FABF65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-0.09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49E3F5" w14:textId="6F8D6213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BB242B" w14:textId="4AD4FFC4" w:rsidR="00123783" w:rsidRPr="007754F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54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-0.08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674A42" w14:textId="1FEE225E" w:rsidR="00123783" w:rsidRPr="007754F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54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-1.92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988824" w14:textId="23F1F9E7" w:rsidR="00123783" w:rsidRPr="007754F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54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0.06</w:t>
            </w:r>
            <w:r w:rsidR="007754F3" w:rsidRPr="0077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†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AB8F76" w14:textId="0D4C4E57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AB9F85" w14:textId="10BFBCB9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13A29C" w14:textId="26B7C92B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</w:tr>
      <w:tr w:rsidR="00123783" w:rsidRPr="004D2032" w14:paraId="15B78FDF" w14:textId="77777777" w:rsidTr="007754F3">
        <w:trPr>
          <w:trHeight w:val="216"/>
        </w:trPr>
        <w:tc>
          <w:tcPr>
            <w:tcW w:w="279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D8CF10" w14:textId="43C67AC4" w:rsidR="00123783" w:rsidRPr="004D2032" w:rsidRDefault="00123783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Left Fusiform Gyrus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8C42D9" w14:textId="485892B6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-0.66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ED54DA" w14:textId="1FB47E87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-1.13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DCF6C0" w14:textId="6A66CED1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BF30F80" w14:textId="57CB7CE7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-0.56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A65C9F" w14:textId="05100CCD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-0.83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3BFF4D" w14:textId="53C7CA92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BE0803" w14:textId="4864AF73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462929" w14:textId="1DF871AF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-1.10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A61470" w14:textId="5F2E06F0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6AE0FB" w14:textId="6864E495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-0.07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45E449" w14:textId="2F12E86A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-1.65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539BF7" w14:textId="036B0733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93053B" w14:textId="43662510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-0.13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3C929C" w14:textId="73AD46CB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-0.22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AD12CFD" w14:textId="5981C139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</w:tr>
      <w:tr w:rsidR="00123783" w:rsidRPr="004D2032" w14:paraId="5F51CDB3" w14:textId="77777777" w:rsidTr="007754F3">
        <w:trPr>
          <w:trHeight w:val="216"/>
        </w:trPr>
        <w:tc>
          <w:tcPr>
            <w:tcW w:w="279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172D10" w14:textId="30607DDB" w:rsidR="00123783" w:rsidRPr="004D2032" w:rsidRDefault="00123783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Left Superior Temporal Gyrus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288A7E" w14:textId="09013726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055C8C9" w14:textId="05191699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0485AA" w14:textId="2E84A9EC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88788A" w14:textId="34838901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851F4B" w14:textId="32B3226D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-0.03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0E864C" w14:textId="1D3C6BD8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A42C370" w14:textId="59ABBB33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507183" w14:textId="03CD0028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1F6F8D" w14:textId="6A8B9F46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076091" w14:textId="01A214EE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A108D8B" w14:textId="3BFFD717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-0.28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12D26F" w14:textId="60EB6399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1FA3FE" w14:textId="40A8BF43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E345E7" w14:textId="61DE7BB3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FD87DB" w14:textId="2F3C739F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0.56</w:t>
            </w:r>
          </w:p>
        </w:tc>
      </w:tr>
      <w:tr w:rsidR="00123783" w:rsidRPr="004D2032" w14:paraId="2B819DEF" w14:textId="77777777" w:rsidTr="007754F3">
        <w:trPr>
          <w:trHeight w:val="216"/>
        </w:trPr>
        <w:tc>
          <w:tcPr>
            <w:tcW w:w="279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04D30A8" w14:textId="00C90D6F" w:rsidR="00123783" w:rsidRPr="004D2032" w:rsidRDefault="00123783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 Lingual Gyrus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5074B3" w14:textId="0EAD56EB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599BE70" w14:textId="3277A15F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2B8622" w14:textId="32767CCC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C5B012" w14:textId="352BB219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00AE22" w14:textId="3201F272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225111E" w14:textId="0FBEC301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30E594F" w14:textId="2C396700" w:rsidR="00123783" w:rsidRPr="007754F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54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84ED86" w14:textId="096A28BC" w:rsidR="00123783" w:rsidRPr="007754F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54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1.93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990A41" w14:textId="4CEFBB51" w:rsidR="00123783" w:rsidRPr="007754F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54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0.06</w:t>
            </w:r>
            <w:r w:rsidR="007754F3" w:rsidRPr="0077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†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2B363B" w14:textId="4209980C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CC4E5F" w14:textId="4158C10B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1.34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E783A7" w14:textId="04F2A262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B28226" w14:textId="24BE4F20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37B58A" w14:textId="3D2C5C53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1.73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3C186B" w14:textId="57D67AFD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  <w:r w:rsidR="0077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†</w:t>
            </w:r>
          </w:p>
        </w:tc>
      </w:tr>
      <w:tr w:rsidR="00123783" w:rsidRPr="004D2032" w14:paraId="44196D94" w14:textId="77777777" w:rsidTr="007754F3">
        <w:trPr>
          <w:trHeight w:val="216"/>
        </w:trPr>
        <w:tc>
          <w:tcPr>
            <w:tcW w:w="279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94A43B" w14:textId="3C150AC1" w:rsidR="00123783" w:rsidRPr="004D2032" w:rsidRDefault="00123783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 Frontopolar Cortex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6D2D12" w14:textId="2AEC2BFF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-0.29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A66E9E1" w14:textId="069E7C4C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-0.97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270427" w14:textId="09132F74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D71479" w14:textId="685C2E8A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-0.23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394AA9" w14:textId="244BAAB2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-0.67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F21408" w14:textId="05E04463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F73A32" w14:textId="31312BD0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8047FD" w14:textId="2518F2F3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-0.15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5674C0" w14:textId="492D1E15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C9BA4B" w14:textId="051AD6EF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FCD990" w14:textId="6B4C45D7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-0.59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5334F25" w14:textId="68204ACE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6FEC26" w14:textId="33EE33AD" w:rsidR="00123783" w:rsidRPr="007754F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54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-0.56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C34001" w14:textId="1F99C737" w:rsidR="00123783" w:rsidRPr="007754F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54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-1.93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7B23CE" w14:textId="150CE6D7" w:rsidR="00123783" w:rsidRPr="007754F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54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0.06</w:t>
            </w:r>
            <w:r w:rsidR="007754F3" w:rsidRPr="0077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†</w:t>
            </w:r>
          </w:p>
        </w:tc>
      </w:tr>
      <w:tr w:rsidR="00123783" w:rsidRPr="004D2032" w14:paraId="56913AC5" w14:textId="77777777" w:rsidTr="007754F3">
        <w:trPr>
          <w:trHeight w:val="216"/>
        </w:trPr>
        <w:tc>
          <w:tcPr>
            <w:tcW w:w="279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8D9525" w14:textId="0E4A6722" w:rsidR="00123783" w:rsidRPr="004D2032" w:rsidRDefault="00123783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 Inferior Parietal Lobule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9F5FC5" w14:textId="41609913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-0.77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29CC4D" w14:textId="40101F53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-1.96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8F879B" w14:textId="458E971B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5212CA" w14:textId="33724C95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-0.72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A77BD0" w14:textId="07AC35A7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-1.59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F45CFC1" w14:textId="7492F72B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3FE445" w14:textId="466AA8F9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251E02" w14:textId="62E7E23F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-1.47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FCFEA1" w14:textId="74DF63D3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C14068" w14:textId="71B45435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-0.05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D0880E" w14:textId="39E2AADC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-1.74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007CB7" w14:textId="4180DB33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  <w:r w:rsidR="0018299F" w:rsidRPr="0077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†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BD6D97" w14:textId="54413E67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-0.84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223677" w14:textId="6138E2DE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-2.23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902968" w14:textId="5E6451E3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0.03</w:t>
            </w:r>
          </w:p>
        </w:tc>
      </w:tr>
      <w:tr w:rsidR="00123783" w:rsidRPr="004D2032" w14:paraId="464D4178" w14:textId="77777777" w:rsidTr="007754F3">
        <w:trPr>
          <w:trHeight w:val="216"/>
        </w:trPr>
        <w:tc>
          <w:tcPr>
            <w:tcW w:w="279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C88760E" w14:textId="57633A33" w:rsidR="00123783" w:rsidRPr="004D2032" w:rsidRDefault="00123783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 Insula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A25AC70" w14:textId="31DD33A9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5504C0" w14:textId="0A47CC7D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2.18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A41F34" w14:textId="7F7C9D8A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4DE57C" w14:textId="42F0D1E9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69867D" w14:textId="452132F8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5924FA" w14:textId="25AD21CC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EC742C" w14:textId="04E12D34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318CAE" w14:textId="390586CB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EEE11A" w14:textId="2410FE60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3E7FE1" w14:textId="2E0F56BD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BCC7FB" w14:textId="686E1016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1.34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50E217" w14:textId="616C14C6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FE7A93" w14:textId="6603C4FD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B13AA9" w14:textId="49A6593E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2.24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24368A" w14:textId="0DBA68F5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0.03</w:t>
            </w:r>
          </w:p>
        </w:tc>
      </w:tr>
      <w:tr w:rsidR="00123783" w:rsidRPr="004D2032" w14:paraId="512B926D" w14:textId="77777777" w:rsidTr="007754F3">
        <w:trPr>
          <w:trHeight w:val="216"/>
        </w:trPr>
        <w:tc>
          <w:tcPr>
            <w:tcW w:w="279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CD583AB" w14:textId="14BC8EDF" w:rsidR="00123783" w:rsidRPr="004D2032" w:rsidRDefault="00123783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 Supramarginal Gyrus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290040" w14:textId="0E13B85C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FB7BE1" w14:textId="6AB4B7EF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CC3E68" w14:textId="32012EF5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82E32F" w14:textId="2BB1B30F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52863F" w14:textId="7DF65072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F5089C" w14:textId="6D790E3C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582DD4" w14:textId="4D8FE813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E2D9BC" w14:textId="3AFB808B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C7D239" w14:textId="5D7F1BE7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D88EC7" w14:textId="1D7F5047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EA395D" w14:textId="0A65E8A5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1.97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A79329" w14:textId="029AA6F6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FC52E5D" w14:textId="39A91A5E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906E8A" w14:textId="435932C8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ED8C49" w14:textId="4FFDE9D6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</w:tr>
      <w:tr w:rsidR="00123783" w:rsidRPr="004D2032" w14:paraId="6C471237" w14:textId="77777777" w:rsidTr="007754F3">
        <w:trPr>
          <w:trHeight w:val="216"/>
        </w:trPr>
        <w:tc>
          <w:tcPr>
            <w:tcW w:w="279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9D4B7F" w14:textId="20C1BA69" w:rsidR="00123783" w:rsidRPr="004D2032" w:rsidRDefault="00123783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 Middle Temporal Gyrus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0661032" w14:textId="25944C5C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880577" w14:textId="72732C64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465BA8" w14:textId="477AEBCB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370310" w14:textId="5B2F1100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7D5E24" w14:textId="5824187E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918968" w14:textId="7BCC8DFC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513E0F" w14:textId="24C705FC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C6B923" w14:textId="705E4ABA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B95EEF" w14:textId="6C65AB4B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7BF442" w14:textId="38376F70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563E01" w14:textId="0203D482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955E6B" w14:textId="67FC27FD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553EF3D" w14:textId="276556AD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-0.05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0DABC4" w14:textId="5B00A602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-0.14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831EF3" w14:textId="42ED90D0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0.89</w:t>
            </w:r>
          </w:p>
        </w:tc>
      </w:tr>
      <w:tr w:rsidR="002A70C7" w:rsidRPr="004D2032" w14:paraId="133A51BF" w14:textId="77777777" w:rsidTr="007754F3">
        <w:trPr>
          <w:trHeight w:val="216"/>
        </w:trPr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735072" w14:textId="58EACDA9" w:rsidR="002A70C7" w:rsidRDefault="002A70C7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Males Only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FE21582" w14:textId="318C354C" w:rsidR="002A70C7" w:rsidRPr="00123783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β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5FEBE0" w14:textId="00679C82" w:rsidR="002A70C7" w:rsidRPr="00123783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E8CD6F" w14:textId="6D5D9DA7" w:rsidR="002A70C7" w:rsidRPr="00123783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203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1E0C17" w14:textId="380A1544" w:rsidR="002A70C7" w:rsidRPr="00123783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β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C2B65B" w14:textId="7682520A" w:rsidR="002A70C7" w:rsidRPr="00123783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DA9F64" w14:textId="08AE56E8" w:rsidR="002A70C7" w:rsidRPr="00123783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203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21B378" w14:textId="34EAEDC0" w:rsidR="002A70C7" w:rsidRPr="00123783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β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EECAE6" w14:textId="74A458FB" w:rsidR="002A70C7" w:rsidRPr="00123783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AEABE43" w14:textId="109306D7" w:rsidR="002A70C7" w:rsidRPr="00123783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203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91C89C" w14:textId="2D4B6547" w:rsidR="002A70C7" w:rsidRPr="00123783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β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C9F251" w14:textId="0238A2F6" w:rsidR="002A70C7" w:rsidRPr="00123783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6211F9" w14:textId="436634BB" w:rsidR="002A70C7" w:rsidRPr="00123783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203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5863BC" w14:textId="343C4610" w:rsidR="002A70C7" w:rsidRPr="00123783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β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9F6FAD0" w14:textId="6D1C7317" w:rsidR="002A70C7" w:rsidRPr="00123783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00DD65" w14:textId="5A6A52F0" w:rsidR="002A70C7" w:rsidRPr="00123783" w:rsidRDefault="002A70C7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203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</w:t>
            </w:r>
          </w:p>
        </w:tc>
      </w:tr>
      <w:tr w:rsidR="00123783" w:rsidRPr="004D2032" w14:paraId="6266C0FC" w14:textId="77777777" w:rsidTr="007754F3">
        <w:trPr>
          <w:trHeight w:val="216"/>
        </w:trPr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1C8B1F" w14:textId="2634D5B7" w:rsidR="00123783" w:rsidRDefault="00123783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Left Frontopolar Cortex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11CF33" w14:textId="5201F047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468E14" w14:textId="38284BCE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-0.17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C551BC" w14:textId="7CF0F3C6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DD632D" w14:textId="03F91C60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3292F0" w14:textId="1C400114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-0.18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A3BAFA5" w14:textId="5E762625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CE1819" w14:textId="720CD4CD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37F31AD" w14:textId="3AD1345D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A19556" w14:textId="06D2B92B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EAD5C3" w14:textId="46C18162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178BA8" w14:textId="35A89722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55827F" w14:textId="1FBAD4B0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7C3380" w14:textId="6C44A52D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D0AEF5" w14:textId="0374E8C5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D4D7C7" w14:textId="37128936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</w:tr>
      <w:tr w:rsidR="00123783" w:rsidRPr="004D2032" w14:paraId="7E4B818D" w14:textId="77777777" w:rsidTr="007754F3">
        <w:trPr>
          <w:trHeight w:val="216"/>
        </w:trPr>
        <w:tc>
          <w:tcPr>
            <w:tcW w:w="279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0395D4" w14:textId="53F7A166" w:rsidR="00123783" w:rsidRDefault="00123783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Left Fusiform Gyrus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97C2DA" w14:textId="2F6BAC36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1B010E" w14:textId="42C5003F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E046A72" w14:textId="1AA73A8B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A749B10" w14:textId="06C25037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6D9433" w14:textId="75A23706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DB24C5" w14:textId="6B25DC5C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1E74E7" w14:textId="714CBD0C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77ABDF" w14:textId="5D1650E1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09377E" w14:textId="3C29B2A9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A2C06E" w14:textId="088D6758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1BD05C5" w14:textId="5D7E158A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9306D3" w14:textId="490D326A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797F3A" w14:textId="2081B326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A12C536" w14:textId="5D26A692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248D3E" w14:textId="2ED11398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</w:tr>
      <w:tr w:rsidR="00123783" w:rsidRPr="004D2032" w14:paraId="655911FC" w14:textId="77777777" w:rsidTr="007754F3">
        <w:trPr>
          <w:trHeight w:val="216"/>
        </w:trPr>
        <w:tc>
          <w:tcPr>
            <w:tcW w:w="279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FE4B6E" w14:textId="5DF7B0AD" w:rsidR="00123783" w:rsidRDefault="00123783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Left Superior Temporal Gyrus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A0A1D8" w14:textId="50BA53FB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6D8EA6" w14:textId="1C7DAF2E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-0.16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E062C1A" w14:textId="1CB63288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D6CB51" w14:textId="678C1071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-0.26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42D597" w14:textId="2683A6F1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-0.54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08E2BE" w14:textId="23A82639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EF412F" w14:textId="27FD69E0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-0.04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A4575C" w14:textId="26B7DEF4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-0.70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B82021" w14:textId="76F0FD25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B57A07" w14:textId="33C24D2C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172D4A" w14:textId="1A53D9D6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-0.51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316C6B" w14:textId="1DD8AB9B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18F427" w14:textId="2AC27FC3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-0.44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5B4740" w14:textId="25E97EEB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-0.92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C915E0" w14:textId="09B6C8E7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</w:tr>
      <w:tr w:rsidR="00123783" w:rsidRPr="004D2032" w14:paraId="0777D1A7" w14:textId="77777777" w:rsidTr="007754F3">
        <w:trPr>
          <w:trHeight w:val="216"/>
        </w:trPr>
        <w:tc>
          <w:tcPr>
            <w:tcW w:w="279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24F10B" w14:textId="0241C8E6" w:rsidR="00123783" w:rsidRDefault="00123783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 Lingual Gyrus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3FDB76" w14:textId="17349F26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D2F4A5" w14:textId="14BD5570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0008F3" w14:textId="3E836ED9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643627" w14:textId="035F9D51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7E7B3D" w14:textId="04CF14CE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4AC3C8" w14:textId="175DC9E0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45835B" w14:textId="3FD37B3C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-0.12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CD20A2" w14:textId="162C71B9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-1.07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69DA3E" w14:textId="421394A8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E64BE0" w14:textId="40175F49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F99190" w14:textId="1C3C0A04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-0.41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521C33" w14:textId="4658F17A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10B707" w14:textId="02AC3635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-0.35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4A73F6" w14:textId="4445FCFE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-0.36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4F9E47" w14:textId="4C076328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</w:tr>
      <w:tr w:rsidR="00123783" w:rsidRPr="004D2032" w14:paraId="45774D3C" w14:textId="77777777" w:rsidTr="007754F3">
        <w:trPr>
          <w:trHeight w:val="216"/>
        </w:trPr>
        <w:tc>
          <w:tcPr>
            <w:tcW w:w="279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594FFD" w14:textId="30C4D02F" w:rsidR="00123783" w:rsidRDefault="00123783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 Frontopolar Cortex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5E98EB" w14:textId="58CA3BE9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1D3A74" w14:textId="53404768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5827C4" w14:textId="6400530C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FA69D1" w14:textId="0622CCE0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-0.05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BA21B6" w14:textId="04166235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-0.13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AAC1217" w14:textId="69C237D6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3EE76E" w14:textId="2F2B83DD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41302B" w14:textId="043AD1B1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E1A6DB" w14:textId="5F8B32EA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CAF31B" w14:textId="5BAF463D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DD1A97" w14:textId="5D34ADBC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51ED26" w14:textId="48F9EC06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037990" w14:textId="23A844FB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5B49FA" w14:textId="5273C8ED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31CC4C" w14:textId="3EF00C4E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</w:tr>
      <w:tr w:rsidR="00123783" w:rsidRPr="004D2032" w14:paraId="2E47FE46" w14:textId="77777777" w:rsidTr="007754F3">
        <w:trPr>
          <w:trHeight w:val="216"/>
        </w:trPr>
        <w:tc>
          <w:tcPr>
            <w:tcW w:w="279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139829" w14:textId="09737080" w:rsidR="00123783" w:rsidRDefault="00123783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 Inferior Parietal Lobule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C11B9B" w14:textId="616941F1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4D0AC8" w14:textId="7B7ECD45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A39611" w14:textId="4A95CF12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C0C3F2" w14:textId="001A5371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29F67B" w14:textId="5AE4E981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E17ECF" w14:textId="1ADECEC2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CAB8E6" w14:textId="336E91AC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24171D" w14:textId="7A2D1D03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9778EB" w14:textId="2FBEEC69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06B0DB" w14:textId="6E268061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-0.04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BB811A" w14:textId="36E07D25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-1.38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547720" w14:textId="5D2DBB8C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6AAE57" w14:textId="096B0DBB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-0.23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AEFD6B" w14:textId="1A14EEDF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-0.40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3CEC75" w14:textId="301C8F05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0.69</w:t>
            </w:r>
          </w:p>
        </w:tc>
      </w:tr>
      <w:tr w:rsidR="00123783" w:rsidRPr="004D2032" w14:paraId="3EB50AA9" w14:textId="77777777" w:rsidTr="007754F3">
        <w:trPr>
          <w:trHeight w:val="216"/>
        </w:trPr>
        <w:tc>
          <w:tcPr>
            <w:tcW w:w="279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C92E52" w14:textId="2CAF8550" w:rsidR="00123783" w:rsidRDefault="00123783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 Insula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0305FB" w14:textId="1E13B4C3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-0.04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097AAD" w14:textId="7035BAE1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-0.05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B40880" w14:textId="584F45AB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B7058A" w14:textId="0CFFD405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5C86AD" w14:textId="70AEBA98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A78B52" w14:textId="7A395C6A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986E8D" w14:textId="33D74BE7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D6060B" w14:textId="4A803669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B2A047" w14:textId="33B431D0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BB73D3" w14:textId="5617EA7F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85729AF" w14:textId="3E80D229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E71C14" w14:textId="6F0B42BD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2D0E9F" w14:textId="6AFA806B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-0.03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96BE36" w14:textId="52A77A86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-0.03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0BC5ED" w14:textId="7E1439FF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</w:tr>
      <w:tr w:rsidR="00123783" w:rsidRPr="004D2032" w14:paraId="29E22FCA" w14:textId="77777777" w:rsidTr="007754F3">
        <w:trPr>
          <w:trHeight w:val="216"/>
        </w:trPr>
        <w:tc>
          <w:tcPr>
            <w:tcW w:w="279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FAE7BC" w14:textId="649A2B59" w:rsidR="00123783" w:rsidRDefault="00123783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 Supramarginal Gyrus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98FF86" w14:textId="750A5A21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-0.29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8F848E" w14:textId="74309BBE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-0.74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DD235D" w14:textId="07D3B413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A27037" w14:textId="4D757F9C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-0.44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B7C81F" w14:textId="059B50D0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-0.90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851472" w14:textId="3277EA3E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A6E2253" w14:textId="65879D48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277383" w14:textId="22E7BFF9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-0.98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A874C9F" w14:textId="2FBC6AE8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93360C" w14:textId="6E8BDB48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8D2C5F" w14:textId="1E0C3051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-0.58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EC1353" w14:textId="54A65D61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AE36AF" w14:textId="271D7FA2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-0.14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74C81D" w14:textId="6901EB3D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-0.28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2DFA25" w14:textId="09AA69E4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</w:tr>
      <w:tr w:rsidR="00123783" w:rsidRPr="004D2032" w14:paraId="0736076A" w14:textId="77777777" w:rsidTr="007754F3">
        <w:trPr>
          <w:trHeight w:val="216"/>
        </w:trPr>
        <w:tc>
          <w:tcPr>
            <w:tcW w:w="279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A48EDA" w14:textId="097DD4A5" w:rsidR="00123783" w:rsidRDefault="00123783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 Middle Temporal Gyrus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08F4E6" w14:textId="29309428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A7DBC4" w14:textId="5FAFEDAE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A6E197" w14:textId="7B3E0F90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295392" w14:textId="2FAD69F1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77C93A" w14:textId="3D622C95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6F90F6" w14:textId="7A5524B8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18ED81" w14:textId="1EA9AE1F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5C5A48" w14:textId="6A5E09A4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007611" w14:textId="34A4BDBB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BE31F6" w14:textId="06684E7F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8F5E4C" w14:textId="0D5936CC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21385D" w14:textId="73A37953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0.07</w:t>
            </w:r>
            <w:r w:rsidR="0077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†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7C2ED0" w14:textId="31B63FF2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1CB20A" w14:textId="69AD046D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E6E041" w14:textId="2D8FB712" w:rsidR="00123783" w:rsidRPr="00123783" w:rsidRDefault="00123783" w:rsidP="00E0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0.39</w:t>
            </w:r>
          </w:p>
        </w:tc>
      </w:tr>
      <w:tr w:rsidR="00E04F9D" w:rsidRPr="004D2032" w14:paraId="6DC7581B" w14:textId="77777777" w:rsidTr="007754F3">
        <w:trPr>
          <w:trHeight w:val="53"/>
        </w:trPr>
        <w:tc>
          <w:tcPr>
            <w:tcW w:w="27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3800DD" w14:textId="5E7D58E7" w:rsidR="00E04F9D" w:rsidRPr="00E04F9D" w:rsidRDefault="00E04F9D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Gender*Region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86138C" w14:textId="3F1C96E9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0A8C60A" w14:textId="46D651C5" w:rsidR="00E04F9D" w:rsidRPr="00E04F9D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04F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5C241DB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652855" w14:textId="270BC65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C8FA14" w14:textId="09C4ADEF" w:rsidR="00E04F9D" w:rsidRPr="00E04F9D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2EA9C1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1333ED0" w14:textId="348CBDD6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FD620A" w14:textId="165B823A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A7077B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D6B83F" w14:textId="59A9E6DE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673C6D" w14:textId="660AB4F4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85FEE2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90036A" w14:textId="1B02F928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DFAEC8" w14:textId="5C1D41E8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410E1E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04F9D" w:rsidRPr="004D2032" w14:paraId="5DEFF521" w14:textId="77777777" w:rsidTr="007754F3">
        <w:trPr>
          <w:trHeight w:val="216"/>
        </w:trPr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92CB17" w14:textId="1D1F38AF" w:rsidR="00E04F9D" w:rsidRDefault="00E04F9D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Left Frontopolar Cortex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861887" w14:textId="55044C80" w:rsidR="00E04F9D" w:rsidRPr="00123783" w:rsidRDefault="00A47764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  <w:r w:rsidR="00EA6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67F7D1" w14:textId="67137BF0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9AE1AB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D047AC" w14:textId="20F7BCFE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5A505A" w14:textId="5B1A24BA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BC94F63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F72F67" w14:textId="10B54321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E26339" w14:textId="14DCF9C5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05759F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7E2E87" w14:textId="7C66B78E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2.51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CBBBBF" w14:textId="2C467AAC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EE6BE5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AE2469" w14:textId="1616E371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B7790F" w14:textId="0720146F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BABEEAC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04F9D" w:rsidRPr="004D2032" w14:paraId="437D3FA0" w14:textId="77777777" w:rsidTr="007754F3">
        <w:trPr>
          <w:trHeight w:val="216"/>
        </w:trPr>
        <w:tc>
          <w:tcPr>
            <w:tcW w:w="279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2F79E0" w14:textId="51CE516A" w:rsidR="00E04F9D" w:rsidRDefault="00E04F9D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Left Fusiform Gyrus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636934" w14:textId="74BCAA82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C7E022" w14:textId="04E6224F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EE55F0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D63AD01" w14:textId="0BBEE587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F0F0E2" w14:textId="357821B1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D55C8B2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013026" w14:textId="5069D714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A119B1" w14:textId="076CF2FC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6366C2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69D095" w14:textId="4D452040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73AF21" w14:textId="159AB418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127E60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186E63F" w14:textId="50F476F0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3BA94C" w14:textId="230E92D6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DA9B1C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04F9D" w:rsidRPr="004D2032" w14:paraId="594400B8" w14:textId="77777777" w:rsidTr="007754F3">
        <w:trPr>
          <w:trHeight w:val="216"/>
        </w:trPr>
        <w:tc>
          <w:tcPr>
            <w:tcW w:w="279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799E08" w14:textId="7316200E" w:rsidR="00E04F9D" w:rsidRDefault="00E04F9D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Left Superior Temporal Gyrus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B03F46" w14:textId="0123F0A4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7813E8" w14:textId="5AD36F56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A07CF4" w14:textId="5200A556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E67608" w14:textId="7DD3C262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0.`0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4ADF22" w14:textId="6FC2D4CE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5EE71A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3D4C2C9" w14:textId="206AD0D5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4179E6" w14:textId="1CFEAE4C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EE6771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030954" w14:textId="051FE84F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E89CCF4" w14:textId="4444B4B8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88AD25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1672BB4" w14:textId="1AD5C0BA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0441E7" w14:textId="154F56CC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610685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04F9D" w:rsidRPr="004D2032" w14:paraId="42787BDE" w14:textId="77777777" w:rsidTr="007754F3">
        <w:trPr>
          <w:trHeight w:val="216"/>
        </w:trPr>
        <w:tc>
          <w:tcPr>
            <w:tcW w:w="279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3971EC" w14:textId="32D89D0B" w:rsidR="00E04F9D" w:rsidRDefault="00E04F9D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 Lingual Gyrus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D4319D" w14:textId="1FC17E91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804DCB" w14:textId="5D214BD4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3544F4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A3272C" w14:textId="6166E4F9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22975A" w14:textId="2F22779F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A1545C3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22439A" w14:textId="5853E0CF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2.93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8824DD" w14:textId="70C6144F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  <w:r w:rsidR="0077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†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FB1BC8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65BE45" w14:textId="1E53AC0D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D412539" w14:textId="0AFC354F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3DD279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C052D5" w14:textId="0895CF3A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2369E47" w14:textId="763B8808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62EF05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04F9D" w:rsidRPr="004D2032" w14:paraId="4AF4593B" w14:textId="77777777" w:rsidTr="007754F3">
        <w:trPr>
          <w:trHeight w:val="216"/>
        </w:trPr>
        <w:tc>
          <w:tcPr>
            <w:tcW w:w="279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60FEE1" w14:textId="3B0D6E76" w:rsidR="00E04F9D" w:rsidRDefault="00E04F9D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 Frontopolar Cortex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1EC36B" w14:textId="016E973D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83BDD39" w14:textId="0AACA082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A2CF7D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FECAF3" w14:textId="3B0A7BDD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BC8C44" w14:textId="1C3EA1BB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5DEB31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146C27" w14:textId="29CF519C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85D43B" w14:textId="117A9CE0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2BC0E3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939C0F" w14:textId="61155C5D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D6ABE3" w14:textId="0B854F67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8D0565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14DD0A" w14:textId="1443E050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2.05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70B14E" w14:textId="0CC9DD43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4EF406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04F9D" w:rsidRPr="004D2032" w14:paraId="46ED9DE5" w14:textId="77777777" w:rsidTr="007754F3">
        <w:trPr>
          <w:trHeight w:val="216"/>
        </w:trPr>
        <w:tc>
          <w:tcPr>
            <w:tcW w:w="279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C88730" w14:textId="0D5378F1" w:rsidR="00E04F9D" w:rsidRDefault="00E04F9D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 Inferior Parietal Lobule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F70010" w14:textId="373A01F2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CA29D0" w14:textId="61725791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  <w:r w:rsidR="0077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†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B2D10A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0A3EDE" w14:textId="347A5114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1.79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1A9EB8" w14:textId="53854880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47CB09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452270" w14:textId="3B3B4758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46FA6D" w14:textId="6C2CC392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021C55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05E8EF" w14:textId="0C57B89F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2.69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C5DCA2" w14:textId="7A06131B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0.07</w:t>
            </w:r>
            <w:r w:rsidR="0077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†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AE1B74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5FFA7F" w14:textId="1D5C0D02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2.53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19AD4F" w14:textId="5617EF1D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  <w:r w:rsidR="0077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†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1A7B01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04F9D" w:rsidRPr="004D2032" w14:paraId="2E3F7489" w14:textId="77777777" w:rsidTr="007754F3">
        <w:trPr>
          <w:trHeight w:val="216"/>
        </w:trPr>
        <w:tc>
          <w:tcPr>
            <w:tcW w:w="279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979583" w14:textId="56536162" w:rsidR="00E04F9D" w:rsidRDefault="00E04F9D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 Insula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4F9ADA" w14:textId="2DB42713" w:rsidR="00E04F9D" w:rsidRPr="00B630A7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630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3.29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F49C58" w14:textId="734BCD1B" w:rsidR="00E04F9D" w:rsidRPr="00B630A7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630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1EE59D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5B8570" w14:textId="3E087068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2.75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1AE584" w14:textId="7A963D99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  <w:r w:rsidR="0077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†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E3CBE6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2121352" w14:textId="7F2A62BE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2.78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7BDF51" w14:textId="5F3986C9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331EE9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35AD7C" w14:textId="3CF4AFC7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4D238B" w14:textId="091DA608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597FDC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8AF822" w14:textId="51772938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2.55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5E08B1" w14:textId="6F3D128F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</w:t>
            </w:r>
            <w:r w:rsidR="0077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†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804E10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04F9D" w:rsidRPr="004D2032" w14:paraId="6DFE282A" w14:textId="77777777" w:rsidTr="007754F3">
        <w:trPr>
          <w:trHeight w:val="216"/>
        </w:trPr>
        <w:tc>
          <w:tcPr>
            <w:tcW w:w="279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464ABC" w14:textId="57CBD068" w:rsidR="00E04F9D" w:rsidRDefault="00E04F9D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 Supramarginal Gyrus</w:t>
            </w: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ADF481" w14:textId="448DFF1E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89A30C" w14:textId="6C99DB17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40E750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F6CDBE" w14:textId="6576EBD4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3FB83B" w14:textId="1E420234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28B90D8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40670B" w14:textId="3B566351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BDC9CB" w14:textId="7C2CF22A" w:rsidR="00E04F9D" w:rsidRPr="00123783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F33E72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AF831D" w14:textId="635329FF" w:rsidR="00E04F9D" w:rsidRPr="00B630A7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3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3.02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45D85D" w14:textId="44C45BAA" w:rsidR="00E04F9D" w:rsidRPr="00B630A7" w:rsidRDefault="00EA6779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3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8A1FB0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EE4361" w14:textId="33745CFF" w:rsidR="00E04F9D" w:rsidRPr="00123783" w:rsidRDefault="00B630A7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&lt;0.01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9BD308" w14:textId="26D2C6C7" w:rsidR="00E04F9D" w:rsidRPr="00123783" w:rsidRDefault="00B630A7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54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FB97E0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04F9D" w:rsidRPr="004D2032" w14:paraId="743D8DD5" w14:textId="77777777" w:rsidTr="007754F3">
        <w:trPr>
          <w:trHeight w:val="216"/>
        </w:trPr>
        <w:tc>
          <w:tcPr>
            <w:tcW w:w="279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D91324" w14:textId="4106FD86" w:rsidR="00E04F9D" w:rsidRDefault="00E04F9D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4D2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Right Middle Temporal Gyrus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C02DC8" w14:textId="7F2098EE" w:rsidR="00E04F9D" w:rsidRPr="00123783" w:rsidRDefault="00B630A7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8A94C76" w14:textId="2097DE18" w:rsidR="00E04F9D" w:rsidRPr="00123783" w:rsidRDefault="00B630A7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E73FFB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8E5659" w14:textId="7FB5307B" w:rsidR="00E04F9D" w:rsidRPr="00123783" w:rsidRDefault="00B630A7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939030" w14:textId="6511D020" w:rsidR="00E04F9D" w:rsidRPr="00123783" w:rsidRDefault="00B630A7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0F64F2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A053C8" w14:textId="776A35C3" w:rsidR="00E04F9D" w:rsidRPr="00123783" w:rsidRDefault="00B630A7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BAFE83" w14:textId="409D6763" w:rsidR="00E04F9D" w:rsidRPr="00123783" w:rsidRDefault="00B630A7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C2E625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03EB57" w14:textId="62FD0741" w:rsidR="00E04F9D" w:rsidRPr="00123783" w:rsidRDefault="00B630A7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68308A" w14:textId="200C43F3" w:rsidR="00E04F9D" w:rsidRPr="00123783" w:rsidRDefault="00B630A7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1ADFFE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100684" w14:textId="11977402" w:rsidR="00E04F9D" w:rsidRPr="00123783" w:rsidRDefault="00B630A7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D6B783" w14:textId="7A4A2313" w:rsidR="00E04F9D" w:rsidRPr="00123783" w:rsidRDefault="00B630A7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4B1A51" w14:textId="77777777" w:rsidR="00E04F9D" w:rsidRPr="00123783" w:rsidRDefault="00E04F9D" w:rsidP="0076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04F9D" w:rsidRPr="004D2032" w14:paraId="7E7BF9D7" w14:textId="77777777" w:rsidTr="007754F3">
        <w:trPr>
          <w:trHeight w:val="348"/>
        </w:trPr>
        <w:tc>
          <w:tcPr>
            <w:tcW w:w="13140" w:type="dxa"/>
            <w:gridSpan w:val="16"/>
            <w:tcBorders>
              <w:top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5A9669" w14:textId="77777777" w:rsidR="00E04F9D" w:rsidRDefault="00E04F9D" w:rsidP="00E04F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>HAMA, Hamilton Anxiety Rating Scale; HRSD, Hamilton Depression Rating Scale; MASQ-AA, Mood and Anxiety Symptom Questionnaire – Anxious Arousal; MASQ-AD, Mood and Anxiety Symptom Quest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ionnaire – Anhedonic Depression</w:t>
            </w:r>
            <w:r w:rsidRPr="00E20B61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SHAPS, Snaith-Hamilton Pleasure Scale</w:t>
            </w:r>
          </w:p>
          <w:p w14:paraId="0D48A5A2" w14:textId="77777777" w:rsidR="007754F3" w:rsidRDefault="007754F3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5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Significant connectivity effects on affective and anxiety symptoms are denoted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 </w:t>
            </w:r>
            <w:r w:rsidRPr="007754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bold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7D92A975" w14:textId="2E7EF700" w:rsidR="007754F3" w:rsidRPr="007754F3" w:rsidRDefault="007754F3" w:rsidP="00E0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†trend-level significance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&lt;0.10)</w:t>
            </w:r>
          </w:p>
        </w:tc>
      </w:tr>
    </w:tbl>
    <w:p w14:paraId="0AC555AF" w14:textId="77777777" w:rsidR="00565FC8" w:rsidRDefault="00565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74BFD0" w14:textId="77777777" w:rsidR="00565FC8" w:rsidRDefault="00565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EF72F7" w14:textId="77777777" w:rsidR="00565FC8" w:rsidRDefault="00565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57EA34" w14:textId="77777777" w:rsidR="00565FC8" w:rsidRDefault="00565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65FC8" w:rsidSect="00E04F9D">
          <w:pgSz w:w="15840" w:h="12240" w:orient="landscape"/>
          <w:pgMar w:top="729" w:right="1440" w:bottom="1044" w:left="1440" w:header="720" w:footer="720" w:gutter="0"/>
          <w:cols w:space="720"/>
          <w:docGrid w:linePitch="360"/>
        </w:sectPr>
      </w:pPr>
    </w:p>
    <w:p w14:paraId="1AA6745B" w14:textId="43622B40" w:rsidR="00E45EAF" w:rsidRDefault="00E45EAF" w:rsidP="00E45E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Supplementary Figure 1. </w:t>
      </w:r>
      <w:r w:rsidRPr="0055289A">
        <w:rPr>
          <w:rFonts w:ascii="Times New Roman" w:hAnsi="Times New Roman" w:cs="Times New Roman"/>
          <w:sz w:val="20"/>
          <w:szCs w:val="20"/>
        </w:rPr>
        <w:t xml:space="preserve">Reward paradigm. (a) </w:t>
      </w:r>
      <w:r>
        <w:rPr>
          <w:rFonts w:ascii="Times New Roman" w:hAnsi="Times New Roman" w:cs="Times New Roman"/>
          <w:sz w:val="20"/>
          <w:szCs w:val="20"/>
        </w:rPr>
        <w:t>Trial design demonstrating choice (4s), anticipation (2-6s), feedback (0.5s), and outcome (0.5s) phases. (b) Visual representation of potential outcomes with each of the four stimuli (win, mixed, neutral, and loss)</w:t>
      </w:r>
      <w:r w:rsidR="006E285A">
        <w:rPr>
          <w:rFonts w:ascii="Times New Roman" w:hAnsi="Times New Roman" w:cs="Times New Roman"/>
          <w:sz w:val="20"/>
          <w:szCs w:val="20"/>
        </w:rPr>
        <w:t>. (c) Ca</w:t>
      </w:r>
      <w:r w:rsidR="003966D3">
        <w:rPr>
          <w:rFonts w:ascii="Times New Roman" w:hAnsi="Times New Roman" w:cs="Times New Roman"/>
          <w:sz w:val="20"/>
          <w:szCs w:val="20"/>
        </w:rPr>
        <w:t>lculation of RPE</w:t>
      </w:r>
      <w:r w:rsidR="006E285A">
        <w:rPr>
          <w:rFonts w:ascii="Times New Roman" w:hAnsi="Times New Roman" w:cs="Times New Roman"/>
          <w:sz w:val="20"/>
          <w:szCs w:val="20"/>
        </w:rPr>
        <w:t xml:space="preserve"> across trial types</w:t>
      </w:r>
      <w:r w:rsidR="003966D3">
        <w:rPr>
          <w:rFonts w:ascii="Times New Roman" w:hAnsi="Times New Roman" w:cs="Times New Roman"/>
          <w:sz w:val="20"/>
          <w:szCs w:val="20"/>
        </w:rPr>
        <w:t>.</w:t>
      </w:r>
    </w:p>
    <w:p w14:paraId="38AEECBC" w14:textId="77777777" w:rsidR="00E45EAF" w:rsidRDefault="00E45EAF" w:rsidP="00E45E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C24AF3" w14:textId="77777777" w:rsidR="0055289A" w:rsidRDefault="005528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5E07FC" w14:textId="77777777" w:rsidR="004771D1" w:rsidRDefault="004771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DF60C8" w14:textId="77777777" w:rsidR="004771D1" w:rsidRDefault="004771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348B35" w14:textId="5BE5E4AC" w:rsidR="00DC1945" w:rsidRPr="00C1546C" w:rsidRDefault="00DC19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546C">
        <w:rPr>
          <w:rFonts w:ascii="Times New Roman" w:hAnsi="Times New Roman" w:cs="Times New Roman"/>
          <w:sz w:val="20"/>
          <w:szCs w:val="20"/>
        </w:rPr>
        <w:t xml:space="preserve">Supplementary Figure </w:t>
      </w:r>
      <w:r w:rsidR="00E45EAF">
        <w:rPr>
          <w:rFonts w:ascii="Times New Roman" w:hAnsi="Times New Roman" w:cs="Times New Roman"/>
          <w:sz w:val="20"/>
          <w:szCs w:val="20"/>
        </w:rPr>
        <w:t>2</w:t>
      </w:r>
      <w:r w:rsidRPr="00C1546C">
        <w:rPr>
          <w:rFonts w:ascii="Times New Roman" w:hAnsi="Times New Roman" w:cs="Times New Roman"/>
          <w:sz w:val="20"/>
          <w:szCs w:val="20"/>
        </w:rPr>
        <w:t>. Effect of gender on trauma-associated vACC connectivity relationships with anxiety symptoms (HAMA)</w:t>
      </w:r>
    </w:p>
    <w:p w14:paraId="031C1258" w14:textId="77777777" w:rsidR="00DC1945" w:rsidRDefault="00DC19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0E24BC" w14:textId="569F2303" w:rsidR="00DC1945" w:rsidRDefault="00DC1945" w:rsidP="00DC19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A3E708" w14:textId="77777777" w:rsidR="00DC1945" w:rsidRDefault="00DC19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282BC1" w14:textId="320F19F5" w:rsidR="00C1546C" w:rsidRDefault="00C154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8D19102" w14:textId="1D828855" w:rsidR="00DC1945" w:rsidRPr="00C1546C" w:rsidRDefault="00DC19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546C">
        <w:rPr>
          <w:rFonts w:ascii="Times New Roman" w:hAnsi="Times New Roman" w:cs="Times New Roman"/>
          <w:sz w:val="20"/>
          <w:szCs w:val="20"/>
        </w:rPr>
        <w:t xml:space="preserve">Supplementary Figure </w:t>
      </w:r>
      <w:r w:rsidR="00E45EAF">
        <w:rPr>
          <w:rFonts w:ascii="Times New Roman" w:hAnsi="Times New Roman" w:cs="Times New Roman"/>
          <w:sz w:val="20"/>
          <w:szCs w:val="20"/>
        </w:rPr>
        <w:t>3</w:t>
      </w:r>
      <w:r w:rsidRPr="00C1546C">
        <w:rPr>
          <w:rFonts w:ascii="Times New Roman" w:hAnsi="Times New Roman" w:cs="Times New Roman"/>
          <w:sz w:val="20"/>
          <w:szCs w:val="20"/>
        </w:rPr>
        <w:t>. Effect of gender on trauma-associated vACC connectivity relationships with depressive symptoms (HRSD)</w:t>
      </w:r>
    </w:p>
    <w:p w14:paraId="63175686" w14:textId="77777777" w:rsidR="00DC1945" w:rsidRDefault="00DC19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DDC846" w14:textId="0863AD1D" w:rsidR="00DC1945" w:rsidRDefault="00DC1945" w:rsidP="00D12A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58FCCB" w14:textId="77777777" w:rsidR="00DC1945" w:rsidRDefault="00DC19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83BABA1" w14:textId="72F4F498" w:rsidR="00C1546C" w:rsidRDefault="00C154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129A70B" w14:textId="33B4E34C" w:rsidR="00DC1945" w:rsidRPr="00C1546C" w:rsidRDefault="00DC19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546C">
        <w:rPr>
          <w:rFonts w:ascii="Times New Roman" w:hAnsi="Times New Roman" w:cs="Times New Roman"/>
          <w:sz w:val="20"/>
          <w:szCs w:val="20"/>
        </w:rPr>
        <w:t xml:space="preserve">Supplementary Figure </w:t>
      </w:r>
      <w:r w:rsidR="00E45EAF">
        <w:rPr>
          <w:rFonts w:ascii="Times New Roman" w:hAnsi="Times New Roman" w:cs="Times New Roman"/>
          <w:sz w:val="20"/>
          <w:szCs w:val="20"/>
        </w:rPr>
        <w:t>4</w:t>
      </w:r>
      <w:r w:rsidRPr="00C1546C">
        <w:rPr>
          <w:rFonts w:ascii="Times New Roman" w:hAnsi="Times New Roman" w:cs="Times New Roman"/>
          <w:sz w:val="20"/>
          <w:szCs w:val="20"/>
        </w:rPr>
        <w:t>. Effect of gender on trauma-associated vACC connectivity relationships with anhedonic depression (MASQ-AD)</w:t>
      </w:r>
    </w:p>
    <w:p w14:paraId="6276740B" w14:textId="77777777" w:rsidR="00DC1945" w:rsidRDefault="00DC19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E6F001" w14:textId="3A585ADD" w:rsidR="00DC1945" w:rsidRDefault="00DC1945" w:rsidP="00F36D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9244A8" w14:textId="77777777" w:rsidR="00DC1945" w:rsidRDefault="00DC19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E63BB26" w14:textId="6AA29CA3" w:rsidR="00C1546C" w:rsidRDefault="00C154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660AE32" w14:textId="3D8099D9" w:rsidR="00DC1945" w:rsidRPr="00C1546C" w:rsidRDefault="00DC19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546C">
        <w:rPr>
          <w:rFonts w:ascii="Times New Roman" w:hAnsi="Times New Roman" w:cs="Times New Roman"/>
          <w:sz w:val="20"/>
          <w:szCs w:val="20"/>
        </w:rPr>
        <w:t xml:space="preserve">Supplementary Figure </w:t>
      </w:r>
      <w:r w:rsidR="00E45EAF">
        <w:rPr>
          <w:rFonts w:ascii="Times New Roman" w:hAnsi="Times New Roman" w:cs="Times New Roman"/>
          <w:sz w:val="20"/>
          <w:szCs w:val="20"/>
        </w:rPr>
        <w:t>5</w:t>
      </w:r>
      <w:r w:rsidRPr="00C1546C">
        <w:rPr>
          <w:rFonts w:ascii="Times New Roman" w:hAnsi="Times New Roman" w:cs="Times New Roman"/>
          <w:sz w:val="20"/>
          <w:szCs w:val="20"/>
        </w:rPr>
        <w:t>. Effect of gender on trauma-associated vACC connectivity relationships with anxious arousal (MASQ-AA)</w:t>
      </w:r>
    </w:p>
    <w:p w14:paraId="37FCCF46" w14:textId="77777777" w:rsidR="00DC1945" w:rsidRDefault="00DC19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60C942" w14:textId="7B5FF692" w:rsidR="00DC1945" w:rsidRDefault="00DC1945" w:rsidP="00F36D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15B5DA" w14:textId="77777777" w:rsidR="00DC1945" w:rsidRDefault="00DC19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571DDFA" w14:textId="2B834BAE" w:rsidR="00C1546C" w:rsidRDefault="00C154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8D315ED" w14:textId="099AFF5D" w:rsidR="00F36D50" w:rsidRPr="00C1546C" w:rsidRDefault="00DC19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546C">
        <w:rPr>
          <w:rFonts w:ascii="Times New Roman" w:hAnsi="Times New Roman" w:cs="Times New Roman"/>
          <w:sz w:val="20"/>
          <w:szCs w:val="20"/>
        </w:rPr>
        <w:t xml:space="preserve">Supplementary Figure </w:t>
      </w:r>
      <w:r w:rsidR="00E45EAF">
        <w:rPr>
          <w:rFonts w:ascii="Times New Roman" w:hAnsi="Times New Roman" w:cs="Times New Roman"/>
          <w:sz w:val="20"/>
          <w:szCs w:val="20"/>
        </w:rPr>
        <w:t>6</w:t>
      </w:r>
      <w:r w:rsidRPr="00C1546C">
        <w:rPr>
          <w:rFonts w:ascii="Times New Roman" w:hAnsi="Times New Roman" w:cs="Times New Roman"/>
          <w:sz w:val="20"/>
          <w:szCs w:val="20"/>
        </w:rPr>
        <w:t>. Effect of gender on trauma-associated vACC connectivity relationships with anhedonia (SHAPS)</w:t>
      </w:r>
    </w:p>
    <w:p w14:paraId="10ABEC7F" w14:textId="77777777" w:rsidR="00F36D50" w:rsidRDefault="00F36D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3DC56F" w14:textId="66FB29CD" w:rsidR="00B46448" w:rsidRDefault="00B46448" w:rsidP="00F36D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1FEF138" w14:textId="7DD73D96" w:rsidR="00CA3988" w:rsidRDefault="00E96BCB" w:rsidP="00CA3988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C1546C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14:paraId="32E6A2ED" w14:textId="5DB2D224" w:rsidR="00DA40A1" w:rsidRDefault="00CA3988" w:rsidP="00DA40A1">
      <w:pPr>
        <w:pStyle w:val="EndNoteBibliography"/>
        <w:spacing w:after="0"/>
        <w:rPr>
          <w:noProof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ADDIN EN.REFLIST </w:instrText>
      </w:r>
      <w:r>
        <w:rPr>
          <w:sz w:val="20"/>
          <w:szCs w:val="20"/>
        </w:rPr>
        <w:fldChar w:fldCharType="separate"/>
      </w:r>
      <w:r w:rsidR="00DA40A1" w:rsidRPr="00DA40A1">
        <w:rPr>
          <w:b/>
          <w:noProof/>
        </w:rPr>
        <w:t xml:space="preserve">Eklund, A., Nichols, T. E. &amp; Knutsson, H. </w:t>
      </w:r>
      <w:r w:rsidR="00DA40A1" w:rsidRPr="00DA40A1">
        <w:rPr>
          <w:noProof/>
        </w:rPr>
        <w:t xml:space="preserve">(2016). Cluster failure: why fMRI inferences for spatial extent have inflated false-positive rates. </w:t>
      </w:r>
      <w:r w:rsidR="00DA40A1" w:rsidRPr="00DA40A1">
        <w:rPr>
          <w:i/>
          <w:noProof/>
        </w:rPr>
        <w:t>Proceedings of the National Academy of Sciences</w:t>
      </w:r>
      <w:r w:rsidR="0027190E">
        <w:rPr>
          <w:noProof/>
        </w:rPr>
        <w:t xml:space="preserve"> </w:t>
      </w:r>
      <w:r w:rsidR="0027190E" w:rsidRPr="0027190E">
        <w:rPr>
          <w:b/>
          <w:noProof/>
        </w:rPr>
        <w:t>113</w:t>
      </w:r>
      <w:r w:rsidR="0027190E" w:rsidRPr="0027190E">
        <w:rPr>
          <w:noProof/>
        </w:rPr>
        <w:t>(28)</w:t>
      </w:r>
      <w:r w:rsidR="0027190E">
        <w:rPr>
          <w:noProof/>
        </w:rPr>
        <w:t>,</w:t>
      </w:r>
      <w:bookmarkStart w:id="0" w:name="_GoBack"/>
      <w:bookmarkEnd w:id="0"/>
      <w:r w:rsidR="0027190E" w:rsidRPr="0027190E">
        <w:rPr>
          <w:noProof/>
        </w:rPr>
        <w:t xml:space="preserve"> 7900-7905</w:t>
      </w:r>
      <w:r w:rsidR="00DA40A1" w:rsidRPr="00DA40A1">
        <w:rPr>
          <w:noProof/>
        </w:rPr>
        <w:t>.</w:t>
      </w:r>
    </w:p>
    <w:p w14:paraId="75FAA0B7" w14:textId="77777777" w:rsidR="003966D3" w:rsidRPr="00DA40A1" w:rsidRDefault="003966D3" w:rsidP="00DA40A1">
      <w:pPr>
        <w:pStyle w:val="EndNoteBibliography"/>
        <w:spacing w:after="0"/>
        <w:rPr>
          <w:noProof/>
        </w:rPr>
      </w:pPr>
    </w:p>
    <w:p w14:paraId="69105803" w14:textId="77777777" w:rsidR="00DA40A1" w:rsidRPr="00DA40A1" w:rsidRDefault="00DA40A1" w:rsidP="00DA40A1">
      <w:pPr>
        <w:pStyle w:val="EndNoteBibliography"/>
        <w:rPr>
          <w:noProof/>
        </w:rPr>
      </w:pPr>
      <w:r w:rsidRPr="00DA40A1">
        <w:rPr>
          <w:b/>
          <w:noProof/>
        </w:rPr>
        <w:t xml:space="preserve">Woo, C.-W., Krishnan, A. &amp; Wager, T. D. </w:t>
      </w:r>
      <w:r w:rsidRPr="00DA40A1">
        <w:rPr>
          <w:noProof/>
        </w:rPr>
        <w:t xml:space="preserve">(2014). Cluster-extent based thresholding in fMRI analyses: pitfalls and recommendations. </w:t>
      </w:r>
      <w:r w:rsidRPr="00DA40A1">
        <w:rPr>
          <w:i/>
          <w:noProof/>
        </w:rPr>
        <w:t>Neuroimage</w:t>
      </w:r>
      <w:r w:rsidRPr="00DA40A1">
        <w:rPr>
          <w:noProof/>
        </w:rPr>
        <w:t xml:space="preserve"> </w:t>
      </w:r>
      <w:r w:rsidRPr="00DA40A1">
        <w:rPr>
          <w:b/>
          <w:noProof/>
        </w:rPr>
        <w:t>91</w:t>
      </w:r>
      <w:r w:rsidRPr="00DA40A1">
        <w:rPr>
          <w:noProof/>
        </w:rPr>
        <w:t>, 412-419.</w:t>
      </w:r>
    </w:p>
    <w:p w14:paraId="7ED48CB5" w14:textId="447C2125" w:rsidR="002020D0" w:rsidRPr="00E20B61" w:rsidRDefault="00CA3988" w:rsidP="003966D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end"/>
      </w:r>
    </w:p>
    <w:sectPr w:rsidR="002020D0" w:rsidRPr="00E20B61" w:rsidSect="00345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F3F24" w14:textId="77777777" w:rsidR="00AC1364" w:rsidRDefault="00AC1364" w:rsidP="006E71AB">
      <w:pPr>
        <w:spacing w:after="0" w:line="240" w:lineRule="auto"/>
      </w:pPr>
      <w:r>
        <w:separator/>
      </w:r>
    </w:p>
  </w:endnote>
  <w:endnote w:type="continuationSeparator" w:id="0">
    <w:p w14:paraId="52E0F8CC" w14:textId="77777777" w:rsidR="00AC1364" w:rsidRDefault="00AC1364" w:rsidP="006E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96683" w14:textId="77777777" w:rsidR="00DA40A1" w:rsidRDefault="00DA40A1" w:rsidP="00A4776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BA02B5" w14:textId="77777777" w:rsidR="00DA40A1" w:rsidRDefault="00DA40A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E98DE" w14:textId="145786A2" w:rsidR="00DA40A1" w:rsidRPr="006E71AB" w:rsidRDefault="00DA40A1" w:rsidP="00A47764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</w:rPr>
    </w:pPr>
    <w:r w:rsidRPr="006E71AB">
      <w:rPr>
        <w:rStyle w:val="PageNumber"/>
        <w:rFonts w:ascii="Times New Roman" w:hAnsi="Times New Roman" w:cs="Times New Roman"/>
      </w:rPr>
      <w:fldChar w:fldCharType="begin"/>
    </w:r>
    <w:r w:rsidRPr="006E71AB">
      <w:rPr>
        <w:rStyle w:val="PageNumber"/>
        <w:rFonts w:ascii="Times New Roman" w:hAnsi="Times New Roman" w:cs="Times New Roman"/>
      </w:rPr>
      <w:instrText xml:space="preserve">PAGE  </w:instrText>
    </w:r>
    <w:r w:rsidRPr="006E71AB">
      <w:rPr>
        <w:rStyle w:val="PageNumber"/>
        <w:rFonts w:ascii="Times New Roman" w:hAnsi="Times New Roman" w:cs="Times New Roman"/>
      </w:rPr>
      <w:fldChar w:fldCharType="separate"/>
    </w:r>
    <w:r w:rsidR="0027190E">
      <w:rPr>
        <w:rStyle w:val="PageNumber"/>
        <w:rFonts w:ascii="Times New Roman" w:hAnsi="Times New Roman" w:cs="Times New Roman"/>
        <w:noProof/>
      </w:rPr>
      <w:t>7</w:t>
    </w:r>
    <w:r w:rsidRPr="006E71AB">
      <w:rPr>
        <w:rStyle w:val="PageNumber"/>
        <w:rFonts w:ascii="Times New Roman" w:hAnsi="Times New Roman" w:cs="Times New Roman"/>
      </w:rPr>
      <w:fldChar w:fldCharType="end"/>
    </w:r>
  </w:p>
  <w:p w14:paraId="59925D81" w14:textId="77777777" w:rsidR="00DA40A1" w:rsidRDefault="00DA40A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E3FA1" w14:textId="77777777" w:rsidR="00AC1364" w:rsidRDefault="00AC1364" w:rsidP="006E71AB">
      <w:pPr>
        <w:spacing w:after="0" w:line="240" w:lineRule="auto"/>
      </w:pPr>
      <w:r>
        <w:separator/>
      </w:r>
    </w:p>
  </w:footnote>
  <w:footnote w:type="continuationSeparator" w:id="0">
    <w:p w14:paraId="7D328DD6" w14:textId="77777777" w:rsidR="00AC1364" w:rsidRDefault="00AC1364" w:rsidP="006E7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sychological Medicin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36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606150"/>
    <w:rsid w:val="00000BFD"/>
    <w:rsid w:val="00001605"/>
    <w:rsid w:val="00004F2E"/>
    <w:rsid w:val="00021306"/>
    <w:rsid w:val="00026B06"/>
    <w:rsid w:val="00037218"/>
    <w:rsid w:val="00050883"/>
    <w:rsid w:val="000737EE"/>
    <w:rsid w:val="000804DF"/>
    <w:rsid w:val="00084809"/>
    <w:rsid w:val="0008490A"/>
    <w:rsid w:val="00096490"/>
    <w:rsid w:val="000C6BA9"/>
    <w:rsid w:val="000D3E0C"/>
    <w:rsid w:val="000E065E"/>
    <w:rsid w:val="000E56B0"/>
    <w:rsid w:val="000F30D4"/>
    <w:rsid w:val="000F7C18"/>
    <w:rsid w:val="00110CE7"/>
    <w:rsid w:val="00123783"/>
    <w:rsid w:val="00126B3B"/>
    <w:rsid w:val="0012723D"/>
    <w:rsid w:val="00133BED"/>
    <w:rsid w:val="00133FD4"/>
    <w:rsid w:val="00135407"/>
    <w:rsid w:val="00145B29"/>
    <w:rsid w:val="0014657A"/>
    <w:rsid w:val="00153010"/>
    <w:rsid w:val="00154E9A"/>
    <w:rsid w:val="00156646"/>
    <w:rsid w:val="00157EC7"/>
    <w:rsid w:val="00175825"/>
    <w:rsid w:val="00176B0B"/>
    <w:rsid w:val="0018299F"/>
    <w:rsid w:val="0018397C"/>
    <w:rsid w:val="00192C87"/>
    <w:rsid w:val="00196AA1"/>
    <w:rsid w:val="001A41E1"/>
    <w:rsid w:val="001A4D58"/>
    <w:rsid w:val="001B0076"/>
    <w:rsid w:val="001B12D8"/>
    <w:rsid w:val="001B402C"/>
    <w:rsid w:val="001C4B3D"/>
    <w:rsid w:val="001D6013"/>
    <w:rsid w:val="001F0490"/>
    <w:rsid w:val="001F5D2F"/>
    <w:rsid w:val="002020D0"/>
    <w:rsid w:val="00241A7E"/>
    <w:rsid w:val="002459A0"/>
    <w:rsid w:val="002469C6"/>
    <w:rsid w:val="00262924"/>
    <w:rsid w:val="00263B1E"/>
    <w:rsid w:val="002641B7"/>
    <w:rsid w:val="0027190E"/>
    <w:rsid w:val="0027674B"/>
    <w:rsid w:val="00282DCB"/>
    <w:rsid w:val="00297284"/>
    <w:rsid w:val="002A7008"/>
    <w:rsid w:val="002A70C7"/>
    <w:rsid w:val="002B562B"/>
    <w:rsid w:val="002D4450"/>
    <w:rsid w:val="002D7DE2"/>
    <w:rsid w:val="002E582B"/>
    <w:rsid w:val="00300135"/>
    <w:rsid w:val="003044C5"/>
    <w:rsid w:val="00306FB7"/>
    <w:rsid w:val="00307B00"/>
    <w:rsid w:val="00320B6C"/>
    <w:rsid w:val="00334284"/>
    <w:rsid w:val="00345603"/>
    <w:rsid w:val="00351944"/>
    <w:rsid w:val="0035325E"/>
    <w:rsid w:val="00361419"/>
    <w:rsid w:val="00373477"/>
    <w:rsid w:val="00376708"/>
    <w:rsid w:val="00381831"/>
    <w:rsid w:val="00384654"/>
    <w:rsid w:val="003851F8"/>
    <w:rsid w:val="00390598"/>
    <w:rsid w:val="00390F96"/>
    <w:rsid w:val="003966D3"/>
    <w:rsid w:val="003A5FF4"/>
    <w:rsid w:val="003A7211"/>
    <w:rsid w:val="003B0A44"/>
    <w:rsid w:val="003C757A"/>
    <w:rsid w:val="003E1196"/>
    <w:rsid w:val="003E1271"/>
    <w:rsid w:val="003E6008"/>
    <w:rsid w:val="003E658D"/>
    <w:rsid w:val="00403B86"/>
    <w:rsid w:val="00405586"/>
    <w:rsid w:val="00410E59"/>
    <w:rsid w:val="00414602"/>
    <w:rsid w:val="00417198"/>
    <w:rsid w:val="00421E4F"/>
    <w:rsid w:val="00426704"/>
    <w:rsid w:val="00432706"/>
    <w:rsid w:val="0044151A"/>
    <w:rsid w:val="0044457C"/>
    <w:rsid w:val="0046057D"/>
    <w:rsid w:val="004771D1"/>
    <w:rsid w:val="004840D6"/>
    <w:rsid w:val="00485BE0"/>
    <w:rsid w:val="0048670C"/>
    <w:rsid w:val="00492331"/>
    <w:rsid w:val="004926AE"/>
    <w:rsid w:val="004A11A1"/>
    <w:rsid w:val="004A25F3"/>
    <w:rsid w:val="004B50C1"/>
    <w:rsid w:val="004B57C9"/>
    <w:rsid w:val="004B5C30"/>
    <w:rsid w:val="004C6AD6"/>
    <w:rsid w:val="005368A6"/>
    <w:rsid w:val="00537707"/>
    <w:rsid w:val="0055289A"/>
    <w:rsid w:val="00565FC8"/>
    <w:rsid w:val="00570AEF"/>
    <w:rsid w:val="0057218F"/>
    <w:rsid w:val="005927A5"/>
    <w:rsid w:val="005A78EE"/>
    <w:rsid w:val="005B3027"/>
    <w:rsid w:val="005C2D96"/>
    <w:rsid w:val="005C6815"/>
    <w:rsid w:val="005E2F99"/>
    <w:rsid w:val="005E61E1"/>
    <w:rsid w:val="005F2ECF"/>
    <w:rsid w:val="005F3744"/>
    <w:rsid w:val="00606150"/>
    <w:rsid w:val="0062188C"/>
    <w:rsid w:val="00630C31"/>
    <w:rsid w:val="00631240"/>
    <w:rsid w:val="006324A7"/>
    <w:rsid w:val="0063322F"/>
    <w:rsid w:val="00651B3E"/>
    <w:rsid w:val="00653672"/>
    <w:rsid w:val="00665C70"/>
    <w:rsid w:val="00673A18"/>
    <w:rsid w:val="00682EDA"/>
    <w:rsid w:val="00691ECE"/>
    <w:rsid w:val="006A0942"/>
    <w:rsid w:val="006A2555"/>
    <w:rsid w:val="006B36F7"/>
    <w:rsid w:val="006B399C"/>
    <w:rsid w:val="006D649C"/>
    <w:rsid w:val="006E285A"/>
    <w:rsid w:val="006E45CC"/>
    <w:rsid w:val="006E71AB"/>
    <w:rsid w:val="006F142F"/>
    <w:rsid w:val="006F5FFA"/>
    <w:rsid w:val="0070206F"/>
    <w:rsid w:val="0070372F"/>
    <w:rsid w:val="00703EB1"/>
    <w:rsid w:val="0071028A"/>
    <w:rsid w:val="00712A81"/>
    <w:rsid w:val="007202E4"/>
    <w:rsid w:val="0072181A"/>
    <w:rsid w:val="00733E19"/>
    <w:rsid w:val="00745FAC"/>
    <w:rsid w:val="007505BF"/>
    <w:rsid w:val="00753863"/>
    <w:rsid w:val="0076158F"/>
    <w:rsid w:val="00766637"/>
    <w:rsid w:val="007754F3"/>
    <w:rsid w:val="00775D00"/>
    <w:rsid w:val="00782492"/>
    <w:rsid w:val="00784967"/>
    <w:rsid w:val="00787E9C"/>
    <w:rsid w:val="00791D21"/>
    <w:rsid w:val="00792981"/>
    <w:rsid w:val="00793C81"/>
    <w:rsid w:val="0079501E"/>
    <w:rsid w:val="007974BC"/>
    <w:rsid w:val="007B3368"/>
    <w:rsid w:val="007B6A02"/>
    <w:rsid w:val="007C0DD0"/>
    <w:rsid w:val="007C516D"/>
    <w:rsid w:val="007C6120"/>
    <w:rsid w:val="007D0ACA"/>
    <w:rsid w:val="007F4138"/>
    <w:rsid w:val="007F43AE"/>
    <w:rsid w:val="007F65C3"/>
    <w:rsid w:val="008061B4"/>
    <w:rsid w:val="00812B96"/>
    <w:rsid w:val="008369F9"/>
    <w:rsid w:val="00841C4F"/>
    <w:rsid w:val="00844315"/>
    <w:rsid w:val="00850CAA"/>
    <w:rsid w:val="008514FA"/>
    <w:rsid w:val="0085364F"/>
    <w:rsid w:val="00882033"/>
    <w:rsid w:val="008A3376"/>
    <w:rsid w:val="008A3382"/>
    <w:rsid w:val="008B10CE"/>
    <w:rsid w:val="008C0594"/>
    <w:rsid w:val="008C0C1C"/>
    <w:rsid w:val="008C233E"/>
    <w:rsid w:val="008D4C58"/>
    <w:rsid w:val="008D55A6"/>
    <w:rsid w:val="008D5F44"/>
    <w:rsid w:val="008E22DE"/>
    <w:rsid w:val="008E5387"/>
    <w:rsid w:val="009075F3"/>
    <w:rsid w:val="00924338"/>
    <w:rsid w:val="00944E93"/>
    <w:rsid w:val="00950351"/>
    <w:rsid w:val="0095525A"/>
    <w:rsid w:val="00957122"/>
    <w:rsid w:val="009757EB"/>
    <w:rsid w:val="0097784B"/>
    <w:rsid w:val="0098321F"/>
    <w:rsid w:val="0098479C"/>
    <w:rsid w:val="009874D9"/>
    <w:rsid w:val="00987706"/>
    <w:rsid w:val="00990AC3"/>
    <w:rsid w:val="00993F6A"/>
    <w:rsid w:val="009951D1"/>
    <w:rsid w:val="00997C6B"/>
    <w:rsid w:val="009C635C"/>
    <w:rsid w:val="009E485B"/>
    <w:rsid w:val="009E5B86"/>
    <w:rsid w:val="00A064BF"/>
    <w:rsid w:val="00A11917"/>
    <w:rsid w:val="00A158CD"/>
    <w:rsid w:val="00A24FBD"/>
    <w:rsid w:val="00A332D8"/>
    <w:rsid w:val="00A34945"/>
    <w:rsid w:val="00A44D40"/>
    <w:rsid w:val="00A47764"/>
    <w:rsid w:val="00A560FA"/>
    <w:rsid w:val="00A57494"/>
    <w:rsid w:val="00A70DDB"/>
    <w:rsid w:val="00A72581"/>
    <w:rsid w:val="00A73456"/>
    <w:rsid w:val="00A7586D"/>
    <w:rsid w:val="00A819B6"/>
    <w:rsid w:val="00A900F1"/>
    <w:rsid w:val="00A90EEB"/>
    <w:rsid w:val="00AB1563"/>
    <w:rsid w:val="00AC036B"/>
    <w:rsid w:val="00AC1364"/>
    <w:rsid w:val="00AF12CD"/>
    <w:rsid w:val="00AF2A69"/>
    <w:rsid w:val="00AF3150"/>
    <w:rsid w:val="00B0145A"/>
    <w:rsid w:val="00B30C36"/>
    <w:rsid w:val="00B4017A"/>
    <w:rsid w:val="00B417D0"/>
    <w:rsid w:val="00B462C1"/>
    <w:rsid w:val="00B46448"/>
    <w:rsid w:val="00B5780E"/>
    <w:rsid w:val="00B611BA"/>
    <w:rsid w:val="00B630A7"/>
    <w:rsid w:val="00B641B5"/>
    <w:rsid w:val="00B6497B"/>
    <w:rsid w:val="00B97D74"/>
    <w:rsid w:val="00BA48E0"/>
    <w:rsid w:val="00BB4FD1"/>
    <w:rsid w:val="00BC54B7"/>
    <w:rsid w:val="00BD4796"/>
    <w:rsid w:val="00BD7D3C"/>
    <w:rsid w:val="00BE0B1F"/>
    <w:rsid w:val="00BE176F"/>
    <w:rsid w:val="00BE2BAE"/>
    <w:rsid w:val="00BF7836"/>
    <w:rsid w:val="00C02662"/>
    <w:rsid w:val="00C1546C"/>
    <w:rsid w:val="00C20562"/>
    <w:rsid w:val="00C34EB7"/>
    <w:rsid w:val="00C42495"/>
    <w:rsid w:val="00C5698A"/>
    <w:rsid w:val="00C57814"/>
    <w:rsid w:val="00C721F9"/>
    <w:rsid w:val="00C731CA"/>
    <w:rsid w:val="00C73AE1"/>
    <w:rsid w:val="00C7652B"/>
    <w:rsid w:val="00C77BEC"/>
    <w:rsid w:val="00C9282E"/>
    <w:rsid w:val="00CA2529"/>
    <w:rsid w:val="00CA2FFC"/>
    <w:rsid w:val="00CA3988"/>
    <w:rsid w:val="00CA64EA"/>
    <w:rsid w:val="00CC0ACF"/>
    <w:rsid w:val="00CD25D8"/>
    <w:rsid w:val="00CE77FE"/>
    <w:rsid w:val="00CF73AB"/>
    <w:rsid w:val="00D04407"/>
    <w:rsid w:val="00D069A4"/>
    <w:rsid w:val="00D12943"/>
    <w:rsid w:val="00D12A72"/>
    <w:rsid w:val="00D508A3"/>
    <w:rsid w:val="00D556AC"/>
    <w:rsid w:val="00D76AD6"/>
    <w:rsid w:val="00D82E88"/>
    <w:rsid w:val="00D9155E"/>
    <w:rsid w:val="00D944F2"/>
    <w:rsid w:val="00DA0478"/>
    <w:rsid w:val="00DA3CCE"/>
    <w:rsid w:val="00DA40A1"/>
    <w:rsid w:val="00DA53D4"/>
    <w:rsid w:val="00DA6F35"/>
    <w:rsid w:val="00DB0EB3"/>
    <w:rsid w:val="00DB4E0C"/>
    <w:rsid w:val="00DC1945"/>
    <w:rsid w:val="00DD3B09"/>
    <w:rsid w:val="00DE373B"/>
    <w:rsid w:val="00DE7450"/>
    <w:rsid w:val="00DF1FEF"/>
    <w:rsid w:val="00DF7B85"/>
    <w:rsid w:val="00E00209"/>
    <w:rsid w:val="00E00A8E"/>
    <w:rsid w:val="00E04F9D"/>
    <w:rsid w:val="00E05DB5"/>
    <w:rsid w:val="00E112D0"/>
    <w:rsid w:val="00E12865"/>
    <w:rsid w:val="00E20294"/>
    <w:rsid w:val="00E20B61"/>
    <w:rsid w:val="00E22966"/>
    <w:rsid w:val="00E45EAF"/>
    <w:rsid w:val="00E53287"/>
    <w:rsid w:val="00E536BD"/>
    <w:rsid w:val="00E641CE"/>
    <w:rsid w:val="00E72BA8"/>
    <w:rsid w:val="00E75794"/>
    <w:rsid w:val="00E96BCB"/>
    <w:rsid w:val="00EA6779"/>
    <w:rsid w:val="00EB5594"/>
    <w:rsid w:val="00EC099F"/>
    <w:rsid w:val="00EC59C9"/>
    <w:rsid w:val="00ED7D4B"/>
    <w:rsid w:val="00F01213"/>
    <w:rsid w:val="00F037FD"/>
    <w:rsid w:val="00F061D6"/>
    <w:rsid w:val="00F1046C"/>
    <w:rsid w:val="00F14138"/>
    <w:rsid w:val="00F21432"/>
    <w:rsid w:val="00F26FE1"/>
    <w:rsid w:val="00F355CA"/>
    <w:rsid w:val="00F36D50"/>
    <w:rsid w:val="00F40B81"/>
    <w:rsid w:val="00F54701"/>
    <w:rsid w:val="00F610D1"/>
    <w:rsid w:val="00F61BD7"/>
    <w:rsid w:val="00F772E0"/>
    <w:rsid w:val="00F95745"/>
    <w:rsid w:val="00F97DEE"/>
    <w:rsid w:val="00FB0697"/>
    <w:rsid w:val="00FD3F02"/>
    <w:rsid w:val="00FE1CA0"/>
    <w:rsid w:val="00FE278D"/>
    <w:rsid w:val="00FE2DFA"/>
    <w:rsid w:val="00FE4722"/>
    <w:rsid w:val="00FF6A89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5B7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150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20D0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rsid w:val="00E96BCB"/>
    <w:pPr>
      <w:spacing w:after="0"/>
      <w:jc w:val="center"/>
    </w:pPr>
    <w:rPr>
      <w:rFonts w:ascii="Times New Roman" w:hAnsi="Times New Roman" w:cs="Times New Roman"/>
      <w:sz w:val="24"/>
    </w:rPr>
  </w:style>
  <w:style w:type="paragraph" w:customStyle="1" w:styleId="EndNoteBibliography">
    <w:name w:val="EndNote Bibliography"/>
    <w:basedOn w:val="Normal"/>
    <w:rsid w:val="00E96BCB"/>
    <w:pPr>
      <w:spacing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E7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1AB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7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1AB"/>
    <w:rPr>
      <w:rFonts w:eastAsiaTheme="minorEastAsia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E71AB"/>
  </w:style>
  <w:style w:type="paragraph" w:styleId="CommentText">
    <w:name w:val="annotation text"/>
    <w:basedOn w:val="Normal"/>
    <w:link w:val="CommentTextChar"/>
    <w:uiPriority w:val="99"/>
    <w:semiHidden/>
    <w:unhideWhenUsed/>
    <w:rsid w:val="008D55A6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5A6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1D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1D1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2137</Words>
  <Characters>12182</Characters>
  <Application>Microsoft Macintosh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Eckstrand</dc:creator>
  <cp:keywords/>
  <dc:description/>
  <cp:lastModifiedBy>Kristen Eckstrand</cp:lastModifiedBy>
  <cp:revision>14</cp:revision>
  <dcterms:created xsi:type="dcterms:W3CDTF">2018-05-04T01:25:00Z</dcterms:created>
  <dcterms:modified xsi:type="dcterms:W3CDTF">2018-06-18T22:39:00Z</dcterms:modified>
</cp:coreProperties>
</file>