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C2" w:rsidRDefault="00AE4623" w:rsidP="006032C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</w:pPr>
      <w:r w:rsidRPr="005A2A4D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Supplementary Material</w:t>
      </w:r>
    </w:p>
    <w:p w:rsidR="006032C2" w:rsidRPr="005A2A4D" w:rsidRDefault="006032C2" w:rsidP="006032C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</w:pPr>
    </w:p>
    <w:p w:rsidR="00687B90" w:rsidRDefault="006032C2" w:rsidP="00687B90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</w:pPr>
      <w:r w:rsidRPr="006032C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Supplementary Methods</w:t>
      </w:r>
    </w:p>
    <w:p w:rsidR="00687B90" w:rsidRPr="00687B90" w:rsidRDefault="00687B90" w:rsidP="00687B90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i/>
          <w:color w:val="222222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0"/>
          <w:shd w:val="clear" w:color="auto" w:fill="FFFFFF"/>
        </w:rPr>
        <w:t>Auditory stimuli</w:t>
      </w:r>
    </w:p>
    <w:p w:rsidR="006223F6" w:rsidRDefault="00687B90" w:rsidP="006032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 xml:space="preserve">A t-test was performed to compare characteristics of the words (such as accuracy and response time), no significant differences between the characteristics of the target and the </w:t>
      </w:r>
      <w:r>
        <w:rPr>
          <w:rFonts w:ascii="Times New Roman" w:hAnsi="Times New Roman" w:cs="Times New Roman"/>
          <w:sz w:val="24"/>
          <w:szCs w:val="24"/>
        </w:rPr>
        <w:t>distractors were found (all p&gt;.10</w:t>
      </w:r>
      <w:r w:rsidRPr="005A2A4D">
        <w:rPr>
          <w:rFonts w:ascii="Times New Roman" w:hAnsi="Times New Roman" w:cs="Times New Roman"/>
          <w:sz w:val="24"/>
          <w:szCs w:val="24"/>
        </w:rPr>
        <w:t xml:space="preserve">). This indicates that auditory recognition of these words will not be based on intrinsic properties of the different words. </w:t>
      </w:r>
      <w:r w:rsidR="006032C2">
        <w:rPr>
          <w:rFonts w:ascii="Times New Roman" w:hAnsi="Times New Roman" w:cs="Times New Roman"/>
          <w:sz w:val="24"/>
          <w:szCs w:val="24"/>
        </w:rPr>
        <w:t xml:space="preserve">Two Dutch speaking volunteers 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who were </w:t>
      </w:r>
      <w:r w:rsidR="006032C2">
        <w:rPr>
          <w:rFonts w:ascii="Times New Roman" w:hAnsi="Times New Roman" w:cs="Times New Roman"/>
          <w:sz w:val="24"/>
          <w:szCs w:val="24"/>
        </w:rPr>
        <w:t>unaware of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 the </w:t>
      </w:r>
      <w:r w:rsidR="006032C2">
        <w:rPr>
          <w:rFonts w:ascii="Times New Roman" w:hAnsi="Times New Roman" w:cs="Times New Roman"/>
          <w:sz w:val="24"/>
          <w:szCs w:val="24"/>
        </w:rPr>
        <w:t>aims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 of the </w:t>
      </w:r>
      <w:r w:rsidR="006032C2">
        <w:rPr>
          <w:rFonts w:ascii="Times New Roman" w:hAnsi="Times New Roman" w:cs="Times New Roman"/>
          <w:sz w:val="24"/>
          <w:szCs w:val="24"/>
        </w:rPr>
        <w:t>study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, were asked to read all </w:t>
      </w:r>
      <w:r w:rsidR="006032C2">
        <w:rPr>
          <w:rFonts w:ascii="Times New Roman" w:hAnsi="Times New Roman" w:cs="Times New Roman"/>
          <w:sz w:val="24"/>
          <w:szCs w:val="24"/>
        </w:rPr>
        <w:t>words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 aloud twice in a normal </w:t>
      </w:r>
      <w:r w:rsidR="006032C2">
        <w:rPr>
          <w:rFonts w:ascii="Times New Roman" w:hAnsi="Times New Roman" w:cs="Times New Roman"/>
          <w:sz w:val="24"/>
          <w:szCs w:val="24"/>
        </w:rPr>
        <w:t xml:space="preserve">speaking </w:t>
      </w:r>
      <w:r w:rsidR="006032C2" w:rsidRPr="005A2A4D">
        <w:rPr>
          <w:rFonts w:ascii="Times New Roman" w:hAnsi="Times New Roman" w:cs="Times New Roman"/>
          <w:sz w:val="24"/>
          <w:szCs w:val="24"/>
        </w:rPr>
        <w:t xml:space="preserve">voice. </w:t>
      </w:r>
      <w:r w:rsidR="006032C2">
        <w:rPr>
          <w:rFonts w:ascii="Times New Roman" w:hAnsi="Times New Roman" w:cs="Times New Roman"/>
          <w:sz w:val="24"/>
          <w:szCs w:val="24"/>
        </w:rPr>
        <w:t>The o</w:t>
      </w:r>
      <w:r w:rsidR="006032C2" w:rsidRPr="007B2203">
        <w:rPr>
          <w:rFonts w:ascii="Times New Roman" w:hAnsi="Times New Roman" w:cs="Times New Roman"/>
          <w:sz w:val="24"/>
          <w:szCs w:val="24"/>
        </w:rPr>
        <w:t xml:space="preserve">rder of the </w:t>
      </w:r>
      <w:r w:rsidR="006032C2">
        <w:rPr>
          <w:rFonts w:ascii="Times New Roman" w:hAnsi="Times New Roman" w:cs="Times New Roman"/>
          <w:sz w:val="24"/>
          <w:szCs w:val="24"/>
        </w:rPr>
        <w:t xml:space="preserve">words was </w:t>
      </w:r>
      <w:r w:rsidR="006032C2" w:rsidRPr="007B2203">
        <w:rPr>
          <w:rFonts w:ascii="Times New Roman" w:hAnsi="Times New Roman" w:cs="Times New Roman"/>
          <w:sz w:val="24"/>
          <w:szCs w:val="24"/>
        </w:rPr>
        <w:t xml:space="preserve">randomized during the recording phase, to </w:t>
      </w:r>
      <w:r w:rsidR="006032C2">
        <w:rPr>
          <w:rFonts w:ascii="Times New Roman" w:hAnsi="Times New Roman" w:cs="Times New Roman"/>
          <w:sz w:val="24"/>
          <w:szCs w:val="24"/>
        </w:rPr>
        <w:t>counteract</w:t>
      </w:r>
      <w:r w:rsidR="006032C2" w:rsidRPr="007B2203">
        <w:rPr>
          <w:rFonts w:ascii="Times New Roman" w:hAnsi="Times New Roman" w:cs="Times New Roman"/>
          <w:sz w:val="24"/>
          <w:szCs w:val="24"/>
        </w:rPr>
        <w:t xml:space="preserve"> </w:t>
      </w:r>
      <w:r w:rsidR="006032C2">
        <w:rPr>
          <w:rFonts w:ascii="Times New Roman" w:hAnsi="Times New Roman" w:cs="Times New Roman"/>
          <w:sz w:val="24"/>
          <w:szCs w:val="24"/>
        </w:rPr>
        <w:t xml:space="preserve">potential </w:t>
      </w:r>
      <w:r w:rsidR="006032C2" w:rsidRPr="007B2203">
        <w:rPr>
          <w:rFonts w:ascii="Times New Roman" w:hAnsi="Times New Roman" w:cs="Times New Roman"/>
          <w:sz w:val="24"/>
          <w:szCs w:val="24"/>
        </w:rPr>
        <w:t xml:space="preserve">word order effects in stress patterns. </w:t>
      </w:r>
      <w:r w:rsidR="006032C2" w:rsidRPr="005A2A4D">
        <w:rPr>
          <w:rFonts w:ascii="Times New Roman" w:hAnsi="Times New Roman" w:cs="Times New Roman"/>
          <w:sz w:val="24"/>
          <w:szCs w:val="24"/>
        </w:rPr>
        <w:t>The stimuli were recorded onto a TASCAM DR-40 solid state recorder using an AKG-C544l head-worn cardioid microphone. Speech was digitally recorded in a single channel (mono) at a sampling rate of 44,100 kHz with 16-bit quantization.</w:t>
      </w:r>
    </w:p>
    <w:p w:rsidR="006223F6" w:rsidRPr="006223F6" w:rsidRDefault="006223F6" w:rsidP="006032C2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6223F6" w:rsidRPr="006223F6" w:rsidRDefault="006223F6" w:rsidP="006223F6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6223F6">
        <w:rPr>
          <w:rFonts w:ascii="Times New Roman" w:hAnsi="Times New Roman" w:cs="Times New Roman"/>
          <w:b/>
          <w:i/>
          <w:sz w:val="24"/>
          <w:szCs w:val="26"/>
        </w:rPr>
        <w:t xml:space="preserve">Data processing </w:t>
      </w:r>
    </w:p>
    <w:p w:rsidR="006223F6" w:rsidRDefault="006223F6" w:rsidP="006223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all</w:t>
      </w:r>
      <w:r w:rsidRPr="007B2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identical </w:t>
      </w:r>
      <w:r w:rsidRPr="007B2203">
        <w:rPr>
          <w:rFonts w:ascii="Times New Roman" w:hAnsi="Times New Roman" w:cs="Times New Roman"/>
          <w:sz w:val="24"/>
          <w:szCs w:val="24"/>
        </w:rPr>
        <w:t>duplicates were removed</w:t>
      </w:r>
      <w:r w:rsidRPr="005A2A4D">
        <w:rPr>
          <w:rFonts w:ascii="Times New Roman" w:hAnsi="Times New Roman" w:cs="Times New Roman"/>
          <w:sz w:val="24"/>
          <w:szCs w:val="24"/>
        </w:rPr>
        <w:t xml:space="preserve">. In case of repeated entries for </w:t>
      </w:r>
      <w:r>
        <w:rPr>
          <w:rFonts w:ascii="Times New Roman" w:hAnsi="Times New Roman" w:cs="Times New Roman"/>
          <w:sz w:val="24"/>
          <w:szCs w:val="24"/>
        </w:rPr>
        <w:t>a single</w:t>
      </w:r>
      <w:r w:rsidRPr="005A2A4D">
        <w:rPr>
          <w:rFonts w:ascii="Times New Roman" w:hAnsi="Times New Roman" w:cs="Times New Roman"/>
          <w:sz w:val="24"/>
          <w:szCs w:val="24"/>
        </w:rPr>
        <w:t xml:space="preserve"> participant, the first non-empty entry was used for analysis to avoid learning effects in the later entries. </w:t>
      </w:r>
      <w:r>
        <w:rPr>
          <w:rFonts w:ascii="Times New Roman" w:hAnsi="Times New Roman" w:cs="Times New Roman"/>
          <w:sz w:val="24"/>
          <w:szCs w:val="24"/>
        </w:rPr>
        <w:t>All entries in which no response was registered</w:t>
      </w:r>
      <w:r w:rsidRPr="005A2A4D">
        <w:rPr>
          <w:rFonts w:ascii="Times New Roman" w:hAnsi="Times New Roman" w:cs="Times New Roman"/>
          <w:sz w:val="24"/>
          <w:szCs w:val="24"/>
        </w:rPr>
        <w:t xml:space="preserve"> we</w:t>
      </w:r>
      <w:bookmarkStart w:id="0" w:name="_GoBack"/>
      <w:bookmarkEnd w:id="0"/>
      <w:r w:rsidRPr="005A2A4D">
        <w:rPr>
          <w:rFonts w:ascii="Times New Roman" w:hAnsi="Times New Roman" w:cs="Times New Roman"/>
          <w:sz w:val="24"/>
          <w:szCs w:val="24"/>
        </w:rPr>
        <w:t xml:space="preserve">re removed; these were </w:t>
      </w:r>
      <w:r>
        <w:rPr>
          <w:rFonts w:ascii="Times New Roman" w:hAnsi="Times New Roman" w:cs="Times New Roman"/>
          <w:sz w:val="24"/>
          <w:szCs w:val="24"/>
        </w:rPr>
        <w:t>due to incompatib</w:t>
      </w:r>
      <w:r>
        <w:rPr>
          <w:rFonts w:ascii="Times New Roman" w:hAnsi="Times New Roman" w:cs="Times New Roman"/>
          <w:sz w:val="24"/>
          <w:szCs w:val="24"/>
        </w:rPr>
        <w:t xml:space="preserve">ility issues with iOS devices. </w:t>
      </w:r>
    </w:p>
    <w:p w:rsidR="006223F6" w:rsidRDefault="006223F6" w:rsidP="006223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Validation of the data was further improved by </w:t>
      </w:r>
      <w:r w:rsidRPr="000544D4">
        <w:rPr>
          <w:rFonts w:ascii="Times New Roman" w:hAnsi="Times New Roman" w:cs="Times New Roman"/>
          <w:sz w:val="24"/>
          <w:szCs w:val="24"/>
        </w:rPr>
        <w:t>removing data that looked suspect</w:t>
      </w:r>
      <w:r>
        <w:rPr>
          <w:rFonts w:ascii="Times New Roman" w:hAnsi="Times New Roman" w:cs="Times New Roman"/>
          <w:sz w:val="24"/>
          <w:szCs w:val="24"/>
        </w:rPr>
        <w:t>. This was required because p</w:t>
      </w:r>
      <w:r w:rsidRPr="005A2A4D">
        <w:rPr>
          <w:rFonts w:ascii="Times New Roman" w:hAnsi="Times New Roman" w:cs="Times New Roman"/>
          <w:sz w:val="24"/>
          <w:szCs w:val="24"/>
        </w:rPr>
        <w:t>articipants were able to access the experiment from their mob</w:t>
      </w:r>
      <w:r>
        <w:rPr>
          <w:rFonts w:ascii="Times New Roman" w:hAnsi="Times New Roman" w:cs="Times New Roman"/>
          <w:sz w:val="24"/>
          <w:szCs w:val="24"/>
        </w:rPr>
        <w:t>ile device anywhere they wanted without supervision</w:t>
      </w:r>
      <w:r w:rsidRPr="005A2A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Therefore</w:t>
      </w:r>
      <w:r w:rsidRPr="005A2A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544D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removed participants</w:t>
      </w:r>
      <w:r w:rsidRPr="005A2A4D">
        <w:rPr>
          <w:rFonts w:ascii="Times New Roman" w:hAnsi="Times New Roman" w:cs="Times New Roman"/>
          <w:sz w:val="24"/>
          <w:szCs w:val="24"/>
        </w:rPr>
        <w:t xml:space="preserve"> that failed to respond to any target stimulus (n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5A2A4D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>; mean age=38.5, mean years of education=14.0). Furthermore p</w:t>
      </w:r>
      <w:r w:rsidRPr="005A2A4D">
        <w:rPr>
          <w:rFonts w:ascii="Times New Roman" w:hAnsi="Times New Roman" w:cs="Times New Roman"/>
          <w:sz w:val="24"/>
          <w:szCs w:val="24"/>
        </w:rPr>
        <w:t>articipants with a</w:t>
      </w:r>
      <w:r>
        <w:rPr>
          <w:rFonts w:ascii="Times New Roman" w:hAnsi="Times New Roman" w:cs="Times New Roman"/>
          <w:sz w:val="24"/>
          <w:szCs w:val="24"/>
        </w:rPr>
        <w:t>n overall</w:t>
      </w:r>
      <w:r w:rsidRPr="005A2A4D">
        <w:rPr>
          <w:rFonts w:ascii="Times New Roman" w:hAnsi="Times New Roman" w:cs="Times New Roman"/>
          <w:sz w:val="24"/>
          <w:szCs w:val="24"/>
        </w:rPr>
        <w:t xml:space="preserve"> mean response time of &lt;200ms were removed from </w:t>
      </w:r>
      <w:r w:rsidRPr="005A2A4D">
        <w:rPr>
          <w:rFonts w:ascii="Times New Roman" w:hAnsi="Times New Roman" w:cs="Times New Roman"/>
          <w:sz w:val="24"/>
          <w:szCs w:val="24"/>
        </w:rPr>
        <w:lastRenderedPageBreak/>
        <w:t>further analyses (n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5A2A4D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). This cutoff was based on </w:t>
      </w:r>
      <w:r w:rsidRPr="005A2A4D">
        <w:rPr>
          <w:rFonts w:ascii="Times New Roman" w:hAnsi="Times New Roman" w:cs="Times New Roman"/>
          <w:sz w:val="24"/>
          <w:szCs w:val="24"/>
        </w:rPr>
        <w:t xml:space="preserve">eye tracking studies </w:t>
      </w:r>
      <w:r>
        <w:rPr>
          <w:rFonts w:ascii="Times New Roman" w:hAnsi="Times New Roman" w:cs="Times New Roman"/>
          <w:sz w:val="24"/>
          <w:szCs w:val="24"/>
        </w:rPr>
        <w:t>that show</w:t>
      </w:r>
      <w:r w:rsidRPr="005A2A4D">
        <w:rPr>
          <w:rFonts w:ascii="Times New Roman" w:hAnsi="Times New Roman" w:cs="Times New Roman"/>
          <w:sz w:val="24"/>
          <w:szCs w:val="24"/>
        </w:rPr>
        <w:t xml:space="preserve"> that the earliest stages of spoken languag</w:t>
      </w:r>
      <w:r>
        <w:rPr>
          <w:rFonts w:ascii="Times New Roman" w:hAnsi="Times New Roman" w:cs="Times New Roman"/>
          <w:sz w:val="24"/>
          <w:szCs w:val="24"/>
        </w:rPr>
        <w:t xml:space="preserve">e comprehension start at 200ms </w:t>
      </w:r>
      <w:r w:rsidRPr="005A2A4D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"ISSN" : "0749-596X", "author" : [ { "dropping-particle" : "", "family" : "Allopenna", "given" : "Paul D", "non-dropping-particle" : "", "parse-names" : false, "suffix" : "" }, { "dropping-particle" : "", "family" : "Magnuson", "given" : "James S", "non-dropping-particle" : "", "parse-names" : false, "suffix" : "" }, { "dropping-particle" : "", "family" : "Tanenhaus", "given" : "Michael K", "non-dropping-particle" : "", "parse-names" : false, "suffix" : "" } ], "container-title" : "Journal of memory and language", "id" : "ITEM-1", "issue" : "4", "issued" : { "date-parts" : [ [ "1998" ] ] }, "page" : "419-439", "publisher" : "Elsevier", "title" : "Tracking the time course of spoken word recognition using eye movements: Evidence for continuous mapping models", "type" : "article-journal", "volume" : "38" }, "uris" : [ "http://www.mendeley.com/documents/?uuid=6c994242-02bd-40aa-a5e4-5e6faaa34958" ] } ], "mendeley" : { "formattedCitation" : "(Allopenna &lt;i&gt;et al.&lt;/i&gt; 1998)", "plainTextFormattedCitation" : "(Allopenna et al. 1998)", "previouslyFormattedCitation" : "(Allopenna &lt;i&gt;et al.&lt;/i&gt; 1998)" }, "properties" : {  }, "schema" : "https://github.com/citation-style-language/schema/raw/master/csl-citation.json" }</w:instrText>
      </w:r>
      <w:r w:rsidRPr="005A2A4D">
        <w:rPr>
          <w:rFonts w:ascii="Times New Roman" w:hAnsi="Times New Roman" w:cs="Times New Roman"/>
          <w:sz w:val="24"/>
          <w:szCs w:val="24"/>
        </w:rPr>
        <w:fldChar w:fldCharType="separate"/>
      </w:r>
      <w:r w:rsidRPr="00C26D22">
        <w:rPr>
          <w:rFonts w:ascii="Times New Roman" w:hAnsi="Times New Roman" w:cs="Times New Roman"/>
          <w:noProof/>
          <w:sz w:val="24"/>
          <w:szCs w:val="24"/>
        </w:rPr>
        <w:t xml:space="preserve">(Allopenna </w:t>
      </w:r>
      <w:r w:rsidRPr="00C26D22">
        <w:rPr>
          <w:rFonts w:ascii="Times New Roman" w:hAnsi="Times New Roman" w:cs="Times New Roman"/>
          <w:i/>
          <w:noProof/>
          <w:sz w:val="24"/>
          <w:szCs w:val="24"/>
        </w:rPr>
        <w:t>et al.</w:t>
      </w:r>
      <w:r w:rsidRPr="00C26D22">
        <w:rPr>
          <w:rFonts w:ascii="Times New Roman" w:hAnsi="Times New Roman" w:cs="Times New Roman"/>
          <w:noProof/>
          <w:sz w:val="24"/>
          <w:szCs w:val="24"/>
        </w:rPr>
        <w:t xml:space="preserve"> 1998)</w:t>
      </w:r>
      <w:r w:rsidRPr="005A2A4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B90" w:rsidRDefault="00687B90" w:rsidP="006032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2C2" w:rsidRDefault="006032C2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 w:type="page"/>
      </w:r>
    </w:p>
    <w:p w:rsidR="006032C2" w:rsidRPr="006032C2" w:rsidRDefault="006032C2" w:rsidP="006032C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</w:pPr>
      <w:r w:rsidRPr="006032C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lastRenderedPageBreak/>
        <w:t xml:space="preserve">Supplementary </w:t>
      </w:r>
      <w:r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Table</w:t>
      </w:r>
    </w:p>
    <w:p w:rsidR="006032C2" w:rsidRPr="006032C2" w:rsidRDefault="006032C2" w:rsidP="006032C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</w:p>
    <w:p w:rsidR="00AE4623" w:rsidRPr="005A2A4D" w:rsidRDefault="00AE4623" w:rsidP="006032C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</w:pPr>
      <w:r w:rsidRPr="005A2A4D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Table S1. GLM in participants with normal hearing</w:t>
      </w:r>
    </w:p>
    <w:tbl>
      <w:tblPr>
        <w:tblStyle w:val="Tabelraster"/>
        <w:tblpPr w:leftFromText="141" w:rightFromText="141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1735"/>
        <w:gridCol w:w="2182"/>
        <w:gridCol w:w="2149"/>
      </w:tblGrid>
      <w:tr w:rsidR="00AE4623" w:rsidRPr="005A2A4D" w:rsidTr="009D42F5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Pillai’s Trace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F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i/>
                <w:color w:val="222222"/>
                <w:szCs w:val="20"/>
                <w:shd w:val="clear" w:color="auto" w:fill="FFFFFF"/>
              </w:rPr>
              <w:t>p-</w:t>
            </w: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value</w:t>
            </w:r>
            <w:r w:rsidRPr="005A2A4D">
              <w:rPr>
                <w:rFonts w:ascii="Times New Roman" w:hAnsi="Times New Roman" w:cs="Times New Roman"/>
                <w:i/>
                <w:color w:val="222222"/>
                <w:szCs w:val="20"/>
                <w:shd w:val="clear" w:color="auto" w:fill="FFFFFF"/>
              </w:rPr>
              <w:t xml:space="preserve"> </w:t>
            </w:r>
          </w:p>
        </w:tc>
      </w:tr>
      <w:tr w:rsidR="00AE4623" w:rsidRPr="005A2A4D" w:rsidTr="009D42F5"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Age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.004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5.746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.003**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E54BD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Hit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11.376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.004**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E54BD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False-alarm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.014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&lt;.0001**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496A9B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Years of education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.016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20.901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&lt;.0001**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Hit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2.845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.092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False-alarm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35.432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&lt;.0001**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Gender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.001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1.070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.343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Hit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False-alarm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</w:tr>
      <w:tr w:rsidR="00AE4623" w:rsidRPr="005A2A4D" w:rsidTr="009D42F5"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Auditory Hallucinations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.006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2.418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.025*</w:t>
            </w:r>
          </w:p>
        </w:tc>
      </w:tr>
      <w:tr w:rsidR="00AE4623" w:rsidRPr="005A2A4D" w:rsidTr="009D42F5">
        <w:trPr>
          <w:trHeight w:val="333"/>
        </w:trPr>
        <w:tc>
          <w:tcPr>
            <w:tcW w:w="3030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Hit rate</w:t>
            </w:r>
          </w:p>
        </w:tc>
        <w:tc>
          <w:tcPr>
            <w:tcW w:w="1735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1.560</w:t>
            </w:r>
          </w:p>
        </w:tc>
        <w:tc>
          <w:tcPr>
            <w:tcW w:w="2149" w:type="dxa"/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.197</w:t>
            </w:r>
          </w:p>
        </w:tc>
      </w:tr>
      <w:tr w:rsidR="00AE4623" w:rsidRPr="005A2A4D" w:rsidTr="009D42F5"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   </w:t>
            </w:r>
            <w:r w:rsidR="00E54BDA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 xml:space="preserve"> False-alarm rate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3.686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AE4623" w:rsidRPr="005A2A4D" w:rsidRDefault="00AE4623" w:rsidP="009D42F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</w:pPr>
            <w:r w:rsidRPr="005A2A4D">
              <w:rPr>
                <w:rFonts w:ascii="Times New Roman" w:hAnsi="Times New Roman" w:cs="Times New Roman"/>
                <w:color w:val="222222"/>
                <w:szCs w:val="20"/>
                <w:shd w:val="clear" w:color="auto" w:fill="FFFFFF"/>
              </w:rPr>
              <w:t>.012*</w:t>
            </w:r>
          </w:p>
        </w:tc>
      </w:tr>
    </w:tbl>
    <w:p w:rsidR="00AE4623" w:rsidRPr="00496A9B" w:rsidRDefault="00AE4623" w:rsidP="00496A9B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</w:pPr>
      <w:r w:rsidRPr="005A2A4D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Table legend: </w:t>
      </w:r>
      <w:r w:rsidRPr="005A2A4D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* = significant at the </w:t>
      </w:r>
      <w:r w:rsidR="00E54BDA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α</w:t>
      </w:r>
      <w:r w:rsidRPr="005A2A4D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 </w:t>
      </w:r>
      <w:r w:rsidR="00E54BDA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=</w:t>
      </w:r>
      <w:r w:rsidRPr="005A2A4D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 .05 level</w:t>
      </w:r>
      <w:r w:rsidRPr="005A2A4D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 </w:t>
      </w:r>
      <w:r w:rsidRPr="005A2A4D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** = significant at the </w:t>
      </w:r>
      <w:r w:rsidR="00E54BDA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α</w:t>
      </w:r>
      <w:r w:rsidR="00E54BDA" w:rsidRPr="005A2A4D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 </w:t>
      </w:r>
      <w:r w:rsidR="00E54BDA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=</w:t>
      </w:r>
      <w:r w:rsidR="00496A9B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 xml:space="preserve"> .01 level. </w:t>
      </w:r>
    </w:p>
    <w:p w:rsidR="00AE4623" w:rsidRPr="005A2A4D" w:rsidRDefault="00AE4623" w:rsidP="00AE4623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4237BD" w:rsidRDefault="004237BD"/>
    <w:sectPr w:rsidR="0042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3"/>
    <w:rsid w:val="000367C3"/>
    <w:rsid w:val="00402458"/>
    <w:rsid w:val="004237BD"/>
    <w:rsid w:val="00496A9B"/>
    <w:rsid w:val="006032C2"/>
    <w:rsid w:val="006223F6"/>
    <w:rsid w:val="006728B0"/>
    <w:rsid w:val="00687B90"/>
    <w:rsid w:val="009B4985"/>
    <w:rsid w:val="00A84C36"/>
    <w:rsid w:val="00AE4623"/>
    <w:rsid w:val="00CE78B7"/>
    <w:rsid w:val="00E54BDA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623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623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1F2C-72DB-4B05-97B5-BEA9D666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CE09D8B2</Template>
  <TotalTime>0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Boer-18, J.N. de</dc:creator>
  <cp:lastModifiedBy>Boer-18, J.N. de</cp:lastModifiedBy>
  <cp:revision>2</cp:revision>
  <dcterms:created xsi:type="dcterms:W3CDTF">2018-10-31T13:39:00Z</dcterms:created>
  <dcterms:modified xsi:type="dcterms:W3CDTF">2018-10-31T13:39:00Z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http://www.zotero.org/styles/neuroscience-and-biobehavioral-reviews</vt:lpwstr>
  </property>
  <property fmtid="{D5CDD505-2E9C-101B-9397-08002B2CF9AE}" pid="19" name="Mendeley Recent Style Name 8_1">
    <vt:lpwstr>Neuroscience and Biobehavioral Reviews</vt:lpwstr>
  </property>
  <property fmtid="{D5CDD505-2E9C-101B-9397-08002B2CF9AE}" pid="20" name="Mendeley Recent Style Id 9_1">
    <vt:lpwstr>http://www.zotero.org/styles/psychological-medicine</vt:lpwstr>
  </property>
  <property fmtid="{D5CDD505-2E9C-101B-9397-08002B2CF9AE}" pid="21" name="Mendeley Recent Style Name 9_1">
    <vt:lpwstr>Psychological Medicine</vt:lpwstr>
  </property>
</Properties>
</file>