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80" w:rsidRDefault="00A55D80" w:rsidP="00993815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Material</w:t>
      </w:r>
    </w:p>
    <w:p w:rsidR="00993815" w:rsidRPr="00993815" w:rsidRDefault="00993815" w:rsidP="00993815">
      <w:pPr>
        <w:spacing w:line="480" w:lineRule="auto"/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993815">
        <w:rPr>
          <w:rFonts w:ascii="Arial" w:hAnsi="Arial" w:cs="Arial"/>
          <w:b/>
          <w:i/>
        </w:rPr>
        <w:t xml:space="preserve">Definitions of variables </w:t>
      </w:r>
    </w:p>
    <w:p w:rsidR="00993815" w:rsidRPr="00993815" w:rsidRDefault="00993815" w:rsidP="00993815">
      <w:pPr>
        <w:spacing w:line="480" w:lineRule="auto"/>
        <w:jc w:val="both"/>
        <w:rPr>
          <w:rFonts w:ascii="Arial" w:hAnsi="Arial" w:cs="Arial"/>
          <w:lang w:val="en-US"/>
        </w:rPr>
      </w:pPr>
      <w:r w:rsidRPr="00993815">
        <w:rPr>
          <w:rFonts w:ascii="Arial" w:hAnsi="Arial" w:cs="Arial"/>
        </w:rPr>
        <w:t xml:space="preserve">“Study year” was defined as the year in which each study was published; this variable was categorised into four categories based on inter-quartile ranges. “Study region” referred to the country in which the study was carried out; this variable encompassed information on the five main regions: 1) </w:t>
      </w:r>
      <w:r w:rsidRPr="00993815">
        <w:rPr>
          <w:rFonts w:ascii="Arial" w:hAnsi="Arial" w:cs="Arial"/>
          <w:i/>
        </w:rPr>
        <w:t>Asia</w:t>
      </w:r>
      <w:r w:rsidRPr="00993815">
        <w:rPr>
          <w:rFonts w:ascii="Arial" w:hAnsi="Arial" w:cs="Arial"/>
        </w:rPr>
        <w:t xml:space="preserve"> which included countries such as China, Hong Kong, United Arab Emirates, Singapore and India; 2) Australia and New Zealand; 3) </w:t>
      </w:r>
      <w:r w:rsidRPr="00993815">
        <w:rPr>
          <w:rFonts w:ascii="Arial" w:hAnsi="Arial" w:cs="Arial"/>
          <w:i/>
        </w:rPr>
        <w:t xml:space="preserve">Europe </w:t>
      </w:r>
      <w:r w:rsidRPr="00993815">
        <w:rPr>
          <w:rFonts w:ascii="Arial" w:hAnsi="Arial" w:cs="Arial"/>
        </w:rPr>
        <w:t xml:space="preserve">incorporated countries that are currently part of the European Union, Switzerland and Norway were also included in this subgroup; 4) </w:t>
      </w:r>
      <w:r w:rsidRPr="00993815">
        <w:rPr>
          <w:rFonts w:ascii="Arial" w:hAnsi="Arial" w:cs="Arial"/>
          <w:i/>
        </w:rPr>
        <w:t>Middle East</w:t>
      </w:r>
      <w:r w:rsidRPr="00993815">
        <w:rPr>
          <w:rFonts w:ascii="Arial" w:hAnsi="Arial" w:cs="Arial"/>
        </w:rPr>
        <w:t xml:space="preserve"> region included Israel; and 5) </w:t>
      </w:r>
      <w:r w:rsidRPr="00993815">
        <w:rPr>
          <w:rFonts w:ascii="Arial" w:hAnsi="Arial" w:cs="Arial"/>
          <w:i/>
        </w:rPr>
        <w:t>North America</w:t>
      </w:r>
      <w:r w:rsidRPr="00993815">
        <w:rPr>
          <w:rFonts w:ascii="Arial" w:hAnsi="Arial" w:cs="Arial"/>
        </w:rPr>
        <w:t xml:space="preserve"> included United States of America and Canada. “</w:t>
      </w:r>
      <w:r w:rsidRPr="00993815">
        <w:rPr>
          <w:rFonts w:ascii="Arial" w:hAnsi="Arial" w:cs="Arial"/>
          <w:lang w:val="en-US"/>
        </w:rPr>
        <w:t>Assessment type” referred to sources of information on the outcomes during the follow-up; this included face-to-face interviews, case notes, or combination of both approaches. Socio-economic status of the country</w:t>
      </w:r>
      <w:r w:rsidRPr="00993815" w:rsidDel="005B270D">
        <w:rPr>
          <w:rFonts w:ascii="Arial" w:hAnsi="Arial" w:cs="Arial"/>
          <w:lang w:val="en-US"/>
        </w:rPr>
        <w:t xml:space="preserve"> </w:t>
      </w:r>
      <w:r w:rsidRPr="00993815">
        <w:rPr>
          <w:rFonts w:ascii="Arial" w:hAnsi="Arial" w:cs="Arial"/>
          <w:lang w:val="en-US"/>
        </w:rPr>
        <w:t>(i.e., high-income, middle-incomes, and low-income) as defined by the World Bank. Diagnosis at baseline included three main categories: 1) First Episode Psychosis (FEP); 2) First Episode Schizophrenia (FES); 3) First Episode Affective Psychosis (FEAP).</w:t>
      </w:r>
    </w:p>
    <w:p w:rsidR="00231E54" w:rsidRPr="00993815" w:rsidRDefault="00231E54" w:rsidP="00993815">
      <w:pPr>
        <w:spacing w:line="480" w:lineRule="auto"/>
        <w:jc w:val="both"/>
        <w:rPr>
          <w:rFonts w:ascii="Arial" w:hAnsi="Arial" w:cs="Arial"/>
        </w:rPr>
      </w:pPr>
    </w:p>
    <w:sectPr w:rsidR="00231E54" w:rsidRPr="009938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15"/>
    <w:rsid w:val="00231E54"/>
    <w:rsid w:val="00993815"/>
    <w:rsid w:val="00A5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CBE43"/>
  <w15:chartTrackingRefBased/>
  <w15:docId w15:val="{93F44FF0-42FE-40C3-BCFC-981FBCF0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 Ajnakina</dc:creator>
  <cp:keywords/>
  <dc:description/>
  <cp:lastModifiedBy>Olesya Ajnakina</cp:lastModifiedBy>
  <cp:revision>2</cp:revision>
  <dcterms:created xsi:type="dcterms:W3CDTF">2018-06-13T06:47:00Z</dcterms:created>
  <dcterms:modified xsi:type="dcterms:W3CDTF">2018-07-19T15:20:00Z</dcterms:modified>
</cp:coreProperties>
</file>