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47E6" w14:textId="44934BB7" w:rsidR="00D302A7" w:rsidRPr="00D302A7" w:rsidRDefault="00D302A7" w:rsidP="005C25A7">
      <w:pPr>
        <w:spacing w:before="0" w:after="160"/>
        <w:jc w:val="left"/>
        <w:rPr>
          <w:rFonts w:eastAsiaTheme="majorEastAsia" w:cstheme="majorBidi"/>
          <w:b/>
          <w:bCs/>
          <w:color w:val="auto"/>
          <w:szCs w:val="22"/>
        </w:rPr>
      </w:pPr>
      <w:r w:rsidRPr="00FD22F8">
        <w:rPr>
          <w:b/>
          <w:color w:val="auto"/>
          <w:sz w:val="24"/>
          <w:szCs w:val="22"/>
        </w:rPr>
        <w:t xml:space="preserve">SUPPLEMENTARY </w:t>
      </w:r>
      <w:r w:rsidR="008D0834" w:rsidRPr="00FD22F8">
        <w:rPr>
          <w:b/>
          <w:color w:val="auto"/>
          <w:sz w:val="24"/>
          <w:szCs w:val="22"/>
        </w:rPr>
        <w:t xml:space="preserve">MATERIAL </w:t>
      </w:r>
      <w:r w:rsidRPr="00FD22F8">
        <w:rPr>
          <w:b/>
          <w:color w:val="auto"/>
          <w:sz w:val="24"/>
          <w:szCs w:val="22"/>
        </w:rPr>
        <w:t>CONTENT</w:t>
      </w:r>
      <w:r w:rsidRPr="00D302A7">
        <w:rPr>
          <w:b/>
          <w:color w:val="auto"/>
          <w:szCs w:val="22"/>
        </w:rPr>
        <w:br w:type="page"/>
      </w:r>
    </w:p>
    <w:p w14:paraId="6EC51E90" w14:textId="70EF4A8E" w:rsidR="001519B7" w:rsidRDefault="001519B7" w:rsidP="00CA7244">
      <w:pPr>
        <w:pStyle w:val="Heading1"/>
      </w:pPr>
      <w:r>
        <w:lastRenderedPageBreak/>
        <w:t>SUPPLEMENTARY MATERIAL I</w:t>
      </w:r>
      <w:r w:rsidRPr="00D37D2A">
        <w:t xml:space="preserve">: Event related </w:t>
      </w:r>
      <w:r w:rsidRPr="00C66FCF">
        <w:t>potential</w:t>
      </w:r>
      <w:r w:rsidRPr="00D37D2A">
        <w:t xml:space="preserve"> (ERP) and skin conductance (SC) extraction.</w:t>
      </w:r>
    </w:p>
    <w:p w14:paraId="270C1BA1" w14:textId="77777777" w:rsidR="00FD22F8" w:rsidRPr="00FD22F8" w:rsidRDefault="00FD22F8" w:rsidP="00FD22F8"/>
    <w:p w14:paraId="1B327C9E" w14:textId="77777777" w:rsidR="001519B7" w:rsidRPr="00C66FCF" w:rsidRDefault="001519B7" w:rsidP="005C25A7">
      <w:pPr>
        <w:rPr>
          <w:rFonts w:eastAsiaTheme="majorEastAsia" w:cstheme="majorBidi"/>
          <w:b/>
          <w:i/>
          <w:iCs/>
        </w:rPr>
      </w:pPr>
      <w:r w:rsidRPr="00C66FCF">
        <w:rPr>
          <w:rFonts w:eastAsiaTheme="majorEastAsia" w:cstheme="majorBidi"/>
          <w:b/>
          <w:i/>
          <w:iCs/>
        </w:rPr>
        <w:t>Cued continuous performance test (CPT-OX)</w:t>
      </w:r>
    </w:p>
    <w:p w14:paraId="7AE36813" w14:textId="6F412879" w:rsidR="001519B7" w:rsidRPr="002020E1" w:rsidRDefault="001519B7" w:rsidP="005C25A7">
      <w:pPr>
        <w:rPr>
          <w:rFonts w:cs="AdvPS94BA"/>
          <w:lang w:val="en-US"/>
        </w:rPr>
      </w:pPr>
      <w:r w:rsidRPr="002020E1">
        <w:rPr>
          <w:rFonts w:cs="AdvPS94BA"/>
          <w:lang w:val="en-US"/>
        </w:rPr>
        <w:t>For the CPT-OX task, stimulus-locked epochs (stimulus window from −200 to 1650ms) were averaged based on three different response conditions: Cue, Go and NoGo. Averages were calculated for trials with correct responses (Go) or correctly rejected trials (NoGo and Cue), which included at least 20 artefact-free segments. Based on previous research (McLoughlin et al. 2010; Doehnert et al. 2013; Albrecht et al. 2013), ERP measures were identified within selected electrodes and latency windows for which effects were expected to be largest. These measures were then confirmed separately for the three groups using topographic maps. In Cue trials, the P3 was measured at Pz between 300-650ms, and the CNV was measured at Cz and CPz between 1300-1650ms. In Go trials, the P3 was measured at CPz and Pz between 250-500ms. No clear N2 was observed in Go trials, consistent with other studies employing tasks with low conflict-monitoring demands</w:t>
      </w:r>
      <w:r w:rsidR="00CE0CA7">
        <w:rPr>
          <w:rFonts w:cs="AdvPS94BA"/>
          <w:lang w:val="en-US"/>
        </w:rPr>
        <w:t>,</w:t>
      </w:r>
      <w:r w:rsidRPr="002020E1">
        <w:rPr>
          <w:rFonts w:cs="AdvPS94BA"/>
          <w:lang w:val="en-US"/>
        </w:rPr>
        <w:t xml:space="preserve"> and was, therefore, not included in the analysis. In NoGo trials, the P3 was measured at FCz and Cz between 250-550ms and the N2 was measured at Fz between 175-325ms. The CNVs were analysed as mean amplitudes between 1300 and 1650ms following cues over the central electrode (C</w:t>
      </w:r>
      <w:r>
        <w:rPr>
          <w:rFonts w:cs="AdvPS94BA"/>
          <w:lang w:val="en-US"/>
        </w:rPr>
        <w:t>P</w:t>
      </w:r>
      <w:r w:rsidRPr="002020E1">
        <w:rPr>
          <w:rFonts w:cs="AdvPS94BA"/>
          <w:lang w:val="en-US"/>
        </w:rPr>
        <w:t xml:space="preserve">z). The </w:t>
      </w:r>
      <w:r>
        <w:rPr>
          <w:rFonts w:cs="AdvPS94BA"/>
          <w:lang w:val="en-US"/>
        </w:rPr>
        <w:t>C</w:t>
      </w:r>
      <w:r w:rsidRPr="002020E1">
        <w:rPr>
          <w:rFonts w:cs="AdvPS94BA"/>
          <w:lang w:val="en-US"/>
        </w:rPr>
        <w:t xml:space="preserve">ue-P3 had a parietal maximum and was defined as the most positive peak between 250 and 600 ms following cue trials at electrode Pz. The </w:t>
      </w:r>
      <w:r>
        <w:rPr>
          <w:rFonts w:cs="AdvPS94BA"/>
          <w:lang w:val="en-US"/>
        </w:rPr>
        <w:t>N</w:t>
      </w:r>
      <w:r w:rsidRPr="002020E1">
        <w:rPr>
          <w:rFonts w:cs="AdvPS94BA"/>
          <w:lang w:val="en-US"/>
        </w:rPr>
        <w:t>o</w:t>
      </w:r>
      <w:r>
        <w:rPr>
          <w:rFonts w:cs="AdvPS94BA"/>
          <w:lang w:val="en-US"/>
        </w:rPr>
        <w:t>G</w:t>
      </w:r>
      <w:r w:rsidRPr="002020E1">
        <w:rPr>
          <w:rFonts w:cs="AdvPS94BA"/>
          <w:lang w:val="en-US"/>
        </w:rPr>
        <w:t>o-P3 was defined as the most positive peak between 250 and 600 ms following NoGo trials at electrode Cz</w:t>
      </w:r>
      <w:r w:rsidR="00CE0CA7">
        <w:rPr>
          <w:rFonts w:cs="AdvPS94BA"/>
          <w:lang w:val="en-US"/>
        </w:rPr>
        <w:t>.</w:t>
      </w:r>
    </w:p>
    <w:p w14:paraId="011CA754" w14:textId="77777777" w:rsidR="001519B7" w:rsidRPr="002020E1" w:rsidRDefault="001519B7" w:rsidP="005C25A7">
      <w:pPr>
        <w:rPr>
          <w:rFonts w:cs="AdvPS94BA"/>
          <w:lang w:val="en-US"/>
        </w:rPr>
      </w:pPr>
    </w:p>
    <w:p w14:paraId="434BEFE5" w14:textId="77777777" w:rsidR="001519B7" w:rsidRPr="00C66FCF" w:rsidRDefault="001519B7" w:rsidP="005C25A7">
      <w:pPr>
        <w:rPr>
          <w:rFonts w:eastAsiaTheme="majorEastAsia" w:cstheme="majorBidi"/>
          <w:b/>
          <w:i/>
          <w:iCs/>
        </w:rPr>
      </w:pPr>
      <w:r w:rsidRPr="00C66FCF">
        <w:rPr>
          <w:rFonts w:eastAsiaTheme="majorEastAsia" w:cstheme="majorBidi"/>
          <w:b/>
          <w:i/>
          <w:iCs/>
        </w:rPr>
        <w:t>The (arrow) flanker task</w:t>
      </w:r>
    </w:p>
    <w:p w14:paraId="533F0EBD" w14:textId="2AAD286D" w:rsidR="001519B7" w:rsidRPr="002020E1" w:rsidRDefault="001519B7" w:rsidP="005C25A7">
      <w:r w:rsidRPr="002020E1">
        <w:t xml:space="preserve">Analyses of ERPs of performance monitoring </w:t>
      </w:r>
      <w:r>
        <w:t xml:space="preserve">in the flanker task </w:t>
      </w:r>
      <w:r w:rsidRPr="002020E1">
        <w:t xml:space="preserve">were restricted to the incongruent condition, as the task used in this study is known to elicit strong N2, error related negativity (ERN) and positivity (Pe) components in high-conflict, but </w:t>
      </w:r>
      <w:r w:rsidR="00CE0CA7">
        <w:t>not in low-conflict, conditions</w:t>
      </w:r>
      <w:r w:rsidRPr="002020E1">
        <w:t>. Baseline correction was applied using the -300 to -100 ms pre-target (-200 to 0 ms pre-flanker) interval, following the protocol of previous ERP analyses on the flanker task</w:t>
      </w:r>
      <w:r>
        <w:t>.</w:t>
      </w:r>
      <w:r w:rsidRPr="002020E1">
        <w:t xml:space="preserve"> Data were segmented based on (1) stimulus-locked incongruent trials where a correct response was made and (2) response-locked (error-related) incongruent trials where an incorrect response was made. Individual averages were created based on each condition, requiring ≥ 20 clean segments for each participant. After averaging, the electrodes and latency windows for ERP analyses were selected based on previous studies </w:t>
      </w:r>
      <w:r w:rsidRPr="002020E1">
        <w:fldChar w:fldCharType="begin" w:fldLock="1"/>
      </w:r>
      <w:r w:rsidR="00AB1DD2">
        <w:instrText>ADDIN CSL_CITATION { "citationItems" : [ { "id" : "ITEM-1", "itemData" : { "DOI" : "10.1016/j.biopsych.2007.12.016", "ISSN" : "1873-2402", "PMID" : "18339358", "abstract" : "BACKGROUND: Attention-deficit/hyperactivity disorder (ADHD) is a very common and highly heritable child psychiatric disorder associated with dysfunctions in fronto-striatal networks that control attention and response organization. The aim of this study was to investigate whether features of action monitoring related to dopaminergic functions represent endophenotypes that are brain functions on the pathway from genes and environmental risk factors to behavior.\n\nMETHODS: Action monitoring and error processing as indicated by behavioral and electrophysiological parameters during a flanker task were examined in boys with ADHD combined type according to DSM-IV (n = 68), their nonaffected siblings (n = 18), and healthy control subjects with no known family history of ADHD (n = 22).\n\nRESULTS: Boys with ADHD displayed slower and more variable reaction-times. Error negativity (Ne) was smaller in boys with ADHD compared with healthy control subjects, whereas nonaffected siblings displayed intermediate amplitudes following a linear model predicted by genetic concordance. The three groups did not differ on error positivity (Pe). The N2 amplitude enhancement due to conflict (incongruent flankers) was reduced in the ADHD group. Nonaffected siblings also displayed intermediate N2 enhancement.\n\nCONCLUSIONS: Converging evidence from behavioral and event-related potential findings suggests that action monitoring and initial error processing, both related to dopaminergically modulated functions of anterior cingulate cortex, might be an endophenotype related to ADHD.", "author" : [ { "dropping-particle" : "", "family" : "Albrecht", "given" : "Bjoern", "non-dropping-particle" : "", "parse-names" : false, "suffix" : "" }, { "dropping-particle" : "", "family" : "Brandeis", "given" : "Daniel", "non-dropping-particle" : "", "parse-names" : false, "suffix" : "" }, { "dropping-particle" : "", "family" : "Uebel", "given" : "Henrik", "non-dropping-particle" : "", "parse-names" : false, "suffix" : "" }, { "dropping-particle" : "", "family" : "Heinrich", "given" : "Hartmut", "non-dropping-particle" : "", "parse-names" : false, "suffix" : "" }, { "dropping-particle" : "", "family" : "Mueller", "given" : "Ueli C", "non-dropping-particle" : "", "parse-names" : false, "suffix" : "" }, { "dropping-particle" : "", "family" : "Hasselhorn", "given" : "Marcus", "non-dropping-particle" : "", "parse-names" : false, "suffix" : "" }, { "dropping-particle" : "", "family" : "Steinhausen", "given" : "Hans-Christoph", "non-dropping-particle" : "", "parse-names" : false, "suffix" : "" }, { "dropping-particle" : "", "family" : "Rothenberger", "given" : "Aribert", "non-dropping-particle" : "", "parse-names" : false, "suffix" : "" }, { "dropping-particle" : "", "family" : "Banaschewski", "given" : "Tobias", "non-dropping-particle" : "", "parse-names" : false, "suffix" : "" } ], "container-title" : "Biological psychiatry", "id" : "ITEM-1", "issue" : "7", "issued" : { "date-parts" : [ [ "2008", "10", "1" ] ] }, "page" : "615-25", "title" : "Action monitoring in boys with attention-deficit/hyperactivity disorder, their nonaffected siblings, and normal control subjects: evidence for an endophenotype.", "type" : "article-journal", "volume" : "64" }, "uris" : [ "http://www.mendeley.com/documents/?uuid=d44af05d-c736-46fd-adca-e5f9bbbe962e" ] }, { "id" : "ITEM-2", "itemData" : { "DOI" : "10.1016/j.neuropsychologia.2009.07.013", "ISBN" : "0028-3932", "ISSN" : "1873-3514", "PMID" : "19643116", "abstract" : "Attention deficit hyperactivity disorder (ADHD) is a common neurodevelopmental disorder that starts in childhood and frequently persists in adults. Electrophysiological studies in children with ADHD provide evidence for abnormal performance monitoring processes and familial association of these processes with ADHD. It is not yet known whether these processes show the same abnormalities and familial effects in adults.", "author" : [ { "dropping-particle" : "", "family" : "McLoughlin", "given" : "Gr\u00e1inne", "non-dropping-particle" : "", "parse-names" : false, "suffix" : "" }, { "dropping-particle" : "", "family" : "Albrecht", "given" : "Bjoern", "non-dropping-particle" : "", "parse-names" : false, "suffix" : "" }, { "dropping-particle" : "", "family" : "Banaschewski", "given" : "Tobias", "non-dropping-particle" : "", "parse-names" : false, "suffix" : "" }, { "dropping-particle" : "", "family" : "Rothenberger", "given" : "Aribert", "non-dropping-particle" : "", "parse-names" : false, "suffix" : "" }, { "dropping-particle" : "", "family" : "Brandeis", "given" : "Daniel", "non-dropping-particle" : "", "parse-names" : false, "suffix" : "" }, { "dropping-particle" : "", "family" : "Asherson", "given" : "Philip", "non-dropping-particle" : "", "parse-names" : false, "suffix" : "" }, { "dropping-particle" : "", "family" : "Kuntsi", "given" : "Jonna", "non-dropping-particle" : "", "parse-names" : false, "suffix" : "" } ], "container-title" : "Neuropsychologia", "id" : "ITEM-2", "issue" : "14", "issued" : { "date-parts" : [ [ "2009", "12" ] ] }, "page" : "3134-3142", "title" : "Performance monitoring is altered in adult ADHD: A familial event-related potential investigation", "type" : "article-journal", "volume" : "47" }, "uris" : [ "http://www.mendeley.com/documents/?uuid=450d0180-bbf5-4d04-a360-b46f8644b5ce" ] }, { "id" : "ITEM-3", "itemData" : { "DOI" : "10.1111/j.1469-7610.2009.02128.x", "ISSN" : "1469-7610", "PMID" : "19674196", "abstract" : "BACKGROUND: Impaired cognitive control has been frequently observed in children and young people with attention deficit hyperactivity disorder (ADHD) and might underlie the excessive hyperactivity and impulsivity in this population. We investigated behavioural and electrophysiological indices relevant to one domain of cognitive control; namely error processing.\n\nMETHODS: Adolescents aged 14 to 17 with ADHD (n = 23) and a typically developing control group (HC; n = 19) performed a visual go/no-go task. Electro-encephalography (EEG) data were collected simultaneously and response-locked error trials were averaged to derive two event-related potentials, the error-related negativity (ERN) and error positivity (Pe). Evoked theta power and inter-trial phase coherence (ITC) were measured in two time windows ('early' and 'late') equivalent to those used for detection of the ERN and Pe.\n\nRESULTS: Analysis revealed normal ERN amplitude and a statistical trend for smaller Pe amplitude at a fronto-central electrode site in the ADHD group. The group also showed significant reductions in late evoked theta power and early and late theta ITC. Relationships between behavioural measures and ITC were different between groups, particularly for post-error slowing, a measure of strategic response adjustment on trials immediately following an error.\n\nCONCLUSIONS: The results reveal abnormalities in behavioural and electrophysiological indices of error processing in adolescents with ADHD and suggest that ITC is more sensitive than traditional ERP measures to error-processing abnormalities.", "author" : [ { "dropping-particle" : "", "family" : "Groom", "given" : "Madeleine J", "non-dropping-particle" : "", "parse-names" : false, "suffix" : "" }, { "dropping-particle" : "", "family" : "Cahill", "given" : "John D", "non-dropping-particle" : "", "parse-names" : false, "suffix" : "" }, { "dropping-particle" : "", "family" : "Bates", "given" : "Alan T", "non-dropping-particle" : "", "parse-names" : false, "suffix" : "" }, { "dropping-particle" : "", "family" : "Jackson", "given" : "Georgina M", "non-dropping-particle" : "", "parse-names" : false, "suffix" : "" }, { "dropping-particle" : "", "family" : "Calton", "given" : "Timothy G", "non-dropping-particle" : "", "parse-names" : false, "suffix" : "" }, { "dropping-particle" : "", "family" : "Liddle", "given" : "Peter F", "non-dropping-particle" : "", "parse-names" : false, "suffix" : "" }, { "dropping-particle" : "", "family" : "Hollis", "given" : "Chris", "non-dropping-particle" : "", "parse-names" : false, "suffix" : "" } ], "container-title" : "Journal of child psychology and psychiatry, and allied disciplines", "id" : "ITEM-3", "issue" : "1", "issued" : { "date-parts" : [ [ "2010", "1" ] ] }, "page" : "66-76", "title" : "Electrophysiological indices of abnormal error-processing in adolescents with attention deficit hyperactivity disorder (ADHD).", "type" : "article-journal", "volume" : "51" }, "uris" : [ "http://www.mendeley.com/documents/?uuid=77e8d895-140a-43ed-bff2-29e22fc871d2" ] }, { "id" : "ITEM-4", "itemData" : { "ISSN" : "0048-5772", "PMID" : "11577898", "abstract" : "The error negativity (Ne/ERN) and error positivity (Pe) are two components of the event-related brain potential (ERP) that are associated with action monitoring and error detection. To investigate the relation between error processing and conscious self-monitoring of behavior, the present experiment examined whether an Ne and Pe are observed after response errors of which participants are unaware. Ne and Pe measures, behavioral accuracy, and trial-to-trial subjective accuracy judgments were obtained from participants performing an antisaccade task, which elicits many unperceived, incorrect reflex-like saccades. Consistent with previous research, subjectively unperceived saccade errors were almost always immediately corrected, and were associated with faster correction times and smaller saccade sizes than perceived errors. Importantly, irrespective of whether the participant was aware of the error or not, erroneous saccades were followed by a sizable Ne. In contrast, the Pe was much more pronounced for perceived than for unperceived errors. Unperceived errors were characterized by the absence of posterror slowing. These and other results are consistent with the view that the Ne and Pe reflect the activity of two separate error monitoring processes, of which only the later process, reflected by the Pe, is associated with conscious error recognition and remedial action.", "author" : [ { "dropping-particle" : "", "family" : "Nieuwenhuis", "given" : "S", "non-dropping-particle" : "", "parse-names" : false, "suffix" : "" }, { "dropping-particle" : "", "family" : "Ridderinkhof", "given" : "K R", "non-dropping-particle" : "", "parse-names" : false, "suffix" : "" }, { "dropping-particle" : "", "family" : "Blom", "given" : "J", "non-dropping-particle" : "", "parse-names" : false, "suffix" : "" }, { "dropping-particle" : "", "family" : "Band", "given" : "G P", "non-dropping-particle" : "", "parse-names" : false, "suffix" : "" }, { "dropping-particle" : "", "family" : "Kok", "given" : "A", "non-dropping-particle" : "", "parse-names" : false, "suffix" : "" } ], "container-title" : "Psychophysiology", "id" : "ITEM-4", "issue" : "5", "issued" : { "date-parts" : [ [ "2001", "9" ] ] }, "page" : "752-60", "title" : "Error-related brain potentials are differentially related to awareness of response errors: evidence from an antisaccade task.", "type" : "article-journal", "volume" : "38" }, "uris" : [ "http://www.mendeley.com/documents/?uuid=f2886e99-f700-4d3c-b5cc-30197079f637" ] } ], "mendeley" : { "formattedCitation" : "(1\u20134)", "manualFormatting" : "(Albrecht et al. 2008; McLoughlin et al. 2009; Groom et al. 2010; Nieuwenhuis et al. 2001, Michelini et al. 2016)", "plainTextFormattedCitation" : "(1\u20134)", "previouslyFormattedCitation" : "(1\u20134)" }, "properties" : { "noteIndex" : 0 }, "schema" : "https://github.com/citation-style-language/schema/raw/master/csl-citation.json" }</w:instrText>
      </w:r>
      <w:r w:rsidRPr="002020E1">
        <w:fldChar w:fldCharType="separate"/>
      </w:r>
      <w:r w:rsidRPr="00B539DA">
        <w:rPr>
          <w:noProof/>
          <w:lang w:val="de-CH"/>
        </w:rPr>
        <w:t xml:space="preserve">(Albrecht et al. 2008; McLoughlin et al. 2009; Groom et al. 2010; Nieuwenhuis et al. 2001, </w:t>
      </w:r>
      <w:r>
        <w:rPr>
          <w:noProof/>
        </w:rPr>
        <w:fldChar w:fldCharType="begin" w:fldLock="1"/>
      </w:r>
      <w:r w:rsidR="00AB1DD2">
        <w:rPr>
          <w:noProof/>
          <w:lang w:val="de-CH"/>
        </w:rPr>
        <w:instrText>ADDIN CSL_CITATION { "citationItems" : [ { "id" : "ITEM-1", "itemData" : { "DOI" : "10.1016/j.biopsych.2016.06.021", "ISSN" : "00063223", "abstract" : "BACKGROUND\nThe processes underlying persistence and remission of attention-deficit/hyperactivity disorder (ADHD) are poorly understood. We aimed to examine whether cognitive and neurophysiological impairments on a performance monitoring task distinguish between ADHD persisters and remitters. \n\nMETHODS\nOn average six years after initial assessment, 110 adolescents and young adults with childhood ADHD (87 persisters, 23 remitters) and 169 age-matched controls were compared on cognitive-performance measures and event-related potentials (ERPs) of conflict monitoring (N2) and error processing (ERN, Pe) from an arrow flanker task with low- and high-conflict conditions. ADHD outcome was examined with parent-reported symptoms and functional impairment measures using a categorical (DSM-IV) and a dimensional approach. \n\nRESULTS\nADHD persisters were impaired compared to controls on all cognitive-performance and ERP measures (all p&lt;0.05). ADHD remitters differed from persisters, and were indistinguishable from controls, on the number of congruent (low-conflict) errors, reaction time variability (RTV), ERN and Pe (all p\u22640.05). Remitters did not differ significantly from the other groups on incongruent (high-conflict) errors, mean reaction time and N2. In dimensional analyses on all participants with childhood ADHD, ADHD symptoms and functional impairment at follow up were significantly correlated with congruent errors, RTV and Pe (r=0.19-0.23, p\u22640.05). \n\nCONCLUSIONS\nCognitive and neurophysiological measures of attention-vigilance and error detection distinguished ADHD remitters from persisters. These results extend our previous findings with other tasks (Cheung et al. 2015), and indicate that such measures are markers of remission and candidates for the development of non-pharmacological interventions.", "author" : [ { "dropping-particle" : "", "family" : "Michelini", "given" : "Giorgia", "non-dropping-particle" : "", "parse-names" : false, "suffix" : "" }, { "dropping-particle" : "", "family" : "Kitsune", "given" : "Glenn L.", "non-dropping-particle" : "", "parse-names" : false, "suffix" : "" }, { "dropping-particle" : "", "family" : "Cheung", "given" : "Celeste H.M.", "non-dropping-particle" : "", "parse-names" : false, "suffix" : "" }, { "dropping-particle" : "", "family" : "Brandeis", "given" : "Daniel", "non-dropping-particle" : "", "parse-names" : false, "suffix" : "" }, { "dropping-particle" : "", "family" : "Banaschewski", "given" : "Tobias", "non-dropping-particle" : "", "parse-names" : false, "suffix" : "" }, { "dropping-particle" : "", "family" : "Asherson", "given" : "Philip", "non-dropping-particle" : "", "parse-names" : false, "suffix" : "" }, { "dropping-particle" : "", "family" : "McLoughlin", "given" : "Gr\u00e1inne", "non-dropping-particle" : "", "parse-names" : false, "suffix" : "" }, { "dropping-particle" : "", "family" : "Kuntsi", "given" : "Jonna", "non-dropping-particle" : "", "parse-names" : false, "suffix" : "" } ], "container-title" : "Biological Psychiatry", "id" : "ITEM-1", "issued" : { "date-parts" : [ [ "2016" ] ] }, "title" : "ADHD Remission is Linked to Better Neurophysiological Error Detection and Attention-Vigilance Processes", "type" : "article-journal" }, "uris" : [ "http://www.mendeley.com/documents/?uuid=ca889809-fc10-38a8-a924-aacee50ab149" ] } ], "mendeley" : { "formattedCitation" : "(5)", "manualFormatting" : "Michelini et al. 2016)", "plainTextFormattedCitation" : "(5)", "previouslyFormattedCitation" : "(5)" }, "properties" : { "noteIndex" : 0 }, "schema" : "https://github.com/citation-style-language/schema/raw/master/csl-citation.json" }</w:instrText>
      </w:r>
      <w:r>
        <w:rPr>
          <w:noProof/>
        </w:rPr>
        <w:fldChar w:fldCharType="separate"/>
      </w:r>
      <w:r w:rsidRPr="00C11F0C">
        <w:rPr>
          <w:noProof/>
        </w:rPr>
        <w:t>Michelini et al. 2016)</w:t>
      </w:r>
      <w:r>
        <w:rPr>
          <w:noProof/>
        </w:rPr>
        <w:fldChar w:fldCharType="end"/>
      </w:r>
      <w:r w:rsidRPr="002020E1">
        <w:fldChar w:fldCharType="end"/>
      </w:r>
      <w:r w:rsidRPr="002020E1">
        <w:t xml:space="preserve"> topographic maps and the grand averages. The N2 was measured as maximum negative peak at Fz and FCz between 250-450 ms after target onset. The ERN was defined with respect to the preceding positivity (PNe, -100-50 ms) in order to obtain a more r</w:t>
      </w:r>
      <w:r>
        <w:t xml:space="preserve">obust measure of this component, </w:t>
      </w:r>
      <w:r w:rsidRPr="002020E1">
        <w:t>and was measured at FCz between 0-150 ms. The Pe was measured as maximum positive peak at CPz between 150-450 ms after an erroneous response on incongruent trials.</w:t>
      </w:r>
    </w:p>
    <w:p w14:paraId="35255934" w14:textId="77777777" w:rsidR="001519B7" w:rsidRPr="002020E1" w:rsidRDefault="001519B7" w:rsidP="005C25A7">
      <w:pPr>
        <w:rPr>
          <w:rFonts w:eastAsiaTheme="majorEastAsia" w:cstheme="majorBidi"/>
          <w:iCs/>
        </w:rPr>
      </w:pPr>
    </w:p>
    <w:p w14:paraId="74DBF2FC" w14:textId="68E691C7" w:rsidR="001519B7" w:rsidRPr="00C66FCF" w:rsidRDefault="001519B7" w:rsidP="005C25A7">
      <w:pPr>
        <w:rPr>
          <w:rFonts w:eastAsiaTheme="majorEastAsia" w:cstheme="majorBidi"/>
          <w:b/>
          <w:i/>
          <w:iCs/>
        </w:rPr>
      </w:pPr>
      <w:r w:rsidRPr="00C66FCF">
        <w:rPr>
          <w:rFonts w:eastAsiaTheme="majorEastAsia" w:cstheme="majorBidi"/>
          <w:b/>
          <w:i/>
          <w:iCs/>
        </w:rPr>
        <w:t xml:space="preserve">The </w:t>
      </w:r>
      <w:r w:rsidR="00ED196A" w:rsidRPr="00C66FCF">
        <w:rPr>
          <w:rFonts w:eastAsiaTheme="majorEastAsia" w:cstheme="majorBidi"/>
          <w:b/>
          <w:i/>
          <w:iCs/>
        </w:rPr>
        <w:t>fast</w:t>
      </w:r>
      <w:r w:rsidRPr="00C66FCF">
        <w:rPr>
          <w:rFonts w:eastAsiaTheme="majorEastAsia" w:cstheme="majorBidi"/>
          <w:b/>
          <w:i/>
          <w:iCs/>
        </w:rPr>
        <w:t xml:space="preserve"> task </w:t>
      </w:r>
      <w:r w:rsidRPr="00C66FCF">
        <w:rPr>
          <w:rFonts w:eastAsiaTheme="majorEastAsia" w:cstheme="majorBidi"/>
          <w:b/>
          <w:i/>
          <w:iCs/>
        </w:rPr>
        <w:fldChar w:fldCharType="begin" w:fldLock="1"/>
      </w:r>
      <w:r w:rsidR="00AB1DD2" w:rsidRPr="00C66FCF">
        <w:rPr>
          <w:rFonts w:eastAsiaTheme="majorEastAsia" w:cstheme="majorBidi"/>
          <w:b/>
          <w:i/>
          <w:iCs/>
        </w:rPr>
        <w:instrText>ADDIN CSL_CITATION { "citationItems" : [ { "id" : "ITEM-1", "itemData" : { "DOI" : "10.1017/S0033291707000815", "ISSN" : "0033-2917", "PMID" : "17537284", "abstract" : "Reaction time (RT) variability is one of the strongest findings to emerge in cognitive-experimental research of attention deficit hyperactivity disorder (ADHD). We set out to confirm the association between ADHD and slow and variable RTs and investigate the degree to which RT performance improves under fast event rate and incentives. Using a group familial correlation approach, we tested the hypothesis that there are shared familial effects on RT performance and ADHD.", "author" : [ { "dropping-particle" : "", "family" : "Andreou", "given" : "Penny", "non-dropping-particle" : "", "parse-names" : false, "suffix" : "" }, { "dropping-particle" : "", "family" : "Neale", "given" : "Ben M", "non-dropping-particle" : "", "parse-names" : false, "suffix" : "" }, { "dropping-particle" : "", "family" : "Chen", "given" : "Wai", "non-dropping-particle" : "", "parse-names" : false, "suffix" : "" }, { "dropping-particle" : "", "family" : "Christiansen", "given" : "Hanna", "non-dropping-particle" : "", "parse-names" : false, "suffix" : "" }, { "dropping-particle" : "", "family" : "Gabriels", "given" : "Isabel", "non-dropping-particle" : "", "parse-names" : false, "suffix" : "" }, { "dropping-particle" : "", "family" : "Heise", "given" : "Alexander", "non-dropping-particle" : "", "parse-names" : false, "suffix" : "" }, { "dropping-particle" : "", "family" : "Meidad", "given" : "Sheera", "non-dropping-particle" : "", "parse-names" : false, "suffix" : "" }, { "dropping-particle" : "", "family" : "Muller", "given" : "Ueli C", "non-dropping-particle" : "", "parse-names" : false, "suffix" : "" }, { "dropping-particle" : "", "family" : "Uebel", "given" : "Henrik", "non-dropping-particle" : "", "parse-names" : false, "suffix" : "" }, { "dropping-particle" : "", "family" : "Banaschewski", "given" : "Tobias", "non-dropping-particle" : "", "parse-names" : false, "suffix" : "" }, { "dropping-particle" : "", "family" : "Manor", "given" : "Iris", "non-dropping-particle" : "", "parse-names" : false, "suffix" : "" }, { "dropping-particle" : "", "family" : "Oades", "given" : "Robert", "non-dropping-particle" : "", "parse-names" : false, "suffix" : "" }, { "dropping-particle" : "", "family" : "Roeyers", "given" : "Herbert", "non-dropping-particle" : "", "parse-names" : false, "suffix" : "" }, { "dropping-particle" : "", "family" : "Rothenberger", "given" : "Aribert", "non-dropping-particle" : "", "parse-names" : false, "suffix" : "" }, { "dropping-particle" : "", "family" : "Sham", "given" : "Pak", "non-dropping-particle" : "", "parse-names" : false, "suffix" : "" }, { "dropping-particle" : "", "family" : "Steinhausen", "given" : "Hans-Christoph", "non-dropping-particle" : "", "parse-names" : false, "suffix" : "" }, { "dropping-particle" : "", "family" : "Asherson", "given" : "Philip", "non-dropping-particle" : "", "parse-names" : false, "suffix" : "" }, { "dropping-particle" : "", "family" : "Kuntsi", "given" : "Jonna", "non-dropping-particle" : "", "parse-names" : false, "suffix" : "" } ], "container-title" : "Psychological medicine", "id" : "ITEM-1", "issue" : "12", "issued" : { "date-parts" : [ [ "2007", "12" ] ] }, "page" : "1703-15", "title" : "Reaction time performance in ADHD: improvement under fast-incentive condition and familial effects.", "type" : "article-journal", "volume" : "37" }, "uris" : [ "http://www.mendeley.com/documents/?uuid=ddc5faad-97e2-45c2-9626-b32a64b21e4b" ] } ], "mendeley" : { "formattedCitation" : "(6)", "manualFormatting" : "(Andreou et al. 2007, Kuntsi et al 2005)", "plainTextFormattedCitation" : "(6)", "previouslyFormattedCitation" : "(6)" }, "properties" : { "noteIndex" : 0 }, "schema" : "https://github.com/citation-style-language/schema/raw/master/csl-citation.json" }</w:instrText>
      </w:r>
      <w:r w:rsidRPr="00C66FCF">
        <w:rPr>
          <w:rFonts w:eastAsiaTheme="majorEastAsia" w:cstheme="majorBidi"/>
          <w:b/>
          <w:i/>
          <w:iCs/>
        </w:rPr>
        <w:fldChar w:fldCharType="separate"/>
      </w:r>
      <w:r w:rsidRPr="00C66FCF">
        <w:rPr>
          <w:rFonts w:eastAsiaTheme="majorEastAsia" w:cstheme="majorBidi"/>
          <w:b/>
          <w:i/>
          <w:iCs/>
          <w:noProof/>
        </w:rPr>
        <w:t>(Andreou et al. 2007, Kuntsi et al 2005)</w:t>
      </w:r>
      <w:r w:rsidRPr="00C66FCF">
        <w:rPr>
          <w:rFonts w:eastAsiaTheme="majorEastAsia" w:cstheme="majorBidi"/>
          <w:b/>
          <w:i/>
          <w:iCs/>
        </w:rPr>
        <w:fldChar w:fldCharType="end"/>
      </w:r>
      <w:r w:rsidRPr="00C66FCF">
        <w:rPr>
          <w:rFonts w:eastAsiaTheme="majorEastAsia" w:cstheme="majorBidi"/>
          <w:b/>
          <w:i/>
          <w:iCs/>
        </w:rPr>
        <w:t xml:space="preserve">  </w:t>
      </w:r>
    </w:p>
    <w:p w14:paraId="3505983F" w14:textId="42925ACF" w:rsidR="001519B7" w:rsidRPr="002020E1" w:rsidRDefault="00ED196A" w:rsidP="005C25A7">
      <w:pPr>
        <w:rPr>
          <w:rFonts w:cs="Lucida Grande"/>
          <w:lang w:val="en-US"/>
        </w:rPr>
      </w:pPr>
      <w:r>
        <w:rPr>
          <w:rFonts w:cs="AdvPS94BA"/>
          <w:lang w:val="en-US"/>
        </w:rPr>
        <w:t>In the fast t</w:t>
      </w:r>
      <w:r w:rsidR="001519B7">
        <w:rPr>
          <w:rFonts w:cs="AdvPS94BA"/>
          <w:lang w:val="en-US"/>
        </w:rPr>
        <w:t xml:space="preserve">ask, </w:t>
      </w:r>
      <w:r w:rsidR="001519B7" w:rsidRPr="002020E1">
        <w:rPr>
          <w:rFonts w:cs="AdvPS94BA"/>
          <w:lang w:val="en-US"/>
        </w:rPr>
        <w:t xml:space="preserve">P3 amplitude was analysed as the area amplitude measure (μV*ms) at Pz between 250 and 450ms, to reduce bias due to the varying noise levels induced by the different task conditions (Luck, 2005). For the P3 analyses, all the accepted trials were baseline-corrected using a pre-stimulus baseline of 200ms. The mean amplitudes of this pre-target period (-200ms - 0ms, using a technical zero baseline as in previous CNV work </w:t>
      </w:r>
      <w:r w:rsidR="001519B7">
        <w:rPr>
          <w:rFonts w:cs="AdvPS94BA"/>
          <w:lang w:val="en-US"/>
        </w:rPr>
        <w:fldChar w:fldCharType="begin" w:fldLock="1"/>
      </w:r>
      <w:r w:rsidR="00AB1DD2">
        <w:rPr>
          <w:rFonts w:cs="AdvPS94BA"/>
          <w:lang w:val="en-US"/>
        </w:rPr>
        <w:instrText>ADDIN CSL_CITATION { "citationItems" : [ { "id" : "ITEM-1", "itemData" : { "DOI" : "10.1017/S003329171200270X", "ISSN" : "1469-8978", "PMID" : "23200032", "abstract" : "BACKGROUND: Patients with attention deficit-hyperactivity disorder (ADHD) exhibit difficulties in multiple attentional functions. Although high heritability rates suggest a strong genetic impact, aetiological pathways from genes and environmental factors to the ADHD phenotype are not well understood. Tracking the time course of deviant task processing using event-related electrophysiological brain activity should characterize the impact of familiality on the sequence of cognitive functions from preparation to response control in ADHD. Method Preparation and response control were assessed using behavioural and electrophysiological parameters of two versions of a cued continuous performance test with varying attentional load in boys with ADHD combined type (n\u00a0=\u00a097), their non-affected siblings (n\u00a0=\u00a027) and control children without a family history of ADHD (n\u00a0=\u00a043).\n\nRESULTS: Children with ADHD and non-affected siblings showed more variable performance and made more omission errors than controls. The preparatory Cue-P3 and contingent negative variation (CNV) following cues were reduced in both ADHD children and their non-affected siblings compared with controls. The NoGo-P3 was diminished in ADHD compared with controls whilst non-affected siblings were located intermediate but did not differ from both other groups. No clear familiality effects were found for the Go-P3. Better task performance was further associated with higher CNV and P3 amplitudes.\n\nCONCLUSIONS: Impairments in performance and electrophysiological parameters reflecting preparatory processes and to some extend also for inhibitory response control, especially under high attentional load, appeared to be familially driven in ADHD and may thus constitute functionally relevant endophenotypes for the disorder.", "author" : [ { "dropping-particle" : "", "family" : "Albrecht", "given" : "B", "non-dropping-particle" : "", "parse-names" : false, "suffix" : "" }, { "dropping-particle" : "", "family" : "Brandeis", "given" : "D", "non-dropping-particle" : "", "parse-names" : false, "suffix" : "" }, { "dropping-particle" : "", "family" : "Uebel", "given" : "H", "non-dropping-particle" : "", "parse-names" : false, "suffix" : "" }, { "dropping-particle" : "", "family" : "Valko", "given" : "L", "non-dropping-particle" : "", "parse-names" : false, "suffix" : "" }, { "dropping-particle" : "", "family" : "Heinrich", "given" : "H", "non-dropping-particle" : "", "parse-names" : false, "suffix" : "" }, { "dropping-particle" : "", "family" : "Drechsler", "given" : "R", "non-dropping-particle" : "", "parse-names" : false, "suffix" : "" }, { "dropping-particle" : "", "family" : "Heise", "given" : "A", "non-dropping-particle" : "", "parse-names" : false, "suffix" : "" }, { "dropping-particle" : "", "family" : "M\u00fcller", "given" : "U C", "non-dropping-particle" : "", "parse-names" : false, "suffix" : "" }, { "dropping-particle" : "", "family" : "Steinhausen", "given" : "H-C", "non-dropping-particle" : "", "parse-names" : false, "suffix" : "" }, { "dropping-particle" : "", "family" : "Rothenberger", "given" : "A", "non-dropping-particle" : "", "parse-names" : false, "suffix" : "" }, { "dropping-particle" : "", "family" : "Banaschewski", "given" : "T", "non-dropping-particle" : "", "parse-names" : false, "suffix" : "" } ], "container-title" : "Psychological medicine", "id" : "ITEM-1", "issue" : "9", "issued" : { "date-parts" : [ [ "2013", "9" ] ] }, "page" : "1997-2011", "title" : "Familiality of neural preparation and response control in childhood attention deficit-hyperactivity disorder.", "type" : "article-journal", "volume" : "43" }, "uris" : [ "http://www.mendeley.com/documents/?uuid=05726bd7-b586-4778-a22e-815c749bb8ad" ] }, { "id" : "ITEM-2", "itemData" : { "ISSN" : "0021-9630", "PMID" : "12635966", "abstract" : "BACKGROUND: To evaluate the impact of psychopathological comorbidity with oppositional defiant/conduct disorder (ODD/CD) on brain electrical correlates in children with attention deficit hyperactivity disorder (ADHD) and to study the pathophysiological background of comorbidity of ADHD+ODD/CD.\n\nMETHOD: Event-related potentials (ERPs) were recorded during a cued continuous performance test (CPT-A-X) in children (aged 8 to 14 years) with ICD-10 diagnoses of either hyperkinetic disorder (HD; n = 15), hyperkinetic conduct disorder (HCD; n = 16), or ODD/CD (n = 15) and normal children (n = 18). HD/HCD diagnoses in all children were fully concordant with the DSM-IV diagnosis of ADHD-combined type. ERP-microstates, i.e., time segments with stable brain electrical map topography were identified by adaptive segmentation. Their characteristic parameters and behavioral measures were further analyzed.\n\nRESULTS: Children with HD but not comorbid children showed slower and more variable reaction times compared to control children. Children with HD and ODD/CD-only but not comorbid children displayed reduced P3a amplitudes to cues and certain distractors (distractor-X) linked to attentional orienting. Correspondingly, global field power of the cue-CNV microstate related to anticipation and preparation was reduced in HD but not in HCD. Topographical alterations of the HD occurred already in the cue-P2/N2 microstate. In sum, the comorbid group was less deviant than both the HD-group and the ODD/CD-group.\n\nCONCLUSIONS: The findings suggest that HD children (ADHD-combined type without ODD/CD) suffer from a more general deficit (e.g., suboptimal energetical state regulation) including deficits of attentional orienting and response preparation than just a responseinhibitory deficit, backing the hypothesis of an involvement of a dysregulation of the central noradrenergic networks. The results contradict the hypothesis that ADHD+ODD/CD represents an additive co-occurrence of ADHD and ODD/CD and strongly suggest that it represents a separate pathological entity as considered in the ICD-10 classification system, which differs from both HD and ODD/CD-only.", "author" : [ { "dropping-particle" : "", "family" : "Banaschewski", "given" : "Tobias", "non-dropping-particle" : "", "parse-names" : false, "suffix" : "" }, { "dropping-particle" : "", "family" : "Brandeis", "given" : "Daniel", "non-dropping-particle" : "", "parse-names" : false, "suffix" : "" }, { "dropping-particle" : "", "family" : "Heinrich", "given" : "Hartmut", "non-dropping-particle" : "", "parse-names" : false, "suffix" : "" }, { "dropping-particle" : "", "family" : "Albrecht", "given" : "Bjoern", "non-dropping-particle" : "", "parse-names" : false, "suffix" : "" }, { "dropping-particle" : "", "family" : "Brunner", "given" : "Edgar", "non-dropping-particle" : "", "parse-names" : false, "suffix" : "" }, { "dropping-particle" : "", "family" : "Rothenberger", "given" : "Aribert", "non-dropping-particle" : "", "parse-names" : false, "suffix" : "" } ], "container-title" : "Journal of child psychology and psychiatry, and allied disciplines", "id" : "ITEM-2", "issue" : "3", "issued" : { "date-parts" : [ [ "2003", "3" ] ] }, "page" : "356-76", "title" : "Association of ADHD and conduct disorder--brain electrical evidence for the existence of a distinct subtype.", "type" : "article-journal", "volume" : "44" }, "uris" : [ "http://www.mendeley.com/documents/?uuid=0bb62a0c-25aa-4dcc-82b1-6fe2eb776b22" ] } ], "mendeley" : { "formattedCitation" : "(7,8)", "plainTextFormattedCitation" : "(7,8)", "previouslyFormattedCitation" : "(7,8)" }, "properties" : { "noteIndex" : 0 }, "schema" : "https://github.com/citation-style-language/schema/raw/master/csl-citation.json" }</w:instrText>
      </w:r>
      <w:r w:rsidR="001519B7">
        <w:rPr>
          <w:rFonts w:cs="AdvPS94BA"/>
          <w:lang w:val="en-US"/>
        </w:rPr>
        <w:fldChar w:fldCharType="separate"/>
      </w:r>
      <w:r w:rsidR="000D286B" w:rsidRPr="000D286B">
        <w:rPr>
          <w:rFonts w:cs="AdvPS94BA"/>
          <w:noProof/>
          <w:lang w:val="en-US"/>
        </w:rPr>
        <w:t>(7,8)</w:t>
      </w:r>
      <w:r w:rsidR="001519B7">
        <w:rPr>
          <w:rFonts w:cs="AdvPS94BA"/>
          <w:lang w:val="en-US"/>
        </w:rPr>
        <w:fldChar w:fldCharType="end"/>
      </w:r>
      <w:r w:rsidR="001519B7">
        <w:rPr>
          <w:rFonts w:cs="AdvPS94BA"/>
          <w:lang w:val="en-US"/>
        </w:rPr>
        <w:t>) at</w:t>
      </w:r>
      <w:r w:rsidR="001519B7" w:rsidRPr="002020E1">
        <w:rPr>
          <w:rFonts w:cs="AdvPS94BA"/>
          <w:lang w:val="en-US"/>
        </w:rPr>
        <w:t xml:space="preserve"> Cz were also analysed separately as a CNV measure. This short interval not only corresponded to the P3 baseline, but also captured the short CNV in the </w:t>
      </w:r>
      <w:r>
        <w:rPr>
          <w:rFonts w:cs="AdvPS94BA"/>
          <w:lang w:val="en-US"/>
        </w:rPr>
        <w:t>fast</w:t>
      </w:r>
      <w:r w:rsidR="001519B7" w:rsidRPr="002020E1">
        <w:rPr>
          <w:rFonts w:cs="AdvPS94BA"/>
          <w:lang w:val="en-US"/>
        </w:rPr>
        <w:t>-incentive condition with its one-second cue – target interval</w:t>
      </w:r>
      <w:r w:rsidR="001519B7">
        <w:rPr>
          <w:rFonts w:cs="AdvPS94BA"/>
          <w:lang w:val="en-US"/>
        </w:rPr>
        <w:t xml:space="preserve"> </w:t>
      </w:r>
      <w:r w:rsidR="001519B7">
        <w:rPr>
          <w:rFonts w:cs="AdvPS94BA"/>
          <w:lang w:val="en-US"/>
        </w:rPr>
        <w:fldChar w:fldCharType="begin" w:fldLock="1"/>
      </w:r>
      <w:r w:rsidR="00AB1DD2">
        <w:rPr>
          <w:rFonts w:cs="AdvPS94BA"/>
          <w:lang w:val="en-US"/>
        </w:rPr>
        <w:instrText>ADDIN CSL_CITATION { "citationItems" : [ { "id" : "ITEM-1", "itemData" : { "DOI" : "10.1007/s10548-017-0554-2", "ISSN" : "0896-0267", "PMID" : "28289850", "abstract" : "Cognitive performance in attention-deficit/hyperactivity disorder (ADHD) is characterised, in part, by frequent fluctuations in response speed, resulting in high reaction time variability (RTV). RTV captures a large proportion of the genetic risk in ADHD but, importantly, is malleable, improving significantly in a fast-paced, rewarded task condition. Using the temporal precision offered by event-related potentials (ERPs), we aimed to examine the neurophysiological measures of attention allocation (P3 amplitudes) and preparation (contingent negative variation, CNV), and their associations with the fluctuating RT performance and its improvement in ADHD. 93 participants with ADHD and 174 controls completed the baseline and fast-incentive conditions of a four-choice reaction time task, while EEG was simultaneously recorded. Compared to controls, individuals with ADHD showed both increased RTV and reduced P3 amplitudes during performance on the RT task. In the participants with ADHD, attenuated P3 amplitudes were significantly associated with high RTV, and the increase in P3 amplitudes from a slow baseline to a fast-paced, rewarded condition was significantly associated with the RTV decrease. Yet, the individuals with ADHD did not show the same increase in CNV from baseline to fast-incentive condition as observed in controls. ADHD is associated both with a neurophysiological impairment of attention allocation (P3 amplitudes) and an inability to adjust the preparatory state (CNV) in a changed context. Our findings suggest that both neurophysiological and cognitive performance measures of attention are malleable in ADHD, which are potential targets for non-pharmacological interventions.", "author" : [ { "dropping-particle" : "", "family" : "Cheung", "given" : "Celeste H. M.", "non-dropping-particle" : "", "parse-names" : false, "suffix" : "" }, { "dropping-particle" : "", "family" : "McLoughlin", "given" : "Gr\u00e1inne", "non-dropping-particle" : "", "parse-names" : false, "suffix" : "" }, { "dropping-particle" : "", "family" : "Brandeis", "given" : "Daniel", "non-dropping-particle" : "", "parse-names" : false, "suffix" : "" }, { "dropping-particle" : "", "family" : "Banaschewski", "given" : "Tobias", "non-dropping-particle" : "", "parse-names" : false, "suffix" : "" }, { "dropping-particle" : "", "family" : "Asherson", "given" : "Philip", "non-dropping-particle" : "", "parse-names" : false, "suffix" : "" }, { "dropping-particle" : "", "family" : "Kuntsi", "given" : "Jonna", "non-dropping-particle" : "", "parse-names" : false, "suffix" : "" } ], "container-title" : "Brain Topography", "id" : "ITEM-1", "issued" : { "date-parts" : [ [ "2017", "3", "14" ] ] }, "title" : "Neurophysiological Correlates of Attentional Fluctuation in Attention-Deficit/Hyperactivity Disorder", "type" : "article-journal" }, "uris" : [ "http://www.mendeley.com/documents/?uuid=d6c07e40-aea1-3505-bff0-88b4dc7e020f" ] }, { "id" : "ITEM-2", "itemData" : { "DOI" : "10.1016/j.bpsc.2016.06.003", "ISSN" : "24519022", "abstract" : "BACKGROUND\nCognitive theories of attention-deficit/hyperactivity disorder (ADHD) propose that high within-subject fluctuations of cognitive performance in ADHD, particularly reaction time (RT) variability (RTV), may reflect arousal dysregulation. Yet, direct evidence of arousal dysregulation and how it may account for fluctuating reaction times in ADHD is limited. We used skin conductance (SC) as a measure of peripheral arousal and aimed to investigate its phenotypic and familial association with RTV in a large sample of ADHD and control sibling pairs. \n\nMETHODS\n292 adolescents and young adults, consisting of 73 participants with ADHD and their 75 siblings, as well as 72 controls and their 72 siblings, completed the baseline (slow, unrewarded) and fast-incentive conditions of a RT task, whilst SC was simultaneously recorded. \n\nRESULTS\nA significant group by condition interaction emerged for SC level (SCL). Participants with ADHD had decreased SCL, compared to controls, in the baseline but not fast-incentive condition. Baseline SCL was negatively associated with RTV and multivariate model fitting demonstrated that the covariance of SCL with RTV, and of SCL with ADHD, was mostly explained by shared familial effects. \n\nCONCLUSIONS\nADHD is associated with decreased, but modifiable, tonic peripheral arousal. A shared familial etiology underlies the relationship between arousal and RTV, and between arousal and ADHD. Given the malleability of SCL, if our findings are replicated, it warrants further exploration as a potential treatment target for ADHD.", "author" : [ { "dropping-particle" : "", "family" : "James", "given" : "Sarah-Naomi.", "non-dropping-particle" : "", "parse-names" : false, "suffix" : "" }, { "dropping-particle" : "", "family" : "Cheung", "given" : "Celeste H.M.", "non-dropping-particle" : "", "parse-names" : false, "suffix" : "" }, { "dropping-particle" : "", "family" : "Rijsdijk", "given" : "Fruhling", "non-dropping-particle" : "", "parse-names" : false, "suffix" : "" }, { "dropping-particle" : "", "family" : "Asherson", "given" : "Philip", "non-dropping-particle" : "", "parse-names" : false, "suffix" : "" }, { "dropping-particle" : "", "family" : "Kuntsi", "given" : "Jonna", "non-dropping-particle" : "", "parse-names" : false, "suffix" : "" } ], "container-title" : "Biological Psychiatry: Cognitive Neuroscience and Neuroimaging", "id" : "ITEM-2", "issued" : { "date-parts" : [ [ "2016" ] ] }, "title" : "Modifiable Arousal in ADHD and its Etiological Association with Fluctuating Reaction Times", "type" : "article-journal" }, "uris" : [ "http://www.mendeley.com/documents/?uuid=c31cc3e9-5369-342d-87ec-5521e8672546" ] } ], "mendeley" : { "formattedCitation" : "(9,10)", "manualFormatting" : "(Cheung et al. 2017; James, Cheung, Rijsdijk, et al. 2016)", "plainTextFormattedCitation" : "(9,10)", "previouslyFormattedCitation" : "(9,10)" }, "properties" : { "noteIndex" : 0 }, "schema" : "https://github.com/citation-style-language/schema/raw/master/csl-citation.json" }</w:instrText>
      </w:r>
      <w:r w:rsidR="001519B7">
        <w:rPr>
          <w:rFonts w:cs="AdvPS94BA"/>
          <w:lang w:val="en-US"/>
        </w:rPr>
        <w:fldChar w:fldCharType="separate"/>
      </w:r>
      <w:r w:rsidR="001519B7" w:rsidRPr="00980CE3">
        <w:rPr>
          <w:rFonts w:cs="AdvPS94BA"/>
          <w:noProof/>
          <w:lang w:val="en-US"/>
        </w:rPr>
        <w:t>(Cheung et al. 2017; James, Cheung, Rijsdijk, et al. 2016)</w:t>
      </w:r>
      <w:r w:rsidR="001519B7">
        <w:rPr>
          <w:rFonts w:cs="AdvPS94BA"/>
          <w:lang w:val="en-US"/>
        </w:rPr>
        <w:fldChar w:fldCharType="end"/>
      </w:r>
      <w:r w:rsidR="001519B7">
        <w:rPr>
          <w:rFonts w:cs="AdvPS94BA"/>
          <w:lang w:val="en-US"/>
        </w:rPr>
        <w:t>.</w:t>
      </w:r>
    </w:p>
    <w:p w14:paraId="5C8DF58B" w14:textId="6663DD17" w:rsidR="00C94001" w:rsidRDefault="001519B7">
      <w:pPr>
        <w:spacing w:before="0" w:after="160" w:line="259" w:lineRule="auto"/>
        <w:jc w:val="left"/>
        <w:rPr>
          <w:b/>
          <w:szCs w:val="22"/>
        </w:rPr>
      </w:pPr>
      <w:r>
        <w:rPr>
          <w:b/>
          <w:szCs w:val="22"/>
        </w:rPr>
        <w:br w:type="page"/>
      </w:r>
      <w:r w:rsidR="00C94001">
        <w:rPr>
          <w:b/>
          <w:szCs w:val="22"/>
        </w:rPr>
        <w:lastRenderedPageBreak/>
        <w:br w:type="page"/>
      </w:r>
    </w:p>
    <w:p w14:paraId="236C73B5" w14:textId="74BB5B02" w:rsidR="00C94001" w:rsidRDefault="00C94001" w:rsidP="00C94001">
      <w:pPr>
        <w:pStyle w:val="Heading1"/>
      </w:pPr>
      <w:r>
        <w:lastRenderedPageBreak/>
        <w:t>SUPPLEMENTARY MATERIAL II</w:t>
      </w:r>
      <w:r w:rsidRPr="002E5577">
        <w:t xml:space="preserve">: </w:t>
      </w:r>
    </w:p>
    <w:p w14:paraId="63036A20" w14:textId="74638E43" w:rsidR="00C94001" w:rsidRPr="00E45883" w:rsidRDefault="00C94001" w:rsidP="00C94001">
      <w:pPr>
        <w:pStyle w:val="Heading1"/>
        <w:rPr>
          <w:rFonts w:asciiTheme="minorHAnsi" w:hAnsiTheme="minorHAnsi"/>
          <w:b w:val="0"/>
          <w:sz w:val="22"/>
          <w:szCs w:val="22"/>
        </w:rPr>
      </w:pPr>
      <w:r w:rsidRPr="00E45883">
        <w:rPr>
          <w:rFonts w:asciiTheme="minorHAnsi" w:hAnsiTheme="minorHAnsi"/>
          <w:sz w:val="22"/>
          <w:szCs w:val="22"/>
        </w:rPr>
        <w:t>T</w:t>
      </w:r>
      <w:r>
        <w:rPr>
          <w:rFonts w:asciiTheme="minorHAnsi" w:hAnsiTheme="minorHAnsi"/>
          <w:sz w:val="22"/>
          <w:szCs w:val="22"/>
        </w:rPr>
        <w:t>ABLE</w:t>
      </w:r>
      <w:r w:rsidRPr="00E45883">
        <w:rPr>
          <w:rFonts w:asciiTheme="minorHAnsi" w:hAnsiTheme="minorHAnsi"/>
          <w:sz w:val="22"/>
          <w:szCs w:val="22"/>
        </w:rPr>
        <w:t xml:space="preserve"> 1:</w:t>
      </w:r>
      <w:r>
        <w:rPr>
          <w:rFonts w:asciiTheme="minorHAnsi" w:hAnsiTheme="minorHAnsi"/>
          <w:b w:val="0"/>
          <w:sz w:val="22"/>
          <w:szCs w:val="22"/>
        </w:rPr>
        <w:t xml:space="preserve"> </w:t>
      </w:r>
      <w:r w:rsidRPr="00E45883">
        <w:rPr>
          <w:rFonts w:asciiTheme="minorHAnsi" w:hAnsiTheme="minorHAnsi"/>
          <w:b w:val="0"/>
          <w:sz w:val="22"/>
          <w:szCs w:val="22"/>
        </w:rPr>
        <w:t xml:space="preserve">Descriptive statistics: means and standard deviations () for the </w:t>
      </w:r>
      <w:r>
        <w:rPr>
          <w:rFonts w:asciiTheme="minorHAnsi" w:hAnsiTheme="minorHAnsi"/>
          <w:b w:val="0"/>
          <w:sz w:val="22"/>
          <w:szCs w:val="22"/>
        </w:rPr>
        <w:t>preterm and term groups.</w:t>
      </w:r>
      <w:r w:rsidRPr="00E45883">
        <w:rPr>
          <w:rFonts w:asciiTheme="minorHAnsi" w:hAnsiTheme="minorHAnsi"/>
          <w:b w:val="0"/>
          <w:sz w:val="22"/>
          <w:szCs w:val="22"/>
        </w:rPr>
        <w:t xml:space="preserve"> </w:t>
      </w:r>
      <w:r>
        <w:rPr>
          <w:rFonts w:asciiTheme="minorHAnsi" w:hAnsiTheme="minorHAnsi"/>
          <w:b w:val="0"/>
          <w:sz w:val="22"/>
          <w:szCs w:val="22"/>
        </w:rPr>
        <w:t>NB this is not a group analysis.</w:t>
      </w:r>
    </w:p>
    <w:tbl>
      <w:tblPr>
        <w:tblW w:w="8522" w:type="dxa"/>
        <w:tblLook w:val="04A0" w:firstRow="1" w:lastRow="0" w:firstColumn="1" w:lastColumn="0" w:noHBand="0" w:noVBand="1"/>
      </w:tblPr>
      <w:tblGrid>
        <w:gridCol w:w="249"/>
        <w:gridCol w:w="4333"/>
        <w:gridCol w:w="966"/>
        <w:gridCol w:w="1004"/>
        <w:gridCol w:w="966"/>
        <w:gridCol w:w="1004"/>
      </w:tblGrid>
      <w:tr w:rsidR="00C94001" w:rsidRPr="00E45883" w14:paraId="250506DB" w14:textId="77777777" w:rsidTr="00C94001">
        <w:trPr>
          <w:trHeight w:val="787"/>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B3E8B" w14:textId="77777777" w:rsidR="00C94001" w:rsidRPr="00E45883" w:rsidRDefault="00C94001" w:rsidP="004558C3">
            <w:pPr>
              <w:spacing w:before="0"/>
              <w:jc w:val="left"/>
              <w:rPr>
                <w:rFonts w:eastAsia="Times New Roman"/>
                <w:b/>
                <w:bCs/>
                <w:szCs w:val="22"/>
                <w:lang w:val="en-US"/>
              </w:rPr>
            </w:pPr>
            <w:r w:rsidRPr="00E45883">
              <w:rPr>
                <w:rFonts w:eastAsia="Times New Roman"/>
                <w:b/>
                <w:bCs/>
                <w:szCs w:val="22"/>
                <w:lang w:val="en-US"/>
              </w:rPr>
              <w:t xml:space="preserve">                                  Variable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91F7774" w14:textId="77777777" w:rsidR="00C94001" w:rsidRPr="00E45883" w:rsidRDefault="00C94001" w:rsidP="004558C3">
            <w:pPr>
              <w:spacing w:before="0"/>
              <w:jc w:val="left"/>
              <w:rPr>
                <w:rFonts w:eastAsia="Times New Roman"/>
                <w:b/>
                <w:bCs/>
                <w:szCs w:val="22"/>
                <w:lang w:val="en-US"/>
              </w:rPr>
            </w:pPr>
            <w:r w:rsidRPr="00E45883">
              <w:rPr>
                <w:rFonts w:eastAsia="Times New Roman"/>
                <w:b/>
                <w:bCs/>
                <w:szCs w:val="22"/>
                <w:lang w:val="en-US"/>
              </w:rPr>
              <w:t>Term</w:t>
            </w:r>
          </w:p>
          <w:p w14:paraId="17366560" w14:textId="77777777" w:rsidR="00C94001" w:rsidRPr="00E45883" w:rsidRDefault="00C94001" w:rsidP="004558C3">
            <w:pPr>
              <w:spacing w:before="0"/>
              <w:jc w:val="left"/>
              <w:rPr>
                <w:rFonts w:eastAsia="Times New Roman"/>
                <w:b/>
                <w:bCs/>
                <w:szCs w:val="22"/>
                <w:lang w:val="en-US"/>
              </w:rPr>
            </w:pPr>
            <w:r w:rsidRPr="00E45883">
              <w:rPr>
                <w:rFonts w:eastAsia="Times New Roman"/>
                <w:b/>
                <w:bCs/>
                <w:szCs w:val="22"/>
                <w:lang w:val="en-US"/>
              </w:rPr>
              <w:t>n=104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CDBCB40" w14:textId="77777777" w:rsidR="00C94001" w:rsidRPr="00E45883" w:rsidRDefault="00C94001" w:rsidP="004558C3">
            <w:pPr>
              <w:spacing w:before="0"/>
              <w:jc w:val="left"/>
              <w:rPr>
                <w:rFonts w:eastAsia="Times New Roman"/>
                <w:b/>
                <w:bCs/>
                <w:szCs w:val="22"/>
                <w:lang w:val="en-US"/>
              </w:rPr>
            </w:pPr>
            <w:r w:rsidRPr="00E45883">
              <w:rPr>
                <w:rFonts w:eastAsia="Times New Roman"/>
                <w:b/>
                <w:bCs/>
                <w:szCs w:val="22"/>
                <w:lang w:val="en-US"/>
              </w:rPr>
              <w:t>Preterm</w:t>
            </w:r>
          </w:p>
          <w:p w14:paraId="371112A5" w14:textId="77777777" w:rsidR="00C94001" w:rsidRPr="00E45883" w:rsidRDefault="00C94001" w:rsidP="004558C3">
            <w:pPr>
              <w:spacing w:before="0"/>
              <w:jc w:val="left"/>
              <w:rPr>
                <w:rFonts w:eastAsia="Times New Roman"/>
                <w:b/>
                <w:bCs/>
                <w:szCs w:val="22"/>
                <w:lang w:val="en-US"/>
              </w:rPr>
            </w:pPr>
            <w:r w:rsidRPr="00E45883">
              <w:rPr>
                <w:rFonts w:eastAsia="Times New Roman"/>
                <w:b/>
                <w:bCs/>
                <w:szCs w:val="22"/>
                <w:lang w:val="en-US"/>
              </w:rPr>
              <w:t>n=104</w:t>
            </w:r>
          </w:p>
        </w:tc>
      </w:tr>
      <w:tr w:rsidR="00C94001" w:rsidRPr="00E45883" w14:paraId="24F6BBAC" w14:textId="77777777" w:rsidTr="00C94001">
        <w:trPr>
          <w:trHeight w:val="394"/>
        </w:trPr>
        <w:tc>
          <w:tcPr>
            <w:tcW w:w="0" w:type="auto"/>
            <w:tcBorders>
              <w:top w:val="single" w:sz="4" w:space="0" w:color="auto"/>
              <w:left w:val="single" w:sz="4" w:space="0" w:color="auto"/>
            </w:tcBorders>
            <w:shd w:val="clear" w:color="auto" w:fill="auto"/>
            <w:noWrap/>
          </w:tcPr>
          <w:p w14:paraId="4CE4BAE7" w14:textId="77777777" w:rsidR="00C94001" w:rsidRPr="00E45883" w:rsidRDefault="00C94001" w:rsidP="004558C3">
            <w:pPr>
              <w:spacing w:before="0"/>
              <w:jc w:val="left"/>
              <w:rPr>
                <w:rFonts w:eastAsia="Times New Roman"/>
                <w:iCs/>
                <w:szCs w:val="22"/>
                <w:lang w:val="en-US"/>
              </w:rPr>
            </w:pPr>
          </w:p>
        </w:tc>
        <w:tc>
          <w:tcPr>
            <w:tcW w:w="0" w:type="auto"/>
            <w:tcBorders>
              <w:top w:val="single" w:sz="4" w:space="0" w:color="auto"/>
              <w:left w:val="nil"/>
              <w:right w:val="single" w:sz="4" w:space="0" w:color="auto"/>
            </w:tcBorders>
            <w:shd w:val="clear" w:color="auto" w:fill="auto"/>
          </w:tcPr>
          <w:p w14:paraId="7DE3045C" w14:textId="77777777" w:rsidR="00C94001" w:rsidRPr="00E45883" w:rsidRDefault="00C94001" w:rsidP="004558C3">
            <w:pPr>
              <w:spacing w:before="0"/>
              <w:jc w:val="left"/>
              <w:rPr>
                <w:rFonts w:eastAsia="Times New Roman"/>
                <w:iCs/>
                <w:szCs w:val="22"/>
                <w:lang w:val="en-US"/>
              </w:rPr>
            </w:pPr>
            <w:r w:rsidRPr="00E45883">
              <w:rPr>
                <w:rFonts w:eastAsia="Times New Roman"/>
                <w:iCs/>
                <w:szCs w:val="22"/>
                <w:lang w:val="en-US"/>
              </w:rPr>
              <w:t>Male (%)</w:t>
            </w:r>
          </w:p>
        </w:tc>
        <w:tc>
          <w:tcPr>
            <w:tcW w:w="0" w:type="auto"/>
            <w:tcBorders>
              <w:top w:val="single" w:sz="4" w:space="0" w:color="auto"/>
              <w:left w:val="single" w:sz="4" w:space="0" w:color="auto"/>
            </w:tcBorders>
            <w:shd w:val="clear" w:color="auto" w:fill="auto"/>
            <w:noWrap/>
          </w:tcPr>
          <w:p w14:paraId="60B12D88"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60</w:t>
            </w:r>
          </w:p>
        </w:tc>
        <w:tc>
          <w:tcPr>
            <w:tcW w:w="0" w:type="auto"/>
            <w:tcBorders>
              <w:top w:val="single" w:sz="4" w:space="0" w:color="auto"/>
              <w:right w:val="single" w:sz="4" w:space="0" w:color="auto"/>
            </w:tcBorders>
            <w:shd w:val="clear" w:color="auto" w:fill="auto"/>
            <w:noWrap/>
          </w:tcPr>
          <w:p w14:paraId="082C954C" w14:textId="77777777" w:rsidR="00C94001" w:rsidRPr="00E45883" w:rsidRDefault="00C94001" w:rsidP="004558C3">
            <w:pPr>
              <w:spacing w:before="0"/>
              <w:jc w:val="left"/>
              <w:rPr>
                <w:rFonts w:eastAsia="Times New Roman"/>
                <w:szCs w:val="22"/>
              </w:rPr>
            </w:pPr>
            <w:r w:rsidRPr="00E45883">
              <w:rPr>
                <w:rFonts w:eastAsia="Times New Roman"/>
                <w:szCs w:val="22"/>
                <w:lang w:val="en-US"/>
              </w:rPr>
              <w:t>(58%)</w:t>
            </w:r>
          </w:p>
        </w:tc>
        <w:tc>
          <w:tcPr>
            <w:tcW w:w="0" w:type="auto"/>
            <w:tcBorders>
              <w:top w:val="single" w:sz="4" w:space="0" w:color="auto"/>
              <w:left w:val="single" w:sz="4" w:space="0" w:color="auto"/>
            </w:tcBorders>
            <w:shd w:val="clear" w:color="auto" w:fill="auto"/>
            <w:noWrap/>
          </w:tcPr>
          <w:p w14:paraId="316844C0"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59</w:t>
            </w:r>
          </w:p>
        </w:tc>
        <w:tc>
          <w:tcPr>
            <w:tcW w:w="0" w:type="auto"/>
            <w:tcBorders>
              <w:top w:val="single" w:sz="4" w:space="0" w:color="auto"/>
              <w:right w:val="single" w:sz="4" w:space="0" w:color="auto"/>
            </w:tcBorders>
            <w:shd w:val="clear" w:color="auto" w:fill="auto"/>
            <w:noWrap/>
          </w:tcPr>
          <w:p w14:paraId="08223FD0"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57%)</w:t>
            </w:r>
          </w:p>
        </w:tc>
      </w:tr>
      <w:tr w:rsidR="00C94001" w:rsidRPr="00E45883" w14:paraId="6DC41F25" w14:textId="77777777" w:rsidTr="00C94001">
        <w:trPr>
          <w:trHeight w:val="394"/>
        </w:trPr>
        <w:tc>
          <w:tcPr>
            <w:tcW w:w="0" w:type="auto"/>
            <w:tcBorders>
              <w:left w:val="single" w:sz="4" w:space="0" w:color="auto"/>
            </w:tcBorders>
            <w:shd w:val="clear" w:color="auto" w:fill="auto"/>
            <w:noWrap/>
          </w:tcPr>
          <w:p w14:paraId="288A764D" w14:textId="77777777" w:rsidR="00C94001" w:rsidRPr="00E45883" w:rsidRDefault="00C94001" w:rsidP="004558C3">
            <w:pPr>
              <w:spacing w:before="0"/>
              <w:jc w:val="left"/>
              <w:rPr>
                <w:rFonts w:eastAsia="Times New Roman"/>
                <w:iCs/>
                <w:szCs w:val="22"/>
                <w:lang w:val="en-US"/>
              </w:rPr>
            </w:pPr>
          </w:p>
        </w:tc>
        <w:tc>
          <w:tcPr>
            <w:tcW w:w="0" w:type="auto"/>
            <w:tcBorders>
              <w:left w:val="nil"/>
              <w:right w:val="single" w:sz="4" w:space="0" w:color="auto"/>
            </w:tcBorders>
            <w:shd w:val="clear" w:color="auto" w:fill="auto"/>
          </w:tcPr>
          <w:p w14:paraId="62E92004" w14:textId="77777777" w:rsidR="00C94001" w:rsidRPr="00E45883" w:rsidRDefault="00C94001" w:rsidP="004558C3">
            <w:pPr>
              <w:spacing w:before="0"/>
              <w:jc w:val="left"/>
              <w:rPr>
                <w:rFonts w:eastAsia="Times New Roman"/>
                <w:iCs/>
                <w:szCs w:val="22"/>
                <w:lang w:val="en-US"/>
              </w:rPr>
            </w:pPr>
            <w:r w:rsidRPr="00E45883">
              <w:rPr>
                <w:rFonts w:eastAsia="Times New Roman"/>
                <w:iCs/>
                <w:szCs w:val="22"/>
                <w:lang w:val="en-US"/>
              </w:rPr>
              <w:t>Age</w:t>
            </w:r>
          </w:p>
        </w:tc>
        <w:tc>
          <w:tcPr>
            <w:tcW w:w="0" w:type="auto"/>
            <w:tcBorders>
              <w:left w:val="single" w:sz="4" w:space="0" w:color="auto"/>
            </w:tcBorders>
            <w:shd w:val="clear" w:color="auto" w:fill="auto"/>
            <w:noWrap/>
          </w:tcPr>
          <w:p w14:paraId="2F24B937"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15.02</w:t>
            </w:r>
          </w:p>
        </w:tc>
        <w:tc>
          <w:tcPr>
            <w:tcW w:w="0" w:type="auto"/>
            <w:tcBorders>
              <w:right w:val="single" w:sz="4" w:space="0" w:color="auto"/>
            </w:tcBorders>
            <w:shd w:val="clear" w:color="auto" w:fill="auto"/>
            <w:noWrap/>
          </w:tcPr>
          <w:p w14:paraId="2EE24E18" w14:textId="77777777" w:rsidR="00C94001" w:rsidRPr="00E45883" w:rsidRDefault="00C94001" w:rsidP="004558C3">
            <w:pPr>
              <w:spacing w:before="0"/>
              <w:jc w:val="left"/>
              <w:rPr>
                <w:rFonts w:eastAsia="Times New Roman"/>
                <w:szCs w:val="22"/>
              </w:rPr>
            </w:pPr>
            <w:r w:rsidRPr="00E45883">
              <w:rPr>
                <w:rFonts w:eastAsia="Times New Roman"/>
                <w:szCs w:val="22"/>
              </w:rPr>
              <w:t>(2.44)</w:t>
            </w:r>
          </w:p>
        </w:tc>
        <w:tc>
          <w:tcPr>
            <w:tcW w:w="0" w:type="auto"/>
            <w:tcBorders>
              <w:left w:val="single" w:sz="4" w:space="0" w:color="auto"/>
            </w:tcBorders>
            <w:shd w:val="clear" w:color="auto" w:fill="auto"/>
            <w:noWrap/>
          </w:tcPr>
          <w:p w14:paraId="3ADAC3C3"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15.10</w:t>
            </w:r>
          </w:p>
        </w:tc>
        <w:tc>
          <w:tcPr>
            <w:tcW w:w="0" w:type="auto"/>
            <w:tcBorders>
              <w:right w:val="single" w:sz="4" w:space="0" w:color="auto"/>
            </w:tcBorders>
            <w:shd w:val="clear" w:color="auto" w:fill="auto"/>
            <w:noWrap/>
          </w:tcPr>
          <w:p w14:paraId="7594EFE5" w14:textId="77777777" w:rsidR="00C94001" w:rsidRPr="00E45883" w:rsidRDefault="00C94001" w:rsidP="004558C3">
            <w:pPr>
              <w:spacing w:before="0"/>
              <w:jc w:val="left"/>
              <w:rPr>
                <w:rFonts w:eastAsia="Times New Roman"/>
                <w:szCs w:val="22"/>
              </w:rPr>
            </w:pPr>
            <w:r w:rsidRPr="00E45883">
              <w:rPr>
                <w:rFonts w:eastAsia="Times New Roman"/>
                <w:szCs w:val="22"/>
              </w:rPr>
              <w:t>(2.03)</w:t>
            </w:r>
          </w:p>
        </w:tc>
      </w:tr>
      <w:tr w:rsidR="00C94001" w:rsidRPr="00E45883" w14:paraId="50C480F4" w14:textId="77777777" w:rsidTr="00C94001">
        <w:trPr>
          <w:trHeight w:val="394"/>
        </w:trPr>
        <w:tc>
          <w:tcPr>
            <w:tcW w:w="0" w:type="auto"/>
            <w:tcBorders>
              <w:left w:val="single" w:sz="4" w:space="0" w:color="auto"/>
            </w:tcBorders>
            <w:shd w:val="clear" w:color="auto" w:fill="auto"/>
            <w:noWrap/>
          </w:tcPr>
          <w:p w14:paraId="17EBD17E" w14:textId="77777777" w:rsidR="00C94001" w:rsidRPr="00E45883" w:rsidRDefault="00C94001" w:rsidP="004558C3">
            <w:pPr>
              <w:spacing w:before="0"/>
              <w:jc w:val="left"/>
              <w:rPr>
                <w:rFonts w:eastAsia="Times New Roman"/>
                <w:iCs/>
                <w:szCs w:val="22"/>
                <w:lang w:val="en-US"/>
              </w:rPr>
            </w:pPr>
          </w:p>
        </w:tc>
        <w:tc>
          <w:tcPr>
            <w:tcW w:w="0" w:type="auto"/>
            <w:tcBorders>
              <w:left w:val="nil"/>
              <w:right w:val="single" w:sz="4" w:space="0" w:color="auto"/>
            </w:tcBorders>
            <w:shd w:val="clear" w:color="auto" w:fill="auto"/>
          </w:tcPr>
          <w:p w14:paraId="4CD09CC6" w14:textId="77777777" w:rsidR="00C94001" w:rsidRPr="00E45883" w:rsidRDefault="00C94001" w:rsidP="004558C3">
            <w:pPr>
              <w:spacing w:before="0"/>
              <w:jc w:val="left"/>
              <w:rPr>
                <w:rFonts w:eastAsia="Times New Roman"/>
                <w:iCs/>
                <w:szCs w:val="22"/>
                <w:lang w:val="en-US"/>
              </w:rPr>
            </w:pPr>
            <w:r w:rsidRPr="00E45883">
              <w:rPr>
                <w:rFonts w:eastAsia="Times New Roman"/>
                <w:iCs/>
                <w:szCs w:val="22"/>
                <w:lang w:val="en-US"/>
              </w:rPr>
              <w:t>Gestational age</w:t>
            </w:r>
          </w:p>
        </w:tc>
        <w:tc>
          <w:tcPr>
            <w:tcW w:w="0" w:type="auto"/>
            <w:tcBorders>
              <w:left w:val="single" w:sz="4" w:space="0" w:color="auto"/>
            </w:tcBorders>
            <w:shd w:val="clear" w:color="auto" w:fill="auto"/>
            <w:noWrap/>
          </w:tcPr>
          <w:p w14:paraId="2648AEB5"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39.19</w:t>
            </w:r>
          </w:p>
        </w:tc>
        <w:tc>
          <w:tcPr>
            <w:tcW w:w="0" w:type="auto"/>
            <w:tcBorders>
              <w:right w:val="single" w:sz="4" w:space="0" w:color="auto"/>
            </w:tcBorders>
            <w:shd w:val="clear" w:color="auto" w:fill="auto"/>
            <w:noWrap/>
          </w:tcPr>
          <w:p w14:paraId="4D631572" w14:textId="77777777" w:rsidR="00C94001" w:rsidRPr="00E45883" w:rsidRDefault="00C94001" w:rsidP="004558C3">
            <w:pPr>
              <w:spacing w:before="0"/>
              <w:jc w:val="left"/>
              <w:rPr>
                <w:rFonts w:eastAsia="Times New Roman"/>
                <w:szCs w:val="22"/>
              </w:rPr>
            </w:pPr>
            <w:r w:rsidRPr="00E45883">
              <w:rPr>
                <w:rFonts w:eastAsia="Times New Roman"/>
                <w:szCs w:val="22"/>
              </w:rPr>
              <w:t>(1.22)</w:t>
            </w:r>
          </w:p>
        </w:tc>
        <w:tc>
          <w:tcPr>
            <w:tcW w:w="0" w:type="auto"/>
            <w:tcBorders>
              <w:left w:val="single" w:sz="4" w:space="0" w:color="auto"/>
            </w:tcBorders>
            <w:shd w:val="clear" w:color="auto" w:fill="auto"/>
            <w:noWrap/>
          </w:tcPr>
          <w:p w14:paraId="6D3A8486"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32.88</w:t>
            </w:r>
          </w:p>
        </w:tc>
        <w:tc>
          <w:tcPr>
            <w:tcW w:w="0" w:type="auto"/>
            <w:tcBorders>
              <w:right w:val="single" w:sz="4" w:space="0" w:color="auto"/>
            </w:tcBorders>
            <w:shd w:val="clear" w:color="auto" w:fill="auto"/>
            <w:noWrap/>
          </w:tcPr>
          <w:p w14:paraId="78FB038F" w14:textId="77777777" w:rsidR="00C94001" w:rsidRPr="00E45883" w:rsidRDefault="00C94001" w:rsidP="004558C3">
            <w:pPr>
              <w:spacing w:before="0"/>
              <w:jc w:val="left"/>
              <w:rPr>
                <w:rFonts w:eastAsia="Times New Roman"/>
                <w:szCs w:val="22"/>
              </w:rPr>
            </w:pPr>
            <w:r w:rsidRPr="00E45883">
              <w:rPr>
                <w:rFonts w:eastAsia="Times New Roman"/>
                <w:szCs w:val="22"/>
              </w:rPr>
              <w:t>(3.14)</w:t>
            </w:r>
          </w:p>
        </w:tc>
      </w:tr>
      <w:tr w:rsidR="00C94001" w:rsidRPr="00E45883" w14:paraId="5257ABE5" w14:textId="77777777" w:rsidTr="00C94001">
        <w:trPr>
          <w:trHeight w:val="394"/>
        </w:trPr>
        <w:tc>
          <w:tcPr>
            <w:tcW w:w="0" w:type="auto"/>
            <w:tcBorders>
              <w:left w:val="single" w:sz="4" w:space="0" w:color="auto"/>
            </w:tcBorders>
            <w:shd w:val="clear" w:color="auto" w:fill="auto"/>
            <w:noWrap/>
          </w:tcPr>
          <w:p w14:paraId="1D940229" w14:textId="77777777" w:rsidR="00C94001" w:rsidRPr="00E45883" w:rsidRDefault="00C94001" w:rsidP="004558C3">
            <w:pPr>
              <w:spacing w:before="0"/>
              <w:jc w:val="left"/>
              <w:rPr>
                <w:rFonts w:eastAsia="Times New Roman"/>
                <w:szCs w:val="22"/>
                <w:lang w:val="en-US"/>
              </w:rPr>
            </w:pPr>
          </w:p>
        </w:tc>
        <w:tc>
          <w:tcPr>
            <w:tcW w:w="0" w:type="auto"/>
            <w:tcBorders>
              <w:left w:val="nil"/>
              <w:right w:val="single" w:sz="4" w:space="0" w:color="auto"/>
            </w:tcBorders>
            <w:shd w:val="clear" w:color="auto" w:fill="auto"/>
          </w:tcPr>
          <w:p w14:paraId="5223997D"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ADHD symptoms (total)</w:t>
            </w:r>
          </w:p>
        </w:tc>
        <w:tc>
          <w:tcPr>
            <w:tcW w:w="0" w:type="auto"/>
            <w:tcBorders>
              <w:left w:val="single" w:sz="4" w:space="0" w:color="auto"/>
            </w:tcBorders>
            <w:shd w:val="clear" w:color="auto" w:fill="auto"/>
            <w:noWrap/>
            <w:hideMark/>
          </w:tcPr>
          <w:p w14:paraId="0CD812B9"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6.97</w:t>
            </w:r>
          </w:p>
        </w:tc>
        <w:tc>
          <w:tcPr>
            <w:tcW w:w="0" w:type="auto"/>
            <w:tcBorders>
              <w:right w:val="single" w:sz="4" w:space="0" w:color="auto"/>
            </w:tcBorders>
            <w:shd w:val="clear" w:color="auto" w:fill="auto"/>
            <w:noWrap/>
            <w:hideMark/>
          </w:tcPr>
          <w:p w14:paraId="5852F34F"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(9.23)</w:t>
            </w:r>
          </w:p>
        </w:tc>
        <w:tc>
          <w:tcPr>
            <w:tcW w:w="0" w:type="auto"/>
            <w:tcBorders>
              <w:left w:val="single" w:sz="4" w:space="0" w:color="auto"/>
            </w:tcBorders>
            <w:shd w:val="clear" w:color="auto" w:fill="auto"/>
            <w:noWrap/>
            <w:hideMark/>
          </w:tcPr>
          <w:p w14:paraId="014D0F12"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7.45</w:t>
            </w:r>
          </w:p>
        </w:tc>
        <w:tc>
          <w:tcPr>
            <w:tcW w:w="0" w:type="auto"/>
            <w:tcBorders>
              <w:right w:val="single" w:sz="4" w:space="0" w:color="auto"/>
            </w:tcBorders>
            <w:shd w:val="clear" w:color="auto" w:fill="auto"/>
            <w:noWrap/>
            <w:hideMark/>
          </w:tcPr>
          <w:p w14:paraId="0447D233"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rPr>
              <w:t>(</w:t>
            </w:r>
            <w:r w:rsidRPr="00E94A68">
              <w:rPr>
                <w:rFonts w:eastAsia="Times New Roman"/>
                <w:color w:val="auto"/>
                <w:szCs w:val="22"/>
                <w:lang w:val="en-US"/>
              </w:rPr>
              <w:t>9.02</w:t>
            </w:r>
            <w:r w:rsidRPr="00E94A68">
              <w:rPr>
                <w:rFonts w:eastAsia="Times New Roman"/>
                <w:color w:val="auto"/>
                <w:szCs w:val="22"/>
              </w:rPr>
              <w:t>)</w:t>
            </w:r>
          </w:p>
        </w:tc>
      </w:tr>
      <w:tr w:rsidR="00C94001" w:rsidRPr="00E45883" w14:paraId="10EF4745" w14:textId="77777777" w:rsidTr="00C94001">
        <w:trPr>
          <w:trHeight w:val="394"/>
        </w:trPr>
        <w:tc>
          <w:tcPr>
            <w:tcW w:w="0" w:type="auto"/>
            <w:tcBorders>
              <w:left w:val="single" w:sz="4" w:space="0" w:color="auto"/>
            </w:tcBorders>
            <w:shd w:val="clear" w:color="auto" w:fill="auto"/>
            <w:noWrap/>
          </w:tcPr>
          <w:p w14:paraId="086A4C77" w14:textId="77777777" w:rsidR="00C94001" w:rsidRPr="00E45883" w:rsidRDefault="00C94001" w:rsidP="004558C3">
            <w:pPr>
              <w:spacing w:before="0"/>
              <w:jc w:val="left"/>
              <w:rPr>
                <w:rFonts w:eastAsia="Times New Roman"/>
                <w:szCs w:val="22"/>
                <w:lang w:val="en-US"/>
              </w:rPr>
            </w:pPr>
          </w:p>
        </w:tc>
        <w:tc>
          <w:tcPr>
            <w:tcW w:w="0" w:type="auto"/>
            <w:tcBorders>
              <w:left w:val="nil"/>
              <w:right w:val="single" w:sz="4" w:space="0" w:color="auto"/>
            </w:tcBorders>
            <w:shd w:val="clear" w:color="auto" w:fill="auto"/>
          </w:tcPr>
          <w:p w14:paraId="71042467"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ADHD symptoms (inattentive)</w:t>
            </w:r>
          </w:p>
        </w:tc>
        <w:tc>
          <w:tcPr>
            <w:tcW w:w="0" w:type="auto"/>
            <w:tcBorders>
              <w:left w:val="single" w:sz="4" w:space="0" w:color="auto"/>
            </w:tcBorders>
            <w:shd w:val="clear" w:color="auto" w:fill="auto"/>
            <w:noWrap/>
          </w:tcPr>
          <w:p w14:paraId="77F2DA10"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4.53</w:t>
            </w:r>
          </w:p>
        </w:tc>
        <w:tc>
          <w:tcPr>
            <w:tcW w:w="0" w:type="auto"/>
            <w:tcBorders>
              <w:right w:val="single" w:sz="4" w:space="0" w:color="auto"/>
            </w:tcBorders>
            <w:shd w:val="clear" w:color="auto" w:fill="auto"/>
            <w:noWrap/>
          </w:tcPr>
          <w:p w14:paraId="3AA48FC6"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(6.01)</w:t>
            </w:r>
          </w:p>
        </w:tc>
        <w:tc>
          <w:tcPr>
            <w:tcW w:w="0" w:type="auto"/>
            <w:tcBorders>
              <w:left w:val="single" w:sz="4" w:space="0" w:color="auto"/>
            </w:tcBorders>
            <w:shd w:val="clear" w:color="auto" w:fill="auto"/>
            <w:noWrap/>
          </w:tcPr>
          <w:p w14:paraId="562C716D"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4.85</w:t>
            </w:r>
          </w:p>
        </w:tc>
        <w:tc>
          <w:tcPr>
            <w:tcW w:w="0" w:type="auto"/>
            <w:tcBorders>
              <w:right w:val="single" w:sz="4" w:space="0" w:color="auto"/>
            </w:tcBorders>
            <w:shd w:val="clear" w:color="auto" w:fill="auto"/>
            <w:noWrap/>
          </w:tcPr>
          <w:p w14:paraId="02083BEB" w14:textId="77777777" w:rsidR="00C94001" w:rsidRPr="00E94A68" w:rsidRDefault="00C94001" w:rsidP="004558C3">
            <w:pPr>
              <w:spacing w:before="0"/>
              <w:jc w:val="left"/>
              <w:rPr>
                <w:rFonts w:eastAsia="Times New Roman"/>
                <w:color w:val="auto"/>
                <w:szCs w:val="22"/>
              </w:rPr>
            </w:pPr>
            <w:r w:rsidRPr="00E94A68">
              <w:rPr>
                <w:rFonts w:eastAsia="Times New Roman"/>
                <w:color w:val="auto"/>
                <w:szCs w:val="22"/>
              </w:rPr>
              <w:t>(</w:t>
            </w:r>
            <w:r w:rsidRPr="00E94A68">
              <w:rPr>
                <w:rFonts w:eastAsia="Times New Roman"/>
                <w:color w:val="auto"/>
                <w:szCs w:val="22"/>
                <w:lang w:val="en-US"/>
              </w:rPr>
              <w:t>6.01</w:t>
            </w:r>
            <w:r w:rsidRPr="00E94A68">
              <w:rPr>
                <w:rFonts w:eastAsia="Times New Roman"/>
                <w:color w:val="auto"/>
                <w:szCs w:val="22"/>
              </w:rPr>
              <w:t>)</w:t>
            </w:r>
          </w:p>
        </w:tc>
      </w:tr>
      <w:tr w:rsidR="00C94001" w:rsidRPr="00E45883" w14:paraId="6747551F" w14:textId="77777777" w:rsidTr="00C94001">
        <w:trPr>
          <w:trHeight w:val="394"/>
        </w:trPr>
        <w:tc>
          <w:tcPr>
            <w:tcW w:w="0" w:type="auto"/>
            <w:tcBorders>
              <w:left w:val="single" w:sz="4" w:space="0" w:color="auto"/>
            </w:tcBorders>
            <w:shd w:val="clear" w:color="auto" w:fill="auto"/>
            <w:noWrap/>
          </w:tcPr>
          <w:p w14:paraId="468DCB94" w14:textId="77777777" w:rsidR="00C94001" w:rsidRPr="00E45883" w:rsidRDefault="00C94001" w:rsidP="004558C3">
            <w:pPr>
              <w:spacing w:before="0"/>
              <w:jc w:val="left"/>
              <w:rPr>
                <w:rFonts w:eastAsia="Times New Roman"/>
                <w:szCs w:val="22"/>
                <w:lang w:val="en-US"/>
              </w:rPr>
            </w:pPr>
          </w:p>
        </w:tc>
        <w:tc>
          <w:tcPr>
            <w:tcW w:w="0" w:type="auto"/>
            <w:tcBorders>
              <w:left w:val="nil"/>
              <w:right w:val="single" w:sz="4" w:space="0" w:color="auto"/>
            </w:tcBorders>
            <w:shd w:val="clear" w:color="auto" w:fill="auto"/>
          </w:tcPr>
          <w:p w14:paraId="48C7CF5F"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ADHD symptoms (hyperactivity-impulsivity)</w:t>
            </w:r>
          </w:p>
        </w:tc>
        <w:tc>
          <w:tcPr>
            <w:tcW w:w="0" w:type="auto"/>
            <w:tcBorders>
              <w:left w:val="single" w:sz="4" w:space="0" w:color="auto"/>
            </w:tcBorders>
            <w:shd w:val="clear" w:color="auto" w:fill="auto"/>
            <w:noWrap/>
          </w:tcPr>
          <w:p w14:paraId="4CDEDC5A"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2.44</w:t>
            </w:r>
          </w:p>
        </w:tc>
        <w:tc>
          <w:tcPr>
            <w:tcW w:w="0" w:type="auto"/>
            <w:tcBorders>
              <w:right w:val="single" w:sz="4" w:space="0" w:color="auto"/>
            </w:tcBorders>
            <w:shd w:val="clear" w:color="auto" w:fill="auto"/>
            <w:noWrap/>
          </w:tcPr>
          <w:p w14:paraId="1CB83E6A"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(3.92)</w:t>
            </w:r>
          </w:p>
        </w:tc>
        <w:tc>
          <w:tcPr>
            <w:tcW w:w="0" w:type="auto"/>
            <w:tcBorders>
              <w:left w:val="single" w:sz="4" w:space="0" w:color="auto"/>
            </w:tcBorders>
            <w:shd w:val="clear" w:color="auto" w:fill="auto"/>
            <w:noWrap/>
          </w:tcPr>
          <w:p w14:paraId="633F3A8D" w14:textId="77777777" w:rsidR="00C94001" w:rsidRPr="00E94A68" w:rsidRDefault="00C94001" w:rsidP="004558C3">
            <w:pPr>
              <w:spacing w:before="0"/>
              <w:jc w:val="left"/>
              <w:rPr>
                <w:rFonts w:eastAsia="Times New Roman"/>
                <w:color w:val="auto"/>
                <w:szCs w:val="22"/>
                <w:lang w:val="en-US"/>
              </w:rPr>
            </w:pPr>
            <w:r w:rsidRPr="00E94A68">
              <w:rPr>
                <w:rFonts w:eastAsia="Times New Roman"/>
                <w:color w:val="auto"/>
                <w:szCs w:val="22"/>
                <w:lang w:val="en-US"/>
              </w:rPr>
              <w:t>2.64</w:t>
            </w:r>
          </w:p>
        </w:tc>
        <w:tc>
          <w:tcPr>
            <w:tcW w:w="0" w:type="auto"/>
            <w:tcBorders>
              <w:right w:val="single" w:sz="4" w:space="0" w:color="auto"/>
            </w:tcBorders>
            <w:shd w:val="clear" w:color="auto" w:fill="auto"/>
            <w:noWrap/>
          </w:tcPr>
          <w:p w14:paraId="0BB62F75" w14:textId="77777777" w:rsidR="00C94001" w:rsidRPr="00E94A68" w:rsidRDefault="00C94001" w:rsidP="004558C3">
            <w:pPr>
              <w:spacing w:before="0"/>
              <w:jc w:val="left"/>
              <w:rPr>
                <w:rFonts w:eastAsia="Times New Roman"/>
                <w:color w:val="auto"/>
                <w:szCs w:val="22"/>
              </w:rPr>
            </w:pPr>
            <w:r w:rsidRPr="00E94A68">
              <w:rPr>
                <w:rFonts w:eastAsia="Times New Roman"/>
                <w:color w:val="auto"/>
                <w:szCs w:val="22"/>
              </w:rPr>
              <w:t>(</w:t>
            </w:r>
            <w:r w:rsidRPr="00E94A68">
              <w:rPr>
                <w:rFonts w:eastAsia="Times New Roman"/>
                <w:color w:val="auto"/>
                <w:szCs w:val="22"/>
                <w:lang w:val="en-US"/>
              </w:rPr>
              <w:t>3.91</w:t>
            </w:r>
            <w:r w:rsidRPr="00E94A68">
              <w:rPr>
                <w:rFonts w:eastAsia="Times New Roman"/>
                <w:color w:val="auto"/>
                <w:szCs w:val="22"/>
              </w:rPr>
              <w:t>)</w:t>
            </w:r>
          </w:p>
        </w:tc>
      </w:tr>
      <w:tr w:rsidR="00C94001" w:rsidRPr="00E45883" w14:paraId="79E643BC" w14:textId="77777777" w:rsidTr="00C94001">
        <w:trPr>
          <w:trHeight w:val="394"/>
        </w:trPr>
        <w:tc>
          <w:tcPr>
            <w:tcW w:w="0" w:type="auto"/>
            <w:tcBorders>
              <w:left w:val="single" w:sz="4" w:space="0" w:color="auto"/>
            </w:tcBorders>
            <w:shd w:val="clear" w:color="auto" w:fill="auto"/>
            <w:noWrap/>
          </w:tcPr>
          <w:p w14:paraId="36997A40" w14:textId="77777777" w:rsidR="00C94001" w:rsidRPr="00E45883" w:rsidRDefault="00C94001" w:rsidP="004558C3">
            <w:pPr>
              <w:spacing w:before="0"/>
              <w:jc w:val="left"/>
              <w:rPr>
                <w:rFonts w:eastAsia="Times New Roman"/>
                <w:iCs/>
                <w:szCs w:val="22"/>
                <w:lang w:val="en-US"/>
              </w:rPr>
            </w:pPr>
          </w:p>
        </w:tc>
        <w:tc>
          <w:tcPr>
            <w:tcW w:w="0" w:type="auto"/>
            <w:tcBorders>
              <w:right w:val="single" w:sz="4" w:space="0" w:color="auto"/>
            </w:tcBorders>
            <w:shd w:val="clear" w:color="auto" w:fill="auto"/>
            <w:noWrap/>
          </w:tcPr>
          <w:p w14:paraId="38F3C9FC"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IQ</w:t>
            </w:r>
          </w:p>
        </w:tc>
        <w:tc>
          <w:tcPr>
            <w:tcW w:w="0" w:type="auto"/>
            <w:tcBorders>
              <w:left w:val="single" w:sz="4" w:space="0" w:color="auto"/>
            </w:tcBorders>
            <w:shd w:val="clear" w:color="auto" w:fill="auto"/>
            <w:noWrap/>
          </w:tcPr>
          <w:p w14:paraId="72BBD5C7"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105.86</w:t>
            </w:r>
          </w:p>
        </w:tc>
        <w:tc>
          <w:tcPr>
            <w:tcW w:w="0" w:type="auto"/>
            <w:tcBorders>
              <w:right w:val="single" w:sz="4" w:space="0" w:color="auto"/>
            </w:tcBorders>
            <w:shd w:val="clear" w:color="auto" w:fill="auto"/>
            <w:noWrap/>
          </w:tcPr>
          <w:p w14:paraId="2B051B4C"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(11.33)</w:t>
            </w:r>
          </w:p>
        </w:tc>
        <w:tc>
          <w:tcPr>
            <w:tcW w:w="0" w:type="auto"/>
            <w:tcBorders>
              <w:left w:val="single" w:sz="4" w:space="0" w:color="auto"/>
            </w:tcBorders>
            <w:shd w:val="clear" w:color="auto" w:fill="auto"/>
            <w:noWrap/>
          </w:tcPr>
          <w:p w14:paraId="7DF4EA94"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103.86</w:t>
            </w:r>
          </w:p>
        </w:tc>
        <w:tc>
          <w:tcPr>
            <w:tcW w:w="0" w:type="auto"/>
            <w:tcBorders>
              <w:right w:val="single" w:sz="4" w:space="0" w:color="auto"/>
            </w:tcBorders>
            <w:shd w:val="clear" w:color="auto" w:fill="auto"/>
            <w:noWrap/>
          </w:tcPr>
          <w:p w14:paraId="37D823E8"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13.06</w:t>
            </w:r>
            <w:r w:rsidRPr="00E45883">
              <w:rPr>
                <w:rFonts w:eastAsia="Times New Roman"/>
                <w:szCs w:val="22"/>
              </w:rPr>
              <w:t>)</w:t>
            </w:r>
          </w:p>
        </w:tc>
      </w:tr>
      <w:tr w:rsidR="00C94001" w:rsidRPr="00E45883" w14:paraId="7715D0A8" w14:textId="77777777" w:rsidTr="00C94001">
        <w:trPr>
          <w:trHeight w:val="394"/>
        </w:trPr>
        <w:tc>
          <w:tcPr>
            <w:tcW w:w="0" w:type="auto"/>
            <w:tcBorders>
              <w:left w:val="single" w:sz="4" w:space="0" w:color="auto"/>
            </w:tcBorders>
            <w:shd w:val="clear" w:color="auto" w:fill="auto"/>
            <w:noWrap/>
          </w:tcPr>
          <w:p w14:paraId="11C175F1" w14:textId="77777777" w:rsidR="00C94001" w:rsidRPr="00E45883" w:rsidRDefault="00C94001" w:rsidP="004558C3">
            <w:pPr>
              <w:spacing w:before="0"/>
              <w:jc w:val="left"/>
              <w:rPr>
                <w:rFonts w:eastAsia="Times New Roman"/>
                <w:bCs/>
                <w:szCs w:val="22"/>
                <w:lang w:eastAsia="en-GB"/>
              </w:rPr>
            </w:pPr>
          </w:p>
        </w:tc>
        <w:tc>
          <w:tcPr>
            <w:tcW w:w="0" w:type="auto"/>
            <w:tcBorders>
              <w:right w:val="single" w:sz="4" w:space="0" w:color="auto"/>
            </w:tcBorders>
            <w:shd w:val="clear" w:color="auto" w:fill="auto"/>
            <w:noWrap/>
          </w:tcPr>
          <w:p w14:paraId="45D64EBB"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DSB</w:t>
            </w:r>
          </w:p>
        </w:tc>
        <w:tc>
          <w:tcPr>
            <w:tcW w:w="0" w:type="auto"/>
            <w:tcBorders>
              <w:left w:val="single" w:sz="4" w:space="0" w:color="auto"/>
            </w:tcBorders>
            <w:shd w:val="clear" w:color="auto" w:fill="auto"/>
            <w:noWrap/>
          </w:tcPr>
          <w:p w14:paraId="021984D2"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6.45</w:t>
            </w:r>
          </w:p>
        </w:tc>
        <w:tc>
          <w:tcPr>
            <w:tcW w:w="0" w:type="auto"/>
            <w:tcBorders>
              <w:right w:val="single" w:sz="4" w:space="0" w:color="auto"/>
            </w:tcBorders>
            <w:shd w:val="clear" w:color="auto" w:fill="auto"/>
            <w:noWrap/>
          </w:tcPr>
          <w:p w14:paraId="2809132E"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(1.91)</w:t>
            </w:r>
          </w:p>
        </w:tc>
        <w:tc>
          <w:tcPr>
            <w:tcW w:w="0" w:type="auto"/>
            <w:tcBorders>
              <w:left w:val="single" w:sz="4" w:space="0" w:color="auto"/>
            </w:tcBorders>
            <w:shd w:val="clear" w:color="auto" w:fill="auto"/>
            <w:noWrap/>
          </w:tcPr>
          <w:p w14:paraId="7F31899A"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6.30</w:t>
            </w:r>
          </w:p>
        </w:tc>
        <w:tc>
          <w:tcPr>
            <w:tcW w:w="0" w:type="auto"/>
            <w:tcBorders>
              <w:right w:val="single" w:sz="4" w:space="0" w:color="auto"/>
            </w:tcBorders>
            <w:shd w:val="clear" w:color="auto" w:fill="auto"/>
            <w:noWrap/>
          </w:tcPr>
          <w:p w14:paraId="2A78CB23"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2.14</w:t>
            </w:r>
            <w:r w:rsidRPr="00E45883">
              <w:rPr>
                <w:rFonts w:eastAsia="Times New Roman"/>
                <w:szCs w:val="22"/>
              </w:rPr>
              <w:t>)</w:t>
            </w:r>
          </w:p>
        </w:tc>
      </w:tr>
      <w:tr w:rsidR="00C94001" w:rsidRPr="00E45883" w14:paraId="250DBE61" w14:textId="77777777" w:rsidTr="00C94001">
        <w:trPr>
          <w:trHeight w:val="394"/>
        </w:trPr>
        <w:tc>
          <w:tcPr>
            <w:tcW w:w="0" w:type="auto"/>
            <w:gridSpan w:val="2"/>
            <w:tcBorders>
              <w:left w:val="single" w:sz="4" w:space="0" w:color="auto"/>
              <w:right w:val="single" w:sz="4" w:space="0" w:color="auto"/>
            </w:tcBorders>
            <w:shd w:val="clear" w:color="auto" w:fill="auto"/>
            <w:noWrap/>
          </w:tcPr>
          <w:p w14:paraId="1AF2C029" w14:textId="77777777" w:rsidR="00C94001" w:rsidRPr="00E45883" w:rsidRDefault="00C94001" w:rsidP="004558C3">
            <w:pPr>
              <w:spacing w:before="0"/>
              <w:jc w:val="left"/>
              <w:rPr>
                <w:rFonts w:eastAsia="Times New Roman"/>
                <w:b/>
                <w:color w:val="auto"/>
                <w:szCs w:val="22"/>
                <w:lang w:val="en-US" w:eastAsia="en-GB"/>
              </w:rPr>
            </w:pPr>
            <w:r w:rsidRPr="00E45883">
              <w:rPr>
                <w:rFonts w:eastAsia="Times New Roman"/>
                <w:b/>
                <w:bCs/>
                <w:szCs w:val="22"/>
                <w:lang w:eastAsia="en-GB"/>
              </w:rPr>
              <w:t>Cued continuous performance test</w:t>
            </w:r>
          </w:p>
        </w:tc>
        <w:tc>
          <w:tcPr>
            <w:tcW w:w="0" w:type="auto"/>
            <w:tcBorders>
              <w:left w:val="single" w:sz="4" w:space="0" w:color="auto"/>
            </w:tcBorders>
            <w:shd w:val="clear" w:color="auto" w:fill="auto"/>
            <w:noWrap/>
          </w:tcPr>
          <w:p w14:paraId="2662D99D"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39432038" w14:textId="77777777" w:rsidR="00C94001" w:rsidRPr="00E45883" w:rsidRDefault="00C94001" w:rsidP="004558C3">
            <w:pPr>
              <w:spacing w:before="0"/>
              <w:jc w:val="left"/>
              <w:rPr>
                <w:rFonts w:eastAsia="Times New Roman"/>
                <w:szCs w:val="22"/>
                <w:lang w:val="en-US"/>
              </w:rPr>
            </w:pPr>
          </w:p>
        </w:tc>
        <w:tc>
          <w:tcPr>
            <w:tcW w:w="0" w:type="auto"/>
            <w:tcBorders>
              <w:left w:val="single" w:sz="4" w:space="0" w:color="auto"/>
            </w:tcBorders>
            <w:shd w:val="clear" w:color="auto" w:fill="auto"/>
            <w:noWrap/>
          </w:tcPr>
          <w:p w14:paraId="5F37E96C"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7F02AF58" w14:textId="77777777" w:rsidR="00C94001" w:rsidRPr="00E45883" w:rsidRDefault="00C94001" w:rsidP="004558C3">
            <w:pPr>
              <w:spacing w:before="0"/>
              <w:jc w:val="left"/>
              <w:rPr>
                <w:rFonts w:eastAsia="Times New Roman"/>
                <w:szCs w:val="22"/>
              </w:rPr>
            </w:pPr>
          </w:p>
        </w:tc>
      </w:tr>
      <w:tr w:rsidR="00C94001" w:rsidRPr="00E45883" w14:paraId="6B6CCB83" w14:textId="77777777" w:rsidTr="00C94001">
        <w:trPr>
          <w:trHeight w:val="394"/>
        </w:trPr>
        <w:tc>
          <w:tcPr>
            <w:tcW w:w="0" w:type="auto"/>
            <w:tcBorders>
              <w:left w:val="single" w:sz="4" w:space="0" w:color="auto"/>
            </w:tcBorders>
            <w:shd w:val="clear" w:color="auto" w:fill="auto"/>
            <w:noWrap/>
          </w:tcPr>
          <w:p w14:paraId="1B4D4903" w14:textId="77777777" w:rsidR="00C94001" w:rsidRPr="00E45883" w:rsidRDefault="00C94001" w:rsidP="004558C3">
            <w:pPr>
              <w:spacing w:before="0"/>
              <w:jc w:val="left"/>
              <w:rPr>
                <w:rFonts w:eastAsia="Times New Roman"/>
                <w:bCs/>
                <w:szCs w:val="22"/>
                <w:lang w:eastAsia="en-GB"/>
              </w:rPr>
            </w:pPr>
          </w:p>
        </w:tc>
        <w:tc>
          <w:tcPr>
            <w:tcW w:w="0" w:type="auto"/>
            <w:tcBorders>
              <w:right w:val="single" w:sz="4" w:space="0" w:color="auto"/>
            </w:tcBorders>
            <w:shd w:val="clear" w:color="auto" w:fill="auto"/>
            <w:noWrap/>
          </w:tcPr>
          <w:p w14:paraId="7EF6AD49" w14:textId="77777777" w:rsidR="00C94001" w:rsidRPr="00E45883" w:rsidRDefault="00C94001" w:rsidP="004558C3">
            <w:pPr>
              <w:spacing w:before="0"/>
              <w:jc w:val="left"/>
              <w:rPr>
                <w:rFonts w:eastAsia="Times New Roman"/>
                <w:szCs w:val="22"/>
                <w:lang w:val="en-US"/>
              </w:rPr>
            </w:pPr>
            <w:r w:rsidRPr="00E45883">
              <w:rPr>
                <w:rFonts w:eastAsia="Times New Roman"/>
                <w:color w:val="auto"/>
                <w:szCs w:val="22"/>
                <w:lang w:val="en-US" w:eastAsia="en-GB"/>
              </w:rPr>
              <w:t xml:space="preserve">CNV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0768F1F8"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-8.06</w:t>
            </w:r>
          </w:p>
        </w:tc>
        <w:tc>
          <w:tcPr>
            <w:tcW w:w="0" w:type="auto"/>
            <w:tcBorders>
              <w:right w:val="single" w:sz="4" w:space="0" w:color="auto"/>
            </w:tcBorders>
            <w:shd w:val="clear" w:color="auto" w:fill="auto"/>
            <w:noWrap/>
          </w:tcPr>
          <w:p w14:paraId="60177A74"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(3.79)</w:t>
            </w:r>
          </w:p>
        </w:tc>
        <w:tc>
          <w:tcPr>
            <w:tcW w:w="0" w:type="auto"/>
            <w:tcBorders>
              <w:left w:val="single" w:sz="4" w:space="0" w:color="auto"/>
            </w:tcBorders>
            <w:shd w:val="clear" w:color="auto" w:fill="auto"/>
            <w:noWrap/>
          </w:tcPr>
          <w:p w14:paraId="7FC1994A"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7.38</w:t>
            </w:r>
          </w:p>
        </w:tc>
        <w:tc>
          <w:tcPr>
            <w:tcW w:w="0" w:type="auto"/>
            <w:tcBorders>
              <w:right w:val="single" w:sz="4" w:space="0" w:color="auto"/>
            </w:tcBorders>
            <w:shd w:val="clear" w:color="auto" w:fill="auto"/>
            <w:noWrap/>
          </w:tcPr>
          <w:p w14:paraId="4122B454"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3.48</w:t>
            </w:r>
            <w:r w:rsidRPr="00E45883">
              <w:rPr>
                <w:rFonts w:eastAsia="Times New Roman"/>
                <w:szCs w:val="22"/>
              </w:rPr>
              <w:t>)</w:t>
            </w:r>
          </w:p>
        </w:tc>
      </w:tr>
      <w:tr w:rsidR="00C94001" w:rsidRPr="00E45883" w14:paraId="6030CD02" w14:textId="77777777" w:rsidTr="00C94001">
        <w:trPr>
          <w:trHeight w:val="394"/>
        </w:trPr>
        <w:tc>
          <w:tcPr>
            <w:tcW w:w="0" w:type="auto"/>
            <w:tcBorders>
              <w:left w:val="single" w:sz="4" w:space="0" w:color="auto"/>
            </w:tcBorders>
            <w:shd w:val="clear" w:color="auto" w:fill="auto"/>
            <w:noWrap/>
          </w:tcPr>
          <w:p w14:paraId="47C847FE" w14:textId="77777777" w:rsidR="00C94001" w:rsidRPr="00E45883" w:rsidRDefault="00C94001" w:rsidP="004558C3">
            <w:pPr>
              <w:spacing w:before="0"/>
              <w:jc w:val="left"/>
              <w:rPr>
                <w:rFonts w:eastAsia="Times New Roman"/>
                <w:bCs/>
                <w:szCs w:val="22"/>
                <w:lang w:eastAsia="en-GB"/>
              </w:rPr>
            </w:pPr>
          </w:p>
        </w:tc>
        <w:tc>
          <w:tcPr>
            <w:tcW w:w="0" w:type="auto"/>
            <w:tcBorders>
              <w:right w:val="single" w:sz="4" w:space="0" w:color="auto"/>
            </w:tcBorders>
            <w:shd w:val="clear" w:color="auto" w:fill="auto"/>
            <w:noWrap/>
          </w:tcPr>
          <w:p w14:paraId="697EA839" w14:textId="77777777" w:rsidR="00C94001" w:rsidRPr="00E45883" w:rsidRDefault="00C94001" w:rsidP="004558C3">
            <w:pPr>
              <w:spacing w:before="0"/>
              <w:jc w:val="left"/>
              <w:rPr>
                <w:rFonts w:eastAsia="Times New Roman"/>
                <w:szCs w:val="22"/>
                <w:lang w:val="en-US"/>
              </w:rPr>
            </w:pPr>
            <w:r w:rsidRPr="00E45883">
              <w:rPr>
                <w:rFonts w:eastAsia="Times New Roman"/>
                <w:color w:val="auto"/>
                <w:szCs w:val="22"/>
                <w:lang w:val="en-US" w:eastAsia="en-GB"/>
              </w:rPr>
              <w:t xml:space="preserve">Go-P3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4EC68A4A"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9.22</w:t>
            </w:r>
          </w:p>
        </w:tc>
        <w:tc>
          <w:tcPr>
            <w:tcW w:w="0" w:type="auto"/>
            <w:tcBorders>
              <w:right w:val="single" w:sz="4" w:space="0" w:color="auto"/>
            </w:tcBorders>
            <w:shd w:val="clear" w:color="auto" w:fill="auto"/>
            <w:noWrap/>
          </w:tcPr>
          <w:p w14:paraId="31B422E8"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(4.24)</w:t>
            </w:r>
          </w:p>
        </w:tc>
        <w:tc>
          <w:tcPr>
            <w:tcW w:w="0" w:type="auto"/>
            <w:tcBorders>
              <w:left w:val="single" w:sz="4" w:space="0" w:color="auto"/>
            </w:tcBorders>
            <w:shd w:val="clear" w:color="auto" w:fill="auto"/>
            <w:noWrap/>
          </w:tcPr>
          <w:p w14:paraId="66ABF8F1"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8.21</w:t>
            </w:r>
          </w:p>
        </w:tc>
        <w:tc>
          <w:tcPr>
            <w:tcW w:w="0" w:type="auto"/>
            <w:tcBorders>
              <w:right w:val="single" w:sz="4" w:space="0" w:color="auto"/>
            </w:tcBorders>
            <w:shd w:val="clear" w:color="auto" w:fill="auto"/>
            <w:noWrap/>
          </w:tcPr>
          <w:p w14:paraId="6E7A2D82"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4.88</w:t>
            </w:r>
            <w:r w:rsidRPr="00E45883">
              <w:rPr>
                <w:rFonts w:eastAsia="Times New Roman"/>
                <w:szCs w:val="22"/>
              </w:rPr>
              <w:t>)</w:t>
            </w:r>
          </w:p>
        </w:tc>
      </w:tr>
      <w:tr w:rsidR="00C94001" w:rsidRPr="00E45883" w14:paraId="37514B52" w14:textId="77777777" w:rsidTr="00C94001">
        <w:trPr>
          <w:trHeight w:val="394"/>
        </w:trPr>
        <w:tc>
          <w:tcPr>
            <w:tcW w:w="0" w:type="auto"/>
            <w:tcBorders>
              <w:left w:val="single" w:sz="4" w:space="0" w:color="auto"/>
            </w:tcBorders>
            <w:shd w:val="clear" w:color="auto" w:fill="auto"/>
            <w:noWrap/>
          </w:tcPr>
          <w:p w14:paraId="4B35BE70" w14:textId="77777777" w:rsidR="00C94001" w:rsidRPr="00E45883" w:rsidRDefault="00C94001" w:rsidP="004558C3">
            <w:pPr>
              <w:spacing w:before="0"/>
              <w:jc w:val="left"/>
              <w:rPr>
                <w:rFonts w:eastAsia="Times New Roman"/>
                <w:bCs/>
                <w:szCs w:val="22"/>
                <w:lang w:eastAsia="en-GB"/>
              </w:rPr>
            </w:pPr>
          </w:p>
        </w:tc>
        <w:tc>
          <w:tcPr>
            <w:tcW w:w="0" w:type="auto"/>
            <w:tcBorders>
              <w:right w:val="single" w:sz="4" w:space="0" w:color="auto"/>
            </w:tcBorders>
            <w:shd w:val="clear" w:color="auto" w:fill="auto"/>
            <w:noWrap/>
          </w:tcPr>
          <w:p w14:paraId="67D79A10" w14:textId="77777777" w:rsidR="00C94001" w:rsidRPr="00E45883" w:rsidRDefault="00C94001" w:rsidP="004558C3">
            <w:pPr>
              <w:spacing w:before="0"/>
              <w:jc w:val="left"/>
              <w:rPr>
                <w:rFonts w:eastAsia="Times New Roman"/>
                <w:szCs w:val="22"/>
                <w:lang w:val="en-US"/>
              </w:rPr>
            </w:pPr>
            <w:r w:rsidRPr="00E45883">
              <w:rPr>
                <w:rFonts w:eastAsia="Times New Roman"/>
                <w:color w:val="auto"/>
                <w:szCs w:val="22"/>
                <w:lang w:val="en-US" w:eastAsia="en-GB"/>
              </w:rPr>
              <w:t xml:space="preserve">NoGo-P3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17C9871B"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8.17</w:t>
            </w:r>
          </w:p>
        </w:tc>
        <w:tc>
          <w:tcPr>
            <w:tcW w:w="0" w:type="auto"/>
            <w:tcBorders>
              <w:right w:val="single" w:sz="4" w:space="0" w:color="auto"/>
            </w:tcBorders>
            <w:shd w:val="clear" w:color="auto" w:fill="auto"/>
            <w:noWrap/>
          </w:tcPr>
          <w:p w14:paraId="2950D7B3"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(4.95)</w:t>
            </w:r>
          </w:p>
        </w:tc>
        <w:tc>
          <w:tcPr>
            <w:tcW w:w="0" w:type="auto"/>
            <w:tcBorders>
              <w:left w:val="single" w:sz="4" w:space="0" w:color="auto"/>
            </w:tcBorders>
            <w:shd w:val="clear" w:color="auto" w:fill="auto"/>
            <w:noWrap/>
          </w:tcPr>
          <w:p w14:paraId="1D6FAD0B"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8.04</w:t>
            </w:r>
          </w:p>
        </w:tc>
        <w:tc>
          <w:tcPr>
            <w:tcW w:w="0" w:type="auto"/>
            <w:tcBorders>
              <w:right w:val="single" w:sz="4" w:space="0" w:color="auto"/>
            </w:tcBorders>
            <w:shd w:val="clear" w:color="auto" w:fill="auto"/>
            <w:noWrap/>
          </w:tcPr>
          <w:p w14:paraId="604E4F9E"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4.86</w:t>
            </w:r>
            <w:r w:rsidRPr="00E45883">
              <w:rPr>
                <w:rFonts w:eastAsia="Times New Roman"/>
                <w:szCs w:val="22"/>
              </w:rPr>
              <w:t>)</w:t>
            </w:r>
          </w:p>
        </w:tc>
      </w:tr>
      <w:tr w:rsidR="00C94001" w:rsidRPr="00E45883" w14:paraId="72C25A79" w14:textId="77777777" w:rsidTr="00C94001">
        <w:trPr>
          <w:trHeight w:val="394"/>
        </w:trPr>
        <w:tc>
          <w:tcPr>
            <w:tcW w:w="0" w:type="auto"/>
            <w:gridSpan w:val="2"/>
            <w:tcBorders>
              <w:left w:val="single" w:sz="4" w:space="0" w:color="auto"/>
              <w:right w:val="single" w:sz="4" w:space="0" w:color="auto"/>
            </w:tcBorders>
            <w:shd w:val="clear" w:color="auto" w:fill="auto"/>
            <w:noWrap/>
          </w:tcPr>
          <w:p w14:paraId="44C36A59" w14:textId="77777777" w:rsidR="00C94001" w:rsidRPr="00E45883" w:rsidRDefault="00C94001" w:rsidP="004558C3">
            <w:pPr>
              <w:spacing w:before="0"/>
              <w:jc w:val="left"/>
              <w:rPr>
                <w:rFonts w:eastAsia="Times New Roman"/>
                <w:b/>
                <w:szCs w:val="22"/>
                <w:lang w:val="en-US"/>
              </w:rPr>
            </w:pPr>
            <w:r w:rsidRPr="00E45883">
              <w:rPr>
                <w:b/>
                <w:szCs w:val="22"/>
              </w:rPr>
              <w:t>Arrow flanker task</w:t>
            </w:r>
          </w:p>
        </w:tc>
        <w:tc>
          <w:tcPr>
            <w:tcW w:w="0" w:type="auto"/>
            <w:tcBorders>
              <w:left w:val="single" w:sz="4" w:space="0" w:color="auto"/>
            </w:tcBorders>
            <w:shd w:val="clear" w:color="auto" w:fill="auto"/>
            <w:noWrap/>
          </w:tcPr>
          <w:p w14:paraId="7D7335A0" w14:textId="66F38CA5"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47DD4225" w14:textId="6F7497E1" w:rsidR="00C94001" w:rsidRPr="00E45883" w:rsidRDefault="00C94001" w:rsidP="004558C3">
            <w:pPr>
              <w:spacing w:before="0"/>
              <w:jc w:val="left"/>
              <w:rPr>
                <w:rFonts w:eastAsia="Times New Roman"/>
                <w:szCs w:val="22"/>
                <w:lang w:val="en-US"/>
              </w:rPr>
            </w:pPr>
          </w:p>
        </w:tc>
        <w:tc>
          <w:tcPr>
            <w:tcW w:w="0" w:type="auto"/>
            <w:tcBorders>
              <w:left w:val="single" w:sz="4" w:space="0" w:color="auto"/>
            </w:tcBorders>
            <w:shd w:val="clear" w:color="auto" w:fill="auto"/>
            <w:noWrap/>
          </w:tcPr>
          <w:p w14:paraId="0E3F6B92" w14:textId="5E1BE6DD"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320E899F" w14:textId="169B47BD" w:rsidR="00C94001" w:rsidRPr="00E45883" w:rsidRDefault="00C94001" w:rsidP="004558C3">
            <w:pPr>
              <w:spacing w:before="0"/>
              <w:jc w:val="left"/>
              <w:rPr>
                <w:rFonts w:eastAsia="Times New Roman"/>
                <w:szCs w:val="22"/>
              </w:rPr>
            </w:pPr>
          </w:p>
        </w:tc>
      </w:tr>
      <w:tr w:rsidR="00004F43" w:rsidRPr="00E45883" w14:paraId="3AC288CA" w14:textId="77777777" w:rsidTr="00C94001">
        <w:trPr>
          <w:trHeight w:val="394"/>
        </w:trPr>
        <w:tc>
          <w:tcPr>
            <w:tcW w:w="0" w:type="auto"/>
            <w:tcBorders>
              <w:left w:val="single" w:sz="4" w:space="0" w:color="auto"/>
            </w:tcBorders>
            <w:shd w:val="clear" w:color="auto" w:fill="auto"/>
            <w:noWrap/>
          </w:tcPr>
          <w:p w14:paraId="2515B943" w14:textId="77777777" w:rsidR="00004F43" w:rsidRPr="00E45883" w:rsidRDefault="00004F43" w:rsidP="00004F43">
            <w:pPr>
              <w:spacing w:before="0"/>
              <w:jc w:val="left"/>
              <w:rPr>
                <w:rFonts w:eastAsia="Times New Roman"/>
                <w:iCs/>
                <w:szCs w:val="22"/>
                <w:lang w:val="en-US"/>
              </w:rPr>
            </w:pPr>
          </w:p>
        </w:tc>
        <w:tc>
          <w:tcPr>
            <w:tcW w:w="0" w:type="auto"/>
            <w:tcBorders>
              <w:right w:val="single" w:sz="4" w:space="0" w:color="auto"/>
            </w:tcBorders>
            <w:shd w:val="clear" w:color="auto" w:fill="auto"/>
            <w:noWrap/>
          </w:tcPr>
          <w:p w14:paraId="4D7108FE" w14:textId="77777777" w:rsidR="00004F43" w:rsidRPr="00E45883" w:rsidRDefault="00004F43" w:rsidP="00004F43">
            <w:pPr>
              <w:spacing w:before="0"/>
              <w:jc w:val="left"/>
              <w:rPr>
                <w:rFonts w:eastAsia="Times New Roman"/>
                <w:szCs w:val="22"/>
                <w:lang w:val="en-US"/>
              </w:rPr>
            </w:pPr>
            <w:r w:rsidRPr="00E45883">
              <w:rPr>
                <w:rFonts w:eastAsia="Times New Roman"/>
                <w:color w:val="auto"/>
                <w:szCs w:val="22"/>
                <w:lang w:val="en-US" w:eastAsia="en-GB"/>
              </w:rPr>
              <w:t xml:space="preserve">N2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5594FDB3" w14:textId="590B1B7F" w:rsidR="00004F43" w:rsidRPr="00E45883" w:rsidRDefault="00004F43" w:rsidP="00004F43">
            <w:pPr>
              <w:spacing w:before="0"/>
              <w:jc w:val="left"/>
              <w:rPr>
                <w:rFonts w:eastAsia="Times New Roman"/>
                <w:szCs w:val="22"/>
                <w:lang w:val="en-US"/>
              </w:rPr>
            </w:pPr>
            <w:r w:rsidRPr="00E45883">
              <w:rPr>
                <w:rFonts w:eastAsia="Times New Roman"/>
                <w:szCs w:val="22"/>
                <w:lang w:val="en-US"/>
              </w:rPr>
              <w:t>-5.01</w:t>
            </w:r>
          </w:p>
        </w:tc>
        <w:tc>
          <w:tcPr>
            <w:tcW w:w="0" w:type="auto"/>
            <w:tcBorders>
              <w:right w:val="single" w:sz="4" w:space="0" w:color="auto"/>
            </w:tcBorders>
            <w:shd w:val="clear" w:color="auto" w:fill="auto"/>
            <w:noWrap/>
          </w:tcPr>
          <w:p w14:paraId="4FD5A78C" w14:textId="1A2ACEF3" w:rsidR="00004F43" w:rsidRPr="00E45883" w:rsidRDefault="00004F43" w:rsidP="00004F43">
            <w:pPr>
              <w:spacing w:before="0"/>
              <w:jc w:val="left"/>
              <w:rPr>
                <w:rFonts w:eastAsia="Times New Roman"/>
                <w:szCs w:val="22"/>
                <w:lang w:val="en-US"/>
              </w:rPr>
            </w:pPr>
            <w:r w:rsidRPr="00E45883">
              <w:rPr>
                <w:rFonts w:eastAsia="Times New Roman"/>
                <w:szCs w:val="22"/>
                <w:lang w:val="en-US"/>
              </w:rPr>
              <w:t>(4.02)</w:t>
            </w:r>
          </w:p>
        </w:tc>
        <w:tc>
          <w:tcPr>
            <w:tcW w:w="0" w:type="auto"/>
            <w:tcBorders>
              <w:left w:val="single" w:sz="4" w:space="0" w:color="auto"/>
            </w:tcBorders>
            <w:shd w:val="clear" w:color="auto" w:fill="auto"/>
            <w:noWrap/>
          </w:tcPr>
          <w:p w14:paraId="528998CC" w14:textId="775204C2" w:rsidR="00004F43" w:rsidRPr="00E45883" w:rsidRDefault="00004F43" w:rsidP="00004F43">
            <w:pPr>
              <w:spacing w:before="0"/>
              <w:jc w:val="left"/>
              <w:rPr>
                <w:rFonts w:eastAsia="Times New Roman"/>
                <w:szCs w:val="22"/>
                <w:lang w:val="en-US"/>
              </w:rPr>
            </w:pPr>
            <w:r w:rsidRPr="00E45883">
              <w:rPr>
                <w:rFonts w:eastAsia="Times New Roman"/>
                <w:szCs w:val="22"/>
                <w:lang w:val="en-US"/>
              </w:rPr>
              <w:t>-4.34</w:t>
            </w:r>
          </w:p>
        </w:tc>
        <w:tc>
          <w:tcPr>
            <w:tcW w:w="0" w:type="auto"/>
            <w:tcBorders>
              <w:right w:val="single" w:sz="4" w:space="0" w:color="auto"/>
            </w:tcBorders>
            <w:shd w:val="clear" w:color="auto" w:fill="auto"/>
            <w:noWrap/>
          </w:tcPr>
          <w:p w14:paraId="03B7BC61" w14:textId="208D876E" w:rsidR="00004F43" w:rsidRPr="00E45883" w:rsidRDefault="00004F43" w:rsidP="00004F43">
            <w:pPr>
              <w:spacing w:before="0"/>
              <w:jc w:val="left"/>
              <w:rPr>
                <w:rFonts w:eastAsia="Times New Roman"/>
                <w:szCs w:val="22"/>
              </w:rPr>
            </w:pPr>
            <w:r w:rsidRPr="00E45883">
              <w:rPr>
                <w:rFonts w:eastAsia="Times New Roman"/>
                <w:szCs w:val="22"/>
              </w:rPr>
              <w:t>(</w:t>
            </w:r>
            <w:r w:rsidRPr="00E45883">
              <w:rPr>
                <w:rFonts w:eastAsia="Times New Roman"/>
                <w:szCs w:val="22"/>
                <w:lang w:val="en-US"/>
              </w:rPr>
              <w:t>4.22</w:t>
            </w:r>
            <w:r w:rsidRPr="00E45883">
              <w:rPr>
                <w:rFonts w:eastAsia="Times New Roman"/>
                <w:szCs w:val="22"/>
              </w:rPr>
              <w:t>)</w:t>
            </w:r>
          </w:p>
        </w:tc>
      </w:tr>
      <w:tr w:rsidR="00004F43" w:rsidRPr="00E45883" w14:paraId="2F8CDAB6" w14:textId="77777777" w:rsidTr="00C94001">
        <w:trPr>
          <w:trHeight w:val="394"/>
        </w:trPr>
        <w:tc>
          <w:tcPr>
            <w:tcW w:w="0" w:type="auto"/>
            <w:tcBorders>
              <w:left w:val="single" w:sz="4" w:space="0" w:color="auto"/>
            </w:tcBorders>
            <w:shd w:val="clear" w:color="auto" w:fill="auto"/>
            <w:noWrap/>
            <w:hideMark/>
          </w:tcPr>
          <w:p w14:paraId="54068606" w14:textId="77777777" w:rsidR="00004F43" w:rsidRPr="00E45883" w:rsidRDefault="00004F43" w:rsidP="00004F43">
            <w:pPr>
              <w:spacing w:before="0"/>
              <w:jc w:val="left"/>
              <w:rPr>
                <w:rFonts w:eastAsia="Times New Roman"/>
                <w:szCs w:val="22"/>
                <w:lang w:val="en-US"/>
              </w:rPr>
            </w:pPr>
          </w:p>
        </w:tc>
        <w:tc>
          <w:tcPr>
            <w:tcW w:w="0" w:type="auto"/>
            <w:tcBorders>
              <w:right w:val="single" w:sz="4" w:space="0" w:color="auto"/>
            </w:tcBorders>
            <w:shd w:val="clear" w:color="auto" w:fill="auto"/>
            <w:noWrap/>
          </w:tcPr>
          <w:p w14:paraId="19506973" w14:textId="77777777" w:rsidR="00004F43" w:rsidRPr="00E45883" w:rsidRDefault="00004F43" w:rsidP="00004F43">
            <w:pPr>
              <w:spacing w:before="0"/>
              <w:jc w:val="left"/>
              <w:rPr>
                <w:rFonts w:eastAsia="Times New Roman"/>
                <w:szCs w:val="22"/>
                <w:lang w:val="en-US"/>
              </w:rPr>
            </w:pPr>
            <w:r w:rsidRPr="00E45883">
              <w:rPr>
                <w:rFonts w:eastAsia="Times New Roman"/>
                <w:color w:val="auto"/>
                <w:szCs w:val="22"/>
                <w:lang w:val="en-US" w:eastAsia="en-GB"/>
              </w:rPr>
              <w:t xml:space="preserve">Pe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4BA32D54" w14:textId="709151A9" w:rsidR="00004F43" w:rsidRPr="00E45883" w:rsidRDefault="00004F43" w:rsidP="00004F43">
            <w:pPr>
              <w:spacing w:before="0"/>
              <w:jc w:val="left"/>
              <w:rPr>
                <w:rFonts w:eastAsia="Times New Roman"/>
                <w:szCs w:val="22"/>
                <w:lang w:val="en-US"/>
              </w:rPr>
            </w:pPr>
            <w:r w:rsidRPr="00E45883">
              <w:rPr>
                <w:rFonts w:eastAsia="Times New Roman"/>
                <w:szCs w:val="22"/>
                <w:lang w:val="en-US"/>
              </w:rPr>
              <w:t>8.47</w:t>
            </w:r>
          </w:p>
        </w:tc>
        <w:tc>
          <w:tcPr>
            <w:tcW w:w="0" w:type="auto"/>
            <w:tcBorders>
              <w:right w:val="single" w:sz="4" w:space="0" w:color="auto"/>
            </w:tcBorders>
            <w:shd w:val="clear" w:color="auto" w:fill="auto"/>
            <w:noWrap/>
          </w:tcPr>
          <w:p w14:paraId="4E0ED258" w14:textId="11F6C445" w:rsidR="00004F43" w:rsidRPr="00E45883" w:rsidRDefault="00004F43" w:rsidP="00004F43">
            <w:pPr>
              <w:spacing w:before="0"/>
              <w:jc w:val="left"/>
              <w:rPr>
                <w:rFonts w:eastAsia="Times New Roman"/>
                <w:szCs w:val="22"/>
                <w:lang w:val="en-US"/>
              </w:rPr>
            </w:pPr>
            <w:r w:rsidRPr="00E45883">
              <w:rPr>
                <w:rFonts w:eastAsia="Times New Roman"/>
                <w:szCs w:val="22"/>
                <w:lang w:val="en-US"/>
              </w:rPr>
              <w:t>(4.56)</w:t>
            </w:r>
          </w:p>
        </w:tc>
        <w:tc>
          <w:tcPr>
            <w:tcW w:w="0" w:type="auto"/>
            <w:tcBorders>
              <w:left w:val="single" w:sz="4" w:space="0" w:color="auto"/>
            </w:tcBorders>
            <w:shd w:val="clear" w:color="auto" w:fill="auto"/>
            <w:noWrap/>
          </w:tcPr>
          <w:p w14:paraId="29A86A37" w14:textId="42D458EB" w:rsidR="00004F43" w:rsidRPr="00E45883" w:rsidRDefault="00004F43" w:rsidP="00004F43">
            <w:pPr>
              <w:spacing w:before="0"/>
              <w:jc w:val="left"/>
              <w:rPr>
                <w:rFonts w:eastAsia="Times New Roman"/>
                <w:szCs w:val="22"/>
                <w:lang w:val="en-US"/>
              </w:rPr>
            </w:pPr>
            <w:r w:rsidRPr="00E45883">
              <w:rPr>
                <w:rFonts w:eastAsia="Times New Roman"/>
                <w:szCs w:val="22"/>
                <w:lang w:val="en-US"/>
              </w:rPr>
              <w:t>8.71</w:t>
            </w:r>
          </w:p>
        </w:tc>
        <w:tc>
          <w:tcPr>
            <w:tcW w:w="0" w:type="auto"/>
            <w:tcBorders>
              <w:right w:val="single" w:sz="4" w:space="0" w:color="auto"/>
            </w:tcBorders>
            <w:shd w:val="clear" w:color="auto" w:fill="auto"/>
            <w:noWrap/>
          </w:tcPr>
          <w:p w14:paraId="3CFF7734" w14:textId="6763FEA5" w:rsidR="00004F43" w:rsidRPr="00E45883" w:rsidRDefault="00004F43" w:rsidP="00004F43">
            <w:pPr>
              <w:spacing w:before="0"/>
              <w:jc w:val="left"/>
              <w:rPr>
                <w:rFonts w:eastAsia="Times New Roman"/>
                <w:szCs w:val="22"/>
                <w:lang w:val="en-US"/>
              </w:rPr>
            </w:pPr>
            <w:r w:rsidRPr="00E45883">
              <w:rPr>
                <w:rFonts w:eastAsia="Times New Roman"/>
                <w:szCs w:val="22"/>
              </w:rPr>
              <w:t>(</w:t>
            </w:r>
            <w:r w:rsidRPr="00E45883">
              <w:rPr>
                <w:rFonts w:eastAsia="Times New Roman"/>
                <w:szCs w:val="22"/>
                <w:lang w:val="en-US"/>
              </w:rPr>
              <w:t>4.67</w:t>
            </w:r>
            <w:r w:rsidRPr="00E45883">
              <w:rPr>
                <w:rFonts w:eastAsia="Times New Roman"/>
                <w:szCs w:val="22"/>
              </w:rPr>
              <w:t>)</w:t>
            </w:r>
          </w:p>
        </w:tc>
      </w:tr>
      <w:tr w:rsidR="00004F43" w:rsidRPr="00E45883" w14:paraId="110DEAEB" w14:textId="77777777" w:rsidTr="00C94001">
        <w:trPr>
          <w:trHeight w:val="394"/>
        </w:trPr>
        <w:tc>
          <w:tcPr>
            <w:tcW w:w="0" w:type="auto"/>
            <w:tcBorders>
              <w:left w:val="single" w:sz="4" w:space="0" w:color="auto"/>
            </w:tcBorders>
            <w:shd w:val="clear" w:color="auto" w:fill="auto"/>
            <w:noWrap/>
            <w:hideMark/>
          </w:tcPr>
          <w:p w14:paraId="49AF4345" w14:textId="77777777" w:rsidR="00004F43" w:rsidRPr="00E45883" w:rsidRDefault="00004F43" w:rsidP="00004F43">
            <w:pPr>
              <w:spacing w:before="0"/>
              <w:jc w:val="left"/>
              <w:rPr>
                <w:rFonts w:eastAsia="Times New Roman"/>
                <w:szCs w:val="22"/>
                <w:lang w:val="en-US"/>
              </w:rPr>
            </w:pPr>
          </w:p>
        </w:tc>
        <w:tc>
          <w:tcPr>
            <w:tcW w:w="0" w:type="auto"/>
            <w:tcBorders>
              <w:right w:val="single" w:sz="4" w:space="0" w:color="auto"/>
            </w:tcBorders>
            <w:shd w:val="clear" w:color="auto" w:fill="auto"/>
            <w:noWrap/>
          </w:tcPr>
          <w:p w14:paraId="63B48F06" w14:textId="77777777" w:rsidR="00004F43" w:rsidRPr="00E45883" w:rsidRDefault="00004F43" w:rsidP="00004F43">
            <w:pPr>
              <w:spacing w:before="0"/>
              <w:jc w:val="left"/>
              <w:rPr>
                <w:rFonts w:eastAsia="Times New Roman"/>
                <w:szCs w:val="22"/>
                <w:lang w:val="en-US"/>
              </w:rPr>
            </w:pPr>
            <w:r w:rsidRPr="00E45883">
              <w:rPr>
                <w:rFonts w:eastAsia="Times New Roman"/>
                <w:color w:val="auto"/>
                <w:szCs w:val="22"/>
                <w:lang w:val="en-US" w:eastAsia="en-GB"/>
              </w:rPr>
              <w:t xml:space="preserve">ERN </w:t>
            </w:r>
            <w:r w:rsidRPr="00E45883">
              <w:rPr>
                <w:rFonts w:eastAsia="Times New Roman"/>
                <w:szCs w:val="22"/>
                <w:lang w:val="en-US" w:eastAsia="en-GB"/>
              </w:rPr>
              <w:t xml:space="preserve">(µV) </w:t>
            </w:r>
          </w:p>
        </w:tc>
        <w:tc>
          <w:tcPr>
            <w:tcW w:w="0" w:type="auto"/>
            <w:tcBorders>
              <w:left w:val="single" w:sz="4" w:space="0" w:color="auto"/>
            </w:tcBorders>
            <w:shd w:val="clear" w:color="auto" w:fill="auto"/>
            <w:noWrap/>
          </w:tcPr>
          <w:p w14:paraId="706AE664" w14:textId="022CE087" w:rsidR="00004F43" w:rsidRPr="00E45883" w:rsidRDefault="00004F43" w:rsidP="00004F43">
            <w:pPr>
              <w:spacing w:before="0"/>
              <w:jc w:val="left"/>
              <w:rPr>
                <w:rFonts w:eastAsia="Times New Roman"/>
                <w:szCs w:val="22"/>
                <w:lang w:val="en-US"/>
              </w:rPr>
            </w:pPr>
            <w:r w:rsidRPr="00E45883">
              <w:rPr>
                <w:rFonts w:eastAsia="Times New Roman"/>
                <w:szCs w:val="22"/>
                <w:lang w:val="en-US"/>
              </w:rPr>
              <w:t>9.05</w:t>
            </w:r>
          </w:p>
        </w:tc>
        <w:tc>
          <w:tcPr>
            <w:tcW w:w="0" w:type="auto"/>
            <w:tcBorders>
              <w:right w:val="single" w:sz="4" w:space="0" w:color="auto"/>
            </w:tcBorders>
            <w:shd w:val="clear" w:color="auto" w:fill="auto"/>
            <w:noWrap/>
          </w:tcPr>
          <w:p w14:paraId="50158728" w14:textId="0EAE53B1" w:rsidR="00004F43" w:rsidRPr="00E45883" w:rsidRDefault="00004F43" w:rsidP="00004F43">
            <w:pPr>
              <w:spacing w:before="0"/>
              <w:jc w:val="left"/>
              <w:rPr>
                <w:rFonts w:eastAsia="Times New Roman"/>
                <w:szCs w:val="22"/>
                <w:lang w:val="en-US"/>
              </w:rPr>
            </w:pPr>
            <w:r w:rsidRPr="00E45883">
              <w:rPr>
                <w:rFonts w:eastAsia="Times New Roman"/>
                <w:szCs w:val="22"/>
                <w:lang w:val="en-US"/>
              </w:rPr>
              <w:t>(3.40)</w:t>
            </w:r>
          </w:p>
        </w:tc>
        <w:tc>
          <w:tcPr>
            <w:tcW w:w="0" w:type="auto"/>
            <w:tcBorders>
              <w:left w:val="single" w:sz="4" w:space="0" w:color="auto"/>
            </w:tcBorders>
            <w:shd w:val="clear" w:color="auto" w:fill="auto"/>
            <w:noWrap/>
          </w:tcPr>
          <w:p w14:paraId="64EEFB0C" w14:textId="50CD6D11" w:rsidR="00004F43" w:rsidRPr="00E45883" w:rsidRDefault="00004F43" w:rsidP="00004F43">
            <w:pPr>
              <w:spacing w:before="0"/>
              <w:jc w:val="left"/>
              <w:rPr>
                <w:rFonts w:eastAsia="Times New Roman"/>
                <w:szCs w:val="22"/>
                <w:lang w:val="en-US"/>
              </w:rPr>
            </w:pPr>
            <w:r w:rsidRPr="00E45883">
              <w:rPr>
                <w:rFonts w:eastAsia="Times New Roman"/>
                <w:szCs w:val="22"/>
                <w:lang w:val="en-US"/>
              </w:rPr>
              <w:t>8.71</w:t>
            </w:r>
          </w:p>
        </w:tc>
        <w:tc>
          <w:tcPr>
            <w:tcW w:w="0" w:type="auto"/>
            <w:tcBorders>
              <w:right w:val="single" w:sz="4" w:space="0" w:color="auto"/>
            </w:tcBorders>
            <w:shd w:val="clear" w:color="auto" w:fill="auto"/>
            <w:noWrap/>
          </w:tcPr>
          <w:p w14:paraId="3F21DC51" w14:textId="73DE05C1" w:rsidR="00004F43" w:rsidRPr="00E45883" w:rsidRDefault="00004F43" w:rsidP="00004F43">
            <w:pPr>
              <w:spacing w:before="0"/>
              <w:jc w:val="left"/>
              <w:rPr>
                <w:rFonts w:eastAsia="Times New Roman"/>
                <w:szCs w:val="22"/>
                <w:lang w:val="en-US"/>
              </w:rPr>
            </w:pPr>
            <w:r w:rsidRPr="00E45883">
              <w:rPr>
                <w:rFonts w:eastAsia="Times New Roman"/>
                <w:szCs w:val="22"/>
              </w:rPr>
              <w:t>(</w:t>
            </w:r>
            <w:r w:rsidRPr="00E45883">
              <w:rPr>
                <w:rFonts w:eastAsia="Times New Roman"/>
                <w:szCs w:val="22"/>
                <w:lang w:val="en-US"/>
              </w:rPr>
              <w:t>4.12</w:t>
            </w:r>
            <w:r w:rsidRPr="00E45883">
              <w:rPr>
                <w:rFonts w:eastAsia="Times New Roman"/>
                <w:szCs w:val="22"/>
              </w:rPr>
              <w:t>)</w:t>
            </w:r>
          </w:p>
        </w:tc>
      </w:tr>
      <w:tr w:rsidR="00C94001" w:rsidRPr="00E45883" w14:paraId="513B97BE" w14:textId="77777777" w:rsidTr="00C94001">
        <w:trPr>
          <w:trHeight w:val="394"/>
        </w:trPr>
        <w:tc>
          <w:tcPr>
            <w:tcW w:w="0" w:type="auto"/>
            <w:gridSpan w:val="2"/>
            <w:tcBorders>
              <w:left w:val="single" w:sz="4" w:space="0" w:color="auto"/>
              <w:right w:val="single" w:sz="4" w:space="0" w:color="auto"/>
            </w:tcBorders>
            <w:shd w:val="clear" w:color="auto" w:fill="auto"/>
            <w:noWrap/>
          </w:tcPr>
          <w:p w14:paraId="5DF9E487" w14:textId="77777777" w:rsidR="00C94001" w:rsidRPr="00E45883" w:rsidRDefault="00C94001" w:rsidP="004558C3">
            <w:pPr>
              <w:spacing w:before="0"/>
              <w:jc w:val="left"/>
              <w:rPr>
                <w:rFonts w:eastAsia="Times New Roman"/>
                <w:b/>
                <w:szCs w:val="22"/>
                <w:lang w:val="en-US"/>
              </w:rPr>
            </w:pPr>
            <w:r w:rsidRPr="00E45883">
              <w:rPr>
                <w:rFonts w:eastAsia="Times New Roman"/>
                <w:b/>
                <w:iCs/>
                <w:color w:val="auto"/>
                <w:szCs w:val="22"/>
                <w:lang w:val="en-US" w:eastAsia="en-GB"/>
              </w:rPr>
              <w:t>The fast task</w:t>
            </w:r>
          </w:p>
        </w:tc>
        <w:tc>
          <w:tcPr>
            <w:tcW w:w="0" w:type="auto"/>
            <w:tcBorders>
              <w:left w:val="single" w:sz="4" w:space="0" w:color="auto"/>
            </w:tcBorders>
            <w:shd w:val="clear" w:color="auto" w:fill="auto"/>
            <w:noWrap/>
          </w:tcPr>
          <w:p w14:paraId="61DC9D54"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678C98E6" w14:textId="77777777" w:rsidR="00C94001" w:rsidRPr="00E45883" w:rsidRDefault="00C94001" w:rsidP="004558C3">
            <w:pPr>
              <w:spacing w:before="0"/>
              <w:jc w:val="left"/>
              <w:rPr>
                <w:rFonts w:eastAsia="Times New Roman"/>
                <w:szCs w:val="22"/>
                <w:lang w:val="en-US"/>
              </w:rPr>
            </w:pPr>
          </w:p>
        </w:tc>
        <w:tc>
          <w:tcPr>
            <w:tcW w:w="0" w:type="auto"/>
            <w:tcBorders>
              <w:left w:val="single" w:sz="4" w:space="0" w:color="auto"/>
            </w:tcBorders>
            <w:shd w:val="clear" w:color="auto" w:fill="auto"/>
            <w:noWrap/>
          </w:tcPr>
          <w:p w14:paraId="17D29349"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0469284C" w14:textId="77777777" w:rsidR="00C94001" w:rsidRPr="00E45883" w:rsidRDefault="00C94001" w:rsidP="004558C3">
            <w:pPr>
              <w:spacing w:before="0"/>
              <w:jc w:val="left"/>
              <w:rPr>
                <w:rFonts w:eastAsia="Times New Roman"/>
                <w:szCs w:val="22"/>
                <w:lang w:val="en-US"/>
              </w:rPr>
            </w:pPr>
          </w:p>
        </w:tc>
      </w:tr>
      <w:tr w:rsidR="00C94001" w:rsidRPr="00E45883" w14:paraId="0C128BFC" w14:textId="77777777" w:rsidTr="00C94001">
        <w:trPr>
          <w:trHeight w:val="394"/>
        </w:trPr>
        <w:tc>
          <w:tcPr>
            <w:tcW w:w="0" w:type="auto"/>
            <w:tcBorders>
              <w:left w:val="single" w:sz="4" w:space="0" w:color="auto"/>
            </w:tcBorders>
            <w:shd w:val="clear" w:color="auto" w:fill="auto"/>
            <w:noWrap/>
            <w:hideMark/>
          </w:tcPr>
          <w:p w14:paraId="76392D56"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0A8D29DE"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eastAsia="en-GB"/>
              </w:rPr>
              <w:t>MRT (ms) in baseline</w:t>
            </w:r>
          </w:p>
        </w:tc>
        <w:tc>
          <w:tcPr>
            <w:tcW w:w="0" w:type="auto"/>
            <w:tcBorders>
              <w:left w:val="single" w:sz="4" w:space="0" w:color="auto"/>
            </w:tcBorders>
            <w:shd w:val="clear" w:color="auto" w:fill="auto"/>
            <w:noWrap/>
          </w:tcPr>
          <w:p w14:paraId="4877316E"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551.05</w:t>
            </w:r>
          </w:p>
        </w:tc>
        <w:tc>
          <w:tcPr>
            <w:tcW w:w="0" w:type="auto"/>
            <w:tcBorders>
              <w:right w:val="single" w:sz="4" w:space="0" w:color="auto"/>
            </w:tcBorders>
            <w:shd w:val="clear" w:color="auto" w:fill="auto"/>
            <w:noWrap/>
          </w:tcPr>
          <w:p w14:paraId="1FB03276"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(132.40)</w:t>
            </w:r>
          </w:p>
        </w:tc>
        <w:tc>
          <w:tcPr>
            <w:tcW w:w="0" w:type="auto"/>
            <w:tcBorders>
              <w:left w:val="single" w:sz="4" w:space="0" w:color="auto"/>
            </w:tcBorders>
            <w:shd w:val="clear" w:color="auto" w:fill="auto"/>
            <w:noWrap/>
          </w:tcPr>
          <w:p w14:paraId="458CA91E"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590.45</w:t>
            </w:r>
          </w:p>
        </w:tc>
        <w:tc>
          <w:tcPr>
            <w:tcW w:w="0" w:type="auto"/>
            <w:tcBorders>
              <w:right w:val="single" w:sz="4" w:space="0" w:color="auto"/>
            </w:tcBorders>
            <w:shd w:val="clear" w:color="auto" w:fill="auto"/>
            <w:noWrap/>
          </w:tcPr>
          <w:p w14:paraId="4040ABFB" w14:textId="77777777" w:rsidR="00C94001" w:rsidRPr="00E45883" w:rsidRDefault="00C94001" w:rsidP="004558C3">
            <w:pPr>
              <w:spacing w:before="0"/>
              <w:jc w:val="left"/>
              <w:rPr>
                <w:rFonts w:eastAsia="Times New Roman"/>
                <w:szCs w:val="22"/>
                <w:lang w:val="en-US"/>
              </w:rPr>
            </w:pPr>
            <w:r w:rsidRPr="00E45883">
              <w:rPr>
                <w:rFonts w:eastAsia="Times New Roman"/>
                <w:szCs w:val="22"/>
              </w:rPr>
              <w:t>(</w:t>
            </w:r>
            <w:r w:rsidRPr="00E45883">
              <w:rPr>
                <w:rFonts w:eastAsia="Times New Roman"/>
                <w:szCs w:val="22"/>
                <w:lang w:val="en-US"/>
              </w:rPr>
              <w:t>169.12</w:t>
            </w:r>
            <w:r w:rsidRPr="00E45883">
              <w:rPr>
                <w:rFonts w:eastAsia="Times New Roman"/>
                <w:szCs w:val="22"/>
              </w:rPr>
              <w:t>)</w:t>
            </w:r>
          </w:p>
        </w:tc>
      </w:tr>
      <w:tr w:rsidR="00C94001" w:rsidRPr="00E45883" w14:paraId="23FA1DE7" w14:textId="77777777" w:rsidTr="00C94001">
        <w:trPr>
          <w:trHeight w:val="394"/>
        </w:trPr>
        <w:tc>
          <w:tcPr>
            <w:tcW w:w="0" w:type="auto"/>
            <w:tcBorders>
              <w:left w:val="single" w:sz="4" w:space="0" w:color="auto"/>
            </w:tcBorders>
            <w:shd w:val="clear" w:color="auto" w:fill="auto"/>
            <w:noWrap/>
          </w:tcPr>
          <w:p w14:paraId="3E91072E" w14:textId="77777777" w:rsidR="00C94001" w:rsidRPr="00E45883" w:rsidRDefault="00C94001" w:rsidP="004558C3">
            <w:pPr>
              <w:spacing w:before="0"/>
              <w:jc w:val="left"/>
              <w:rPr>
                <w:rFonts w:eastAsia="Times New Roman"/>
                <w:iCs/>
                <w:szCs w:val="22"/>
                <w:lang w:val="en-US"/>
              </w:rPr>
            </w:pPr>
          </w:p>
        </w:tc>
        <w:tc>
          <w:tcPr>
            <w:tcW w:w="0" w:type="auto"/>
            <w:tcBorders>
              <w:right w:val="single" w:sz="4" w:space="0" w:color="auto"/>
            </w:tcBorders>
            <w:shd w:val="clear" w:color="auto" w:fill="auto"/>
            <w:noWrap/>
          </w:tcPr>
          <w:p w14:paraId="5CCD583C" w14:textId="77777777" w:rsidR="00C94001" w:rsidRPr="00E45883" w:rsidRDefault="00C94001" w:rsidP="004558C3">
            <w:pPr>
              <w:spacing w:before="0"/>
              <w:jc w:val="left"/>
              <w:rPr>
                <w:rFonts w:eastAsia="Times New Roman"/>
                <w:color w:val="auto"/>
                <w:szCs w:val="22"/>
                <w:lang w:val="en-US"/>
              </w:rPr>
            </w:pPr>
            <w:r w:rsidRPr="00E45883">
              <w:rPr>
                <w:rFonts w:eastAsia="Times New Roman"/>
                <w:szCs w:val="22"/>
                <w:lang w:val="en-US" w:eastAsia="en-GB"/>
              </w:rPr>
              <w:t>RTV (ms) in baseline</w:t>
            </w:r>
          </w:p>
        </w:tc>
        <w:tc>
          <w:tcPr>
            <w:tcW w:w="0" w:type="auto"/>
            <w:tcBorders>
              <w:left w:val="single" w:sz="4" w:space="0" w:color="auto"/>
            </w:tcBorders>
            <w:shd w:val="clear" w:color="auto" w:fill="auto"/>
            <w:noWrap/>
          </w:tcPr>
          <w:p w14:paraId="494A3B19"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134.25</w:t>
            </w:r>
          </w:p>
        </w:tc>
        <w:tc>
          <w:tcPr>
            <w:tcW w:w="0" w:type="auto"/>
            <w:tcBorders>
              <w:right w:val="single" w:sz="4" w:space="0" w:color="auto"/>
            </w:tcBorders>
            <w:shd w:val="clear" w:color="auto" w:fill="auto"/>
            <w:noWrap/>
          </w:tcPr>
          <w:p w14:paraId="3FC9FA22"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(99.97)</w:t>
            </w:r>
          </w:p>
        </w:tc>
        <w:tc>
          <w:tcPr>
            <w:tcW w:w="0" w:type="auto"/>
            <w:tcBorders>
              <w:left w:val="single" w:sz="4" w:space="0" w:color="auto"/>
            </w:tcBorders>
            <w:shd w:val="clear" w:color="auto" w:fill="auto"/>
            <w:noWrap/>
          </w:tcPr>
          <w:p w14:paraId="428DD234"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163.43</w:t>
            </w:r>
          </w:p>
        </w:tc>
        <w:tc>
          <w:tcPr>
            <w:tcW w:w="0" w:type="auto"/>
            <w:tcBorders>
              <w:right w:val="single" w:sz="4" w:space="0" w:color="auto"/>
            </w:tcBorders>
            <w:shd w:val="clear" w:color="auto" w:fill="auto"/>
            <w:noWrap/>
          </w:tcPr>
          <w:p w14:paraId="55C5E54A" w14:textId="77777777" w:rsidR="00C94001" w:rsidRPr="00E45883" w:rsidRDefault="00C94001" w:rsidP="004558C3">
            <w:pPr>
              <w:spacing w:before="0"/>
              <w:jc w:val="left"/>
              <w:rPr>
                <w:rFonts w:eastAsia="Times New Roman"/>
                <w:szCs w:val="22"/>
              </w:rPr>
            </w:pPr>
            <w:r w:rsidRPr="00E45883">
              <w:rPr>
                <w:rFonts w:eastAsia="Times New Roman"/>
                <w:szCs w:val="22"/>
              </w:rPr>
              <w:t>(</w:t>
            </w:r>
            <w:r w:rsidRPr="00E45883">
              <w:rPr>
                <w:rFonts w:eastAsia="Times New Roman"/>
                <w:szCs w:val="22"/>
                <w:lang w:val="en-US"/>
              </w:rPr>
              <w:t>58.38</w:t>
            </w:r>
            <w:r w:rsidRPr="00E45883">
              <w:rPr>
                <w:rFonts w:eastAsia="Times New Roman"/>
                <w:szCs w:val="22"/>
              </w:rPr>
              <w:t>)</w:t>
            </w:r>
          </w:p>
        </w:tc>
      </w:tr>
      <w:tr w:rsidR="00C94001" w:rsidRPr="00E45883" w14:paraId="0D2FE7C4" w14:textId="77777777" w:rsidTr="00C94001">
        <w:trPr>
          <w:trHeight w:val="394"/>
        </w:trPr>
        <w:tc>
          <w:tcPr>
            <w:tcW w:w="0" w:type="auto"/>
            <w:tcBorders>
              <w:left w:val="single" w:sz="4" w:space="0" w:color="auto"/>
            </w:tcBorders>
            <w:shd w:val="clear" w:color="auto" w:fill="auto"/>
            <w:noWrap/>
          </w:tcPr>
          <w:p w14:paraId="4D59EE79" w14:textId="77777777" w:rsidR="00C94001" w:rsidRPr="00E45883" w:rsidRDefault="00C94001" w:rsidP="004558C3">
            <w:pPr>
              <w:spacing w:before="0"/>
              <w:jc w:val="left"/>
              <w:rPr>
                <w:rFonts w:eastAsia="Times New Roman"/>
                <w:szCs w:val="22"/>
                <w:lang w:val="en-US"/>
              </w:rPr>
            </w:pPr>
          </w:p>
        </w:tc>
        <w:tc>
          <w:tcPr>
            <w:tcW w:w="0" w:type="auto"/>
            <w:tcBorders>
              <w:right w:val="single" w:sz="4" w:space="0" w:color="auto"/>
            </w:tcBorders>
            <w:shd w:val="clear" w:color="auto" w:fill="auto"/>
            <w:noWrap/>
          </w:tcPr>
          <w:p w14:paraId="0E1E83B5" w14:textId="77777777" w:rsidR="00C94001" w:rsidRPr="00E45883" w:rsidRDefault="00C94001" w:rsidP="004558C3">
            <w:pPr>
              <w:spacing w:before="0"/>
              <w:jc w:val="left"/>
              <w:rPr>
                <w:rFonts w:eastAsia="Times New Roman"/>
                <w:color w:val="auto"/>
                <w:szCs w:val="22"/>
                <w:lang w:val="en-US"/>
              </w:rPr>
            </w:pPr>
            <w:r w:rsidRPr="00E45883">
              <w:rPr>
                <w:rFonts w:eastAsia="Times New Roman"/>
                <w:color w:val="auto"/>
                <w:szCs w:val="22"/>
                <w:lang w:val="en-US" w:eastAsia="en-GB"/>
              </w:rPr>
              <w:t xml:space="preserve">CNV </w:t>
            </w:r>
            <w:r w:rsidRPr="00E45883">
              <w:rPr>
                <w:rFonts w:eastAsia="Times New Roman"/>
                <w:szCs w:val="22"/>
                <w:lang w:val="en-US" w:eastAsia="en-GB"/>
              </w:rPr>
              <w:t>(µV)</w:t>
            </w:r>
            <w:r w:rsidRPr="00E45883">
              <w:rPr>
                <w:rFonts w:eastAsia="Times New Roman"/>
                <w:color w:val="auto"/>
                <w:szCs w:val="22"/>
                <w:lang w:val="en-US" w:eastAsia="en-GB"/>
              </w:rPr>
              <w:t xml:space="preserve"> in fast-incentive</w:t>
            </w:r>
          </w:p>
        </w:tc>
        <w:tc>
          <w:tcPr>
            <w:tcW w:w="0" w:type="auto"/>
            <w:tcBorders>
              <w:left w:val="single" w:sz="4" w:space="0" w:color="auto"/>
            </w:tcBorders>
            <w:shd w:val="clear" w:color="auto" w:fill="auto"/>
            <w:noWrap/>
          </w:tcPr>
          <w:p w14:paraId="550FB50B"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-1.13</w:t>
            </w:r>
          </w:p>
        </w:tc>
        <w:tc>
          <w:tcPr>
            <w:tcW w:w="0" w:type="auto"/>
            <w:tcBorders>
              <w:right w:val="single" w:sz="4" w:space="0" w:color="auto"/>
            </w:tcBorders>
            <w:shd w:val="clear" w:color="auto" w:fill="auto"/>
            <w:noWrap/>
          </w:tcPr>
          <w:p w14:paraId="56A15B6F"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(1.70)</w:t>
            </w:r>
          </w:p>
        </w:tc>
        <w:tc>
          <w:tcPr>
            <w:tcW w:w="0" w:type="auto"/>
            <w:tcBorders>
              <w:left w:val="single" w:sz="4" w:space="0" w:color="auto"/>
            </w:tcBorders>
            <w:shd w:val="clear" w:color="auto" w:fill="auto"/>
            <w:noWrap/>
          </w:tcPr>
          <w:p w14:paraId="073D9582"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-1.04</w:t>
            </w:r>
          </w:p>
        </w:tc>
        <w:tc>
          <w:tcPr>
            <w:tcW w:w="0" w:type="auto"/>
            <w:tcBorders>
              <w:right w:val="single" w:sz="4" w:space="0" w:color="auto"/>
            </w:tcBorders>
            <w:shd w:val="clear" w:color="auto" w:fill="auto"/>
            <w:noWrap/>
          </w:tcPr>
          <w:p w14:paraId="609D4A15"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(1.77)</w:t>
            </w:r>
          </w:p>
        </w:tc>
      </w:tr>
      <w:tr w:rsidR="00C94001" w:rsidRPr="00E45883" w14:paraId="289450B0" w14:textId="77777777" w:rsidTr="00C94001">
        <w:trPr>
          <w:trHeight w:val="394"/>
        </w:trPr>
        <w:tc>
          <w:tcPr>
            <w:tcW w:w="0" w:type="auto"/>
            <w:tcBorders>
              <w:left w:val="single" w:sz="4" w:space="0" w:color="auto"/>
              <w:bottom w:val="single" w:sz="4" w:space="0" w:color="auto"/>
            </w:tcBorders>
            <w:shd w:val="clear" w:color="auto" w:fill="auto"/>
            <w:noWrap/>
            <w:hideMark/>
          </w:tcPr>
          <w:p w14:paraId="01DAFF68" w14:textId="77777777" w:rsidR="00C94001" w:rsidRPr="00E45883" w:rsidRDefault="00C94001" w:rsidP="004558C3">
            <w:pPr>
              <w:spacing w:before="0"/>
              <w:jc w:val="left"/>
              <w:rPr>
                <w:rFonts w:eastAsia="Times New Roman"/>
                <w:szCs w:val="22"/>
                <w:lang w:val="en-US"/>
              </w:rPr>
            </w:pPr>
          </w:p>
        </w:tc>
        <w:tc>
          <w:tcPr>
            <w:tcW w:w="0" w:type="auto"/>
            <w:tcBorders>
              <w:bottom w:val="single" w:sz="4" w:space="0" w:color="auto"/>
              <w:right w:val="single" w:sz="4" w:space="0" w:color="auto"/>
            </w:tcBorders>
            <w:shd w:val="clear" w:color="auto" w:fill="auto"/>
            <w:noWrap/>
          </w:tcPr>
          <w:p w14:paraId="4984EAE8" w14:textId="77777777" w:rsidR="00C94001" w:rsidRPr="00E45883" w:rsidRDefault="00C94001" w:rsidP="004558C3">
            <w:pPr>
              <w:spacing w:before="0"/>
              <w:jc w:val="left"/>
              <w:rPr>
                <w:rFonts w:eastAsia="Times New Roman"/>
                <w:color w:val="auto"/>
                <w:szCs w:val="22"/>
                <w:lang w:val="en-US"/>
              </w:rPr>
            </w:pPr>
            <w:r w:rsidRPr="00E45883">
              <w:rPr>
                <w:rFonts w:eastAsia="Times New Roman"/>
                <w:color w:val="auto"/>
                <w:szCs w:val="22"/>
                <w:lang w:val="en-US" w:eastAsia="en-GB"/>
              </w:rPr>
              <w:t xml:space="preserve">P3 </w:t>
            </w:r>
            <w:r w:rsidRPr="00E45883">
              <w:rPr>
                <w:rFonts w:eastAsia="Times New Roman"/>
                <w:szCs w:val="22"/>
                <w:lang w:val="en-US" w:eastAsia="en-GB"/>
              </w:rPr>
              <w:t>(µV*ms)</w:t>
            </w:r>
            <w:r w:rsidRPr="00E45883">
              <w:rPr>
                <w:rFonts w:eastAsia="Times New Roman"/>
                <w:color w:val="auto"/>
                <w:szCs w:val="22"/>
                <w:lang w:val="en-US" w:eastAsia="en-GB"/>
              </w:rPr>
              <w:t xml:space="preserve"> in fast-incentive</w:t>
            </w:r>
          </w:p>
        </w:tc>
        <w:tc>
          <w:tcPr>
            <w:tcW w:w="0" w:type="auto"/>
            <w:tcBorders>
              <w:left w:val="single" w:sz="4" w:space="0" w:color="auto"/>
              <w:bottom w:val="single" w:sz="4" w:space="0" w:color="auto"/>
            </w:tcBorders>
            <w:shd w:val="clear" w:color="auto" w:fill="auto"/>
            <w:noWrap/>
          </w:tcPr>
          <w:p w14:paraId="38D43D8A"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1061.17</w:t>
            </w:r>
          </w:p>
        </w:tc>
        <w:tc>
          <w:tcPr>
            <w:tcW w:w="0" w:type="auto"/>
            <w:tcBorders>
              <w:bottom w:val="single" w:sz="4" w:space="0" w:color="auto"/>
              <w:right w:val="single" w:sz="4" w:space="0" w:color="auto"/>
            </w:tcBorders>
            <w:shd w:val="clear" w:color="auto" w:fill="auto"/>
            <w:noWrap/>
          </w:tcPr>
          <w:p w14:paraId="41499673"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(920.07)</w:t>
            </w:r>
          </w:p>
        </w:tc>
        <w:tc>
          <w:tcPr>
            <w:tcW w:w="0" w:type="auto"/>
            <w:tcBorders>
              <w:left w:val="single" w:sz="4" w:space="0" w:color="auto"/>
              <w:bottom w:val="single" w:sz="4" w:space="0" w:color="auto"/>
            </w:tcBorders>
            <w:shd w:val="clear" w:color="auto" w:fill="auto"/>
            <w:noWrap/>
          </w:tcPr>
          <w:p w14:paraId="3F1D7FE9" w14:textId="77777777" w:rsidR="00C94001" w:rsidRPr="00E45883" w:rsidRDefault="00C94001" w:rsidP="004558C3">
            <w:pPr>
              <w:spacing w:before="0"/>
              <w:jc w:val="left"/>
              <w:rPr>
                <w:rFonts w:eastAsia="Times New Roman"/>
                <w:szCs w:val="22"/>
                <w:lang w:val="en-US"/>
              </w:rPr>
            </w:pPr>
            <w:r w:rsidRPr="00E45883">
              <w:rPr>
                <w:rFonts w:eastAsia="Times New Roman"/>
                <w:szCs w:val="22"/>
                <w:lang w:val="en-US"/>
              </w:rPr>
              <w:t>1018.06</w:t>
            </w:r>
          </w:p>
        </w:tc>
        <w:tc>
          <w:tcPr>
            <w:tcW w:w="0" w:type="auto"/>
            <w:tcBorders>
              <w:bottom w:val="single" w:sz="4" w:space="0" w:color="auto"/>
              <w:right w:val="single" w:sz="4" w:space="0" w:color="auto"/>
            </w:tcBorders>
            <w:shd w:val="clear" w:color="auto" w:fill="auto"/>
            <w:noWrap/>
          </w:tcPr>
          <w:p w14:paraId="69C0E815" w14:textId="77777777" w:rsidR="00C94001" w:rsidRPr="00E45883" w:rsidRDefault="00C94001" w:rsidP="004558C3">
            <w:pPr>
              <w:spacing w:before="0"/>
              <w:jc w:val="left"/>
              <w:rPr>
                <w:rFonts w:eastAsia="Times New Roman"/>
                <w:szCs w:val="22"/>
                <w:lang w:val="en-US"/>
              </w:rPr>
            </w:pPr>
            <w:r w:rsidRPr="00E45883">
              <w:rPr>
                <w:rFonts w:eastAsia="Times New Roman"/>
                <w:szCs w:val="22"/>
              </w:rPr>
              <w:t>(</w:t>
            </w:r>
            <w:r w:rsidRPr="00E45883">
              <w:rPr>
                <w:rFonts w:eastAsia="Times New Roman"/>
                <w:szCs w:val="22"/>
                <w:lang w:val="en-US"/>
              </w:rPr>
              <w:t>872.97</w:t>
            </w:r>
            <w:r w:rsidRPr="00E45883">
              <w:rPr>
                <w:rFonts w:eastAsia="Times New Roman"/>
                <w:szCs w:val="22"/>
              </w:rPr>
              <w:t>)</w:t>
            </w:r>
          </w:p>
        </w:tc>
      </w:tr>
    </w:tbl>
    <w:p w14:paraId="3B64A7D9" w14:textId="77777777" w:rsidR="00C94001" w:rsidRDefault="00C94001" w:rsidP="00CA7244">
      <w:pPr>
        <w:pStyle w:val="Heading1"/>
      </w:pPr>
    </w:p>
    <w:p w14:paraId="3D6CC53F" w14:textId="77777777" w:rsidR="00C94001" w:rsidRDefault="00C94001">
      <w:pPr>
        <w:spacing w:before="0" w:after="160" w:line="259" w:lineRule="auto"/>
        <w:jc w:val="left"/>
        <w:rPr>
          <w:rFonts w:eastAsiaTheme="majorEastAsia"/>
          <w:b/>
          <w:bCs/>
          <w:color w:val="auto"/>
          <w:sz w:val="24"/>
          <w:szCs w:val="20"/>
        </w:rPr>
      </w:pPr>
      <w:r>
        <w:br w:type="page"/>
      </w:r>
    </w:p>
    <w:p w14:paraId="5ACFD3DA" w14:textId="1F87F272" w:rsidR="00CA7244" w:rsidRDefault="0044158E" w:rsidP="00CA7244">
      <w:pPr>
        <w:pStyle w:val="Heading1"/>
      </w:pPr>
      <w:r>
        <w:lastRenderedPageBreak/>
        <w:t>S</w:t>
      </w:r>
      <w:r w:rsidR="00AC40E4">
        <w:t>UPPLEMENTARY MATERIAL I</w:t>
      </w:r>
      <w:r w:rsidR="003265CE">
        <w:t>I</w:t>
      </w:r>
      <w:r w:rsidR="00847186">
        <w:t>I</w:t>
      </w:r>
      <w:r w:rsidR="001519B7" w:rsidRPr="002E5577">
        <w:t xml:space="preserve">: </w:t>
      </w:r>
    </w:p>
    <w:p w14:paraId="232277B8" w14:textId="69B834D6" w:rsidR="001519B7" w:rsidRPr="00CA7244" w:rsidRDefault="001519B7" w:rsidP="00CA7244">
      <w:pPr>
        <w:pStyle w:val="Heading1"/>
        <w:rPr>
          <w:sz w:val="20"/>
        </w:rPr>
      </w:pPr>
      <w:r w:rsidRPr="00CA7244">
        <w:rPr>
          <w:sz w:val="20"/>
        </w:rPr>
        <w:t>Within-siblings, fixed effect model of preterm birth on standardised scores (controlling for age, sex and IQ) (n = 208).</w:t>
      </w:r>
    </w:p>
    <w:p w14:paraId="01230B08" w14:textId="77777777" w:rsidR="005C25A7" w:rsidRPr="005C25A7" w:rsidRDefault="005C25A7" w:rsidP="005C25A7"/>
    <w:tbl>
      <w:tblPr>
        <w:tblW w:w="5000" w:type="pct"/>
        <w:jc w:val="center"/>
        <w:tblLook w:val="04A0" w:firstRow="1" w:lastRow="0" w:firstColumn="1" w:lastColumn="0" w:noHBand="0" w:noVBand="1"/>
      </w:tblPr>
      <w:tblGrid>
        <w:gridCol w:w="1271"/>
        <w:gridCol w:w="4316"/>
        <w:gridCol w:w="1128"/>
        <w:gridCol w:w="868"/>
        <w:gridCol w:w="1767"/>
      </w:tblGrid>
      <w:tr w:rsidR="00CB570B" w:rsidRPr="00CA7244" w14:paraId="7F0B26F2" w14:textId="77777777" w:rsidTr="00030D27">
        <w:trPr>
          <w:trHeight w:val="416"/>
          <w:jc w:val="center"/>
        </w:trPr>
        <w:tc>
          <w:tcPr>
            <w:tcW w:w="680" w:type="pct"/>
            <w:tcBorders>
              <w:top w:val="single" w:sz="4" w:space="0" w:color="auto"/>
              <w:left w:val="single" w:sz="4" w:space="0" w:color="auto"/>
              <w:bottom w:val="single" w:sz="4" w:space="0" w:color="auto"/>
              <w:right w:val="nil"/>
            </w:tcBorders>
            <w:shd w:val="clear" w:color="auto" w:fill="auto"/>
            <w:noWrap/>
            <w:hideMark/>
          </w:tcPr>
          <w:p w14:paraId="7C579313" w14:textId="77777777" w:rsidR="001519B7" w:rsidRPr="00CA7244" w:rsidRDefault="001519B7" w:rsidP="00030D27">
            <w:pPr>
              <w:spacing w:before="0"/>
              <w:jc w:val="left"/>
              <w:rPr>
                <w:rFonts w:eastAsia="Times New Roman"/>
                <w:color w:val="auto"/>
                <w:sz w:val="16"/>
                <w:szCs w:val="16"/>
                <w:lang w:val="en-US"/>
              </w:rPr>
            </w:pPr>
          </w:p>
        </w:tc>
        <w:tc>
          <w:tcPr>
            <w:tcW w:w="2308" w:type="pct"/>
            <w:tcBorders>
              <w:top w:val="single" w:sz="4" w:space="0" w:color="auto"/>
              <w:left w:val="nil"/>
              <w:bottom w:val="single" w:sz="4" w:space="0" w:color="auto"/>
              <w:right w:val="nil"/>
            </w:tcBorders>
            <w:shd w:val="clear" w:color="auto" w:fill="auto"/>
            <w:noWrap/>
            <w:hideMark/>
          </w:tcPr>
          <w:p w14:paraId="46B239D0" w14:textId="77777777" w:rsidR="001519B7" w:rsidRPr="00CA7244" w:rsidRDefault="001519B7" w:rsidP="00030D27">
            <w:pPr>
              <w:spacing w:before="0"/>
              <w:jc w:val="left"/>
              <w:rPr>
                <w:rFonts w:eastAsia="Times New Roman"/>
                <w:color w:val="auto"/>
                <w:sz w:val="16"/>
                <w:szCs w:val="16"/>
                <w:lang w:val="en-US"/>
              </w:rPr>
            </w:pPr>
            <w:r w:rsidRPr="00CA7244">
              <w:rPr>
                <w:rFonts w:eastAsia="Times New Roman"/>
                <w:color w:val="auto"/>
                <w:sz w:val="16"/>
                <w:szCs w:val="16"/>
                <w:lang w:val="en-US"/>
              </w:rPr>
              <w:t>Variable</w:t>
            </w:r>
          </w:p>
        </w:tc>
        <w:tc>
          <w:tcPr>
            <w:tcW w:w="603" w:type="pct"/>
            <w:tcBorders>
              <w:top w:val="single" w:sz="4" w:space="0" w:color="auto"/>
              <w:left w:val="nil"/>
              <w:bottom w:val="single" w:sz="4" w:space="0" w:color="auto"/>
              <w:right w:val="nil"/>
            </w:tcBorders>
            <w:shd w:val="clear" w:color="auto" w:fill="auto"/>
            <w:noWrap/>
            <w:hideMark/>
          </w:tcPr>
          <w:p w14:paraId="3E60A86B" w14:textId="77777777" w:rsidR="001519B7" w:rsidRPr="00CA7244" w:rsidRDefault="001519B7" w:rsidP="00030D27">
            <w:pPr>
              <w:spacing w:before="0"/>
              <w:jc w:val="left"/>
              <w:rPr>
                <w:rFonts w:eastAsia="Times New Roman"/>
                <w:color w:val="auto"/>
                <w:sz w:val="16"/>
                <w:szCs w:val="16"/>
                <w:lang w:val="en-US"/>
              </w:rPr>
            </w:pPr>
            <w:r w:rsidRPr="00CA7244">
              <w:rPr>
                <w:rFonts w:eastAsia="Times New Roman"/>
                <w:color w:val="auto"/>
                <w:sz w:val="16"/>
                <w:szCs w:val="16"/>
                <w:lang w:val="en-US"/>
              </w:rPr>
              <w:t>β Coef</w:t>
            </w:r>
          </w:p>
        </w:tc>
        <w:tc>
          <w:tcPr>
            <w:tcW w:w="464" w:type="pct"/>
            <w:tcBorders>
              <w:top w:val="single" w:sz="4" w:space="0" w:color="auto"/>
              <w:left w:val="nil"/>
              <w:bottom w:val="single" w:sz="4" w:space="0" w:color="auto"/>
              <w:right w:val="nil"/>
            </w:tcBorders>
            <w:shd w:val="clear" w:color="auto" w:fill="auto"/>
            <w:noWrap/>
            <w:hideMark/>
          </w:tcPr>
          <w:p w14:paraId="1D29F221" w14:textId="77777777" w:rsidR="001519B7" w:rsidRPr="00CA7244" w:rsidRDefault="001519B7" w:rsidP="00030D27">
            <w:pPr>
              <w:spacing w:before="0"/>
              <w:jc w:val="left"/>
              <w:rPr>
                <w:rFonts w:eastAsia="Times New Roman"/>
                <w:color w:val="auto"/>
                <w:sz w:val="16"/>
                <w:szCs w:val="16"/>
                <w:lang w:val="en-US"/>
              </w:rPr>
            </w:pPr>
            <w:r w:rsidRPr="00CA7244">
              <w:rPr>
                <w:rFonts w:eastAsia="Times New Roman"/>
                <w:color w:val="auto"/>
                <w:sz w:val="16"/>
                <w:szCs w:val="16"/>
                <w:lang w:val="en-US"/>
              </w:rPr>
              <w:t>P</w:t>
            </w:r>
          </w:p>
        </w:tc>
        <w:tc>
          <w:tcPr>
            <w:tcW w:w="945" w:type="pct"/>
            <w:tcBorders>
              <w:top w:val="single" w:sz="4" w:space="0" w:color="auto"/>
              <w:left w:val="nil"/>
              <w:bottom w:val="single" w:sz="4" w:space="0" w:color="auto"/>
              <w:right w:val="single" w:sz="4" w:space="0" w:color="auto"/>
            </w:tcBorders>
            <w:shd w:val="clear" w:color="auto" w:fill="auto"/>
            <w:noWrap/>
            <w:hideMark/>
          </w:tcPr>
          <w:p w14:paraId="6D3AACFC" w14:textId="77777777" w:rsidR="001519B7" w:rsidRPr="00CA7244" w:rsidRDefault="001519B7" w:rsidP="00030D27">
            <w:pPr>
              <w:spacing w:before="0"/>
              <w:jc w:val="left"/>
              <w:rPr>
                <w:rFonts w:eastAsia="Times New Roman"/>
                <w:color w:val="auto"/>
                <w:sz w:val="16"/>
                <w:szCs w:val="16"/>
                <w:lang w:val="en-US"/>
              </w:rPr>
            </w:pPr>
            <w:r w:rsidRPr="00CA7244">
              <w:rPr>
                <w:rFonts w:eastAsia="Times New Roman"/>
                <w:color w:val="auto"/>
                <w:sz w:val="16"/>
                <w:szCs w:val="16"/>
                <w:lang w:val="en-US"/>
              </w:rPr>
              <w:t>95% CI</w:t>
            </w:r>
          </w:p>
        </w:tc>
      </w:tr>
      <w:tr w:rsidR="00CB570B" w:rsidRPr="00CA7244" w14:paraId="3944A63D" w14:textId="77777777" w:rsidTr="00030D27">
        <w:trPr>
          <w:trHeight w:val="416"/>
          <w:jc w:val="center"/>
        </w:trPr>
        <w:tc>
          <w:tcPr>
            <w:tcW w:w="680" w:type="pct"/>
            <w:tcBorders>
              <w:top w:val="nil"/>
              <w:left w:val="single" w:sz="4" w:space="0" w:color="auto"/>
              <w:bottom w:val="nil"/>
            </w:tcBorders>
            <w:shd w:val="clear" w:color="auto" w:fill="auto"/>
            <w:noWrap/>
            <w:hideMark/>
          </w:tcPr>
          <w:p w14:paraId="69E2053A" w14:textId="77777777" w:rsidR="001519B7" w:rsidRPr="00CA7244" w:rsidRDefault="001519B7" w:rsidP="00030D27">
            <w:pPr>
              <w:spacing w:before="0"/>
              <w:jc w:val="left"/>
              <w:rPr>
                <w:rFonts w:eastAsia="Times New Roman"/>
                <w:bCs/>
                <w:color w:val="auto"/>
                <w:sz w:val="16"/>
                <w:szCs w:val="16"/>
                <w:lang w:val="en-US"/>
              </w:rPr>
            </w:pPr>
          </w:p>
        </w:tc>
        <w:tc>
          <w:tcPr>
            <w:tcW w:w="2308" w:type="pct"/>
            <w:tcBorders>
              <w:top w:val="nil"/>
              <w:left w:val="nil"/>
              <w:bottom w:val="nil"/>
              <w:right w:val="nil"/>
            </w:tcBorders>
            <w:shd w:val="clear" w:color="auto" w:fill="auto"/>
          </w:tcPr>
          <w:p w14:paraId="1EEF70E4" w14:textId="77777777" w:rsidR="001519B7" w:rsidRPr="00CA7244" w:rsidRDefault="001519B7" w:rsidP="00030D27">
            <w:pPr>
              <w:spacing w:before="0"/>
              <w:jc w:val="left"/>
              <w:rPr>
                <w:rFonts w:eastAsia="Times New Roman"/>
                <w:bCs/>
                <w:color w:val="auto"/>
                <w:sz w:val="16"/>
                <w:szCs w:val="16"/>
                <w:lang w:val="en-US"/>
              </w:rPr>
            </w:pPr>
            <w:r w:rsidRPr="00CA7244">
              <w:rPr>
                <w:rFonts w:eastAsia="Times New Roman"/>
                <w:sz w:val="16"/>
                <w:szCs w:val="16"/>
                <w:lang w:val="en-US"/>
              </w:rPr>
              <w:t>ADHD symptoms</w:t>
            </w:r>
          </w:p>
        </w:tc>
        <w:tc>
          <w:tcPr>
            <w:tcW w:w="603" w:type="pct"/>
            <w:tcBorders>
              <w:top w:val="nil"/>
              <w:left w:val="nil"/>
              <w:bottom w:val="nil"/>
              <w:right w:val="nil"/>
            </w:tcBorders>
            <w:shd w:val="clear" w:color="auto" w:fill="auto"/>
            <w:noWrap/>
            <w:hideMark/>
          </w:tcPr>
          <w:p w14:paraId="62CAA71A" w14:textId="5FC3473D" w:rsidR="001519B7" w:rsidRPr="00CA7244" w:rsidRDefault="00A85763" w:rsidP="00030D27">
            <w:pPr>
              <w:spacing w:before="0"/>
              <w:jc w:val="left"/>
              <w:rPr>
                <w:rFonts w:eastAsia="Times New Roman"/>
                <w:b/>
                <w:color w:val="auto"/>
                <w:sz w:val="16"/>
                <w:szCs w:val="16"/>
                <w:lang w:val="en-US"/>
              </w:rPr>
            </w:pPr>
            <w:r w:rsidRPr="00CA7244">
              <w:rPr>
                <w:b/>
                <w:bCs/>
                <w:sz w:val="16"/>
                <w:szCs w:val="16"/>
              </w:rPr>
              <w:t>0.</w:t>
            </w:r>
            <w:r w:rsidR="00ED73E9">
              <w:rPr>
                <w:b/>
                <w:bCs/>
                <w:sz w:val="16"/>
                <w:szCs w:val="16"/>
              </w:rPr>
              <w:t>24</w:t>
            </w:r>
          </w:p>
        </w:tc>
        <w:tc>
          <w:tcPr>
            <w:tcW w:w="464" w:type="pct"/>
            <w:tcBorders>
              <w:top w:val="nil"/>
              <w:left w:val="nil"/>
              <w:bottom w:val="nil"/>
              <w:right w:val="nil"/>
            </w:tcBorders>
            <w:shd w:val="clear" w:color="auto" w:fill="auto"/>
            <w:noWrap/>
            <w:hideMark/>
          </w:tcPr>
          <w:p w14:paraId="13798D34" w14:textId="04D8CE1F" w:rsidR="001519B7" w:rsidRPr="00CA7244" w:rsidRDefault="001519B7" w:rsidP="00030D27">
            <w:pPr>
              <w:spacing w:before="0"/>
              <w:jc w:val="left"/>
              <w:rPr>
                <w:rFonts w:eastAsia="Times New Roman"/>
                <w:b/>
                <w:color w:val="auto"/>
                <w:sz w:val="16"/>
                <w:szCs w:val="16"/>
                <w:lang w:val="en-US"/>
              </w:rPr>
            </w:pPr>
            <w:r w:rsidRPr="00CA7244">
              <w:rPr>
                <w:b/>
                <w:bCs/>
                <w:sz w:val="16"/>
                <w:szCs w:val="16"/>
              </w:rPr>
              <w:t>0.0</w:t>
            </w:r>
            <w:r w:rsidR="00550831">
              <w:rPr>
                <w:b/>
                <w:bCs/>
                <w:sz w:val="16"/>
                <w:szCs w:val="16"/>
              </w:rPr>
              <w:t>2</w:t>
            </w:r>
          </w:p>
        </w:tc>
        <w:tc>
          <w:tcPr>
            <w:tcW w:w="945" w:type="pct"/>
            <w:tcBorders>
              <w:top w:val="nil"/>
              <w:left w:val="nil"/>
              <w:bottom w:val="nil"/>
              <w:right w:val="single" w:sz="4" w:space="0" w:color="auto"/>
            </w:tcBorders>
            <w:shd w:val="clear" w:color="auto" w:fill="auto"/>
            <w:noWrap/>
            <w:hideMark/>
          </w:tcPr>
          <w:p w14:paraId="392AC7ED" w14:textId="0E01605C" w:rsidR="001519B7" w:rsidRPr="00CA7244" w:rsidRDefault="00ED73E9" w:rsidP="00030D27">
            <w:pPr>
              <w:spacing w:before="0"/>
              <w:jc w:val="left"/>
              <w:rPr>
                <w:rFonts w:eastAsia="Times New Roman"/>
                <w:b/>
                <w:color w:val="auto"/>
                <w:sz w:val="16"/>
                <w:szCs w:val="16"/>
                <w:lang w:val="en-US"/>
              </w:rPr>
            </w:pPr>
            <w:r>
              <w:rPr>
                <w:b/>
                <w:bCs/>
                <w:sz w:val="16"/>
                <w:szCs w:val="16"/>
              </w:rPr>
              <w:t>0.03</w:t>
            </w:r>
            <w:r w:rsidR="001519B7" w:rsidRPr="00CA7244">
              <w:rPr>
                <w:b/>
                <w:bCs/>
                <w:sz w:val="16"/>
                <w:szCs w:val="16"/>
              </w:rPr>
              <w:t>,0.</w:t>
            </w:r>
            <w:r>
              <w:rPr>
                <w:b/>
                <w:bCs/>
                <w:sz w:val="16"/>
                <w:szCs w:val="16"/>
              </w:rPr>
              <w:t>49</w:t>
            </w:r>
          </w:p>
        </w:tc>
      </w:tr>
      <w:tr w:rsidR="00CB570B" w:rsidRPr="00CA7244" w14:paraId="2ACC47BA" w14:textId="77777777" w:rsidTr="00030D27">
        <w:trPr>
          <w:trHeight w:val="416"/>
          <w:jc w:val="center"/>
        </w:trPr>
        <w:tc>
          <w:tcPr>
            <w:tcW w:w="680" w:type="pct"/>
            <w:tcBorders>
              <w:top w:val="nil"/>
              <w:left w:val="single" w:sz="4" w:space="0" w:color="auto"/>
              <w:bottom w:val="nil"/>
              <w:right w:val="nil"/>
            </w:tcBorders>
            <w:shd w:val="clear" w:color="auto" w:fill="auto"/>
            <w:noWrap/>
          </w:tcPr>
          <w:p w14:paraId="56730676" w14:textId="1643ED73" w:rsidR="00803774" w:rsidRPr="00CA7244" w:rsidRDefault="00803774" w:rsidP="00030D27">
            <w:pPr>
              <w:spacing w:before="0"/>
              <w:jc w:val="left"/>
              <w:rPr>
                <w:rFonts w:eastAsia="Times New Roman"/>
                <w:iCs/>
                <w:color w:val="auto"/>
                <w:sz w:val="16"/>
                <w:szCs w:val="16"/>
                <w:lang w:val="en-US"/>
              </w:rPr>
            </w:pPr>
          </w:p>
        </w:tc>
        <w:tc>
          <w:tcPr>
            <w:tcW w:w="2308" w:type="pct"/>
            <w:tcBorders>
              <w:top w:val="nil"/>
              <w:left w:val="nil"/>
              <w:bottom w:val="nil"/>
              <w:right w:val="nil"/>
            </w:tcBorders>
            <w:shd w:val="clear" w:color="auto" w:fill="auto"/>
            <w:noWrap/>
          </w:tcPr>
          <w:p w14:paraId="15CBBCDA" w14:textId="0F3A3B34" w:rsidR="00803774" w:rsidRPr="00CA7244" w:rsidRDefault="00803774" w:rsidP="00030D27">
            <w:pPr>
              <w:spacing w:before="0"/>
              <w:jc w:val="left"/>
              <w:rPr>
                <w:rFonts w:eastAsia="Times New Roman"/>
                <w:bCs/>
                <w:color w:val="auto"/>
                <w:sz w:val="16"/>
                <w:szCs w:val="16"/>
                <w:lang w:val="en-US"/>
              </w:rPr>
            </w:pPr>
            <w:r w:rsidRPr="00CA7244">
              <w:rPr>
                <w:rFonts w:eastAsia="Times New Roman"/>
                <w:bCs/>
                <w:color w:val="auto"/>
                <w:sz w:val="16"/>
                <w:szCs w:val="16"/>
                <w:lang w:val="en-US"/>
              </w:rPr>
              <w:t>DSB</w:t>
            </w:r>
          </w:p>
        </w:tc>
        <w:tc>
          <w:tcPr>
            <w:tcW w:w="603" w:type="pct"/>
            <w:tcBorders>
              <w:top w:val="nil"/>
              <w:left w:val="nil"/>
              <w:bottom w:val="nil"/>
              <w:right w:val="nil"/>
            </w:tcBorders>
            <w:shd w:val="clear" w:color="auto" w:fill="auto"/>
            <w:noWrap/>
          </w:tcPr>
          <w:p w14:paraId="4418C4D2" w14:textId="47FDF71B" w:rsidR="00803774" w:rsidRPr="00CA7244" w:rsidRDefault="00803774" w:rsidP="00030D27">
            <w:pPr>
              <w:spacing w:before="0"/>
              <w:jc w:val="left"/>
              <w:rPr>
                <w:sz w:val="16"/>
                <w:szCs w:val="16"/>
              </w:rPr>
            </w:pPr>
            <w:r w:rsidRPr="00CA7244">
              <w:rPr>
                <w:sz w:val="16"/>
                <w:szCs w:val="16"/>
              </w:rPr>
              <w:t>-0.04</w:t>
            </w:r>
          </w:p>
        </w:tc>
        <w:tc>
          <w:tcPr>
            <w:tcW w:w="464" w:type="pct"/>
            <w:tcBorders>
              <w:top w:val="nil"/>
              <w:left w:val="nil"/>
              <w:bottom w:val="nil"/>
              <w:right w:val="nil"/>
            </w:tcBorders>
            <w:shd w:val="clear" w:color="auto" w:fill="auto"/>
            <w:noWrap/>
          </w:tcPr>
          <w:p w14:paraId="05438D07" w14:textId="74FDB001" w:rsidR="00803774" w:rsidRPr="00CA7244" w:rsidRDefault="00803774" w:rsidP="00030D27">
            <w:pPr>
              <w:spacing w:before="0"/>
              <w:jc w:val="left"/>
              <w:rPr>
                <w:sz w:val="16"/>
                <w:szCs w:val="16"/>
              </w:rPr>
            </w:pPr>
            <w:r w:rsidRPr="00CA7244">
              <w:rPr>
                <w:sz w:val="16"/>
                <w:szCs w:val="16"/>
              </w:rPr>
              <w:t>0.67</w:t>
            </w:r>
          </w:p>
        </w:tc>
        <w:tc>
          <w:tcPr>
            <w:tcW w:w="945" w:type="pct"/>
            <w:tcBorders>
              <w:top w:val="nil"/>
              <w:left w:val="nil"/>
              <w:bottom w:val="nil"/>
              <w:right w:val="single" w:sz="4" w:space="0" w:color="auto"/>
            </w:tcBorders>
            <w:shd w:val="clear" w:color="auto" w:fill="auto"/>
            <w:noWrap/>
          </w:tcPr>
          <w:p w14:paraId="0B85E5C4" w14:textId="43561777" w:rsidR="00803774" w:rsidRPr="00CA7244" w:rsidRDefault="00803774" w:rsidP="00030D27">
            <w:pPr>
              <w:spacing w:before="0"/>
              <w:jc w:val="left"/>
              <w:rPr>
                <w:sz w:val="16"/>
                <w:szCs w:val="16"/>
              </w:rPr>
            </w:pPr>
            <w:r w:rsidRPr="00CA7244">
              <w:rPr>
                <w:sz w:val="16"/>
                <w:szCs w:val="16"/>
              </w:rPr>
              <w:t>-0.17,0.27</w:t>
            </w:r>
          </w:p>
        </w:tc>
      </w:tr>
      <w:tr w:rsidR="00CB570B" w:rsidRPr="00CA7244" w14:paraId="57123C9C" w14:textId="77777777" w:rsidTr="00030D27">
        <w:trPr>
          <w:trHeight w:val="416"/>
          <w:jc w:val="center"/>
        </w:trPr>
        <w:tc>
          <w:tcPr>
            <w:tcW w:w="680" w:type="pct"/>
            <w:tcBorders>
              <w:left w:val="single" w:sz="4" w:space="0" w:color="auto"/>
              <w:right w:val="nil"/>
            </w:tcBorders>
            <w:shd w:val="clear" w:color="auto" w:fill="auto"/>
            <w:noWrap/>
          </w:tcPr>
          <w:p w14:paraId="51FCB997"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6768B1A4" w14:textId="77777777" w:rsidR="00803774" w:rsidRPr="00CA7244" w:rsidRDefault="00803774" w:rsidP="00030D27">
            <w:pPr>
              <w:spacing w:before="0"/>
              <w:jc w:val="left"/>
              <w:rPr>
                <w:rFonts w:eastAsia="Times New Roman"/>
                <w:color w:val="auto"/>
                <w:sz w:val="16"/>
                <w:szCs w:val="16"/>
                <w:lang w:val="en-US" w:eastAsia="en-GB"/>
              </w:rPr>
            </w:pPr>
          </w:p>
        </w:tc>
        <w:tc>
          <w:tcPr>
            <w:tcW w:w="603" w:type="pct"/>
            <w:tcBorders>
              <w:left w:val="nil"/>
              <w:right w:val="nil"/>
            </w:tcBorders>
            <w:shd w:val="clear" w:color="auto" w:fill="auto"/>
            <w:noWrap/>
          </w:tcPr>
          <w:p w14:paraId="3673CDF9" w14:textId="77777777" w:rsidR="00803774" w:rsidRPr="00CA7244" w:rsidRDefault="00803774" w:rsidP="00030D27">
            <w:pPr>
              <w:spacing w:before="0"/>
              <w:jc w:val="left"/>
              <w:rPr>
                <w:b/>
                <w:bCs/>
                <w:sz w:val="16"/>
                <w:szCs w:val="16"/>
              </w:rPr>
            </w:pPr>
          </w:p>
        </w:tc>
        <w:tc>
          <w:tcPr>
            <w:tcW w:w="464" w:type="pct"/>
            <w:tcBorders>
              <w:left w:val="nil"/>
              <w:right w:val="nil"/>
            </w:tcBorders>
            <w:shd w:val="clear" w:color="auto" w:fill="auto"/>
            <w:noWrap/>
          </w:tcPr>
          <w:p w14:paraId="13B1AACB" w14:textId="77777777" w:rsidR="00803774" w:rsidRPr="00CA7244" w:rsidRDefault="00803774" w:rsidP="00030D27">
            <w:pPr>
              <w:spacing w:before="0"/>
              <w:jc w:val="left"/>
              <w:rPr>
                <w:b/>
                <w:bCs/>
                <w:sz w:val="16"/>
                <w:szCs w:val="16"/>
              </w:rPr>
            </w:pPr>
          </w:p>
        </w:tc>
        <w:tc>
          <w:tcPr>
            <w:tcW w:w="945" w:type="pct"/>
            <w:tcBorders>
              <w:left w:val="nil"/>
              <w:right w:val="single" w:sz="4" w:space="0" w:color="auto"/>
            </w:tcBorders>
            <w:shd w:val="clear" w:color="auto" w:fill="auto"/>
            <w:noWrap/>
          </w:tcPr>
          <w:p w14:paraId="21F1DF5A" w14:textId="77777777" w:rsidR="00803774" w:rsidRPr="00CA7244" w:rsidRDefault="00803774" w:rsidP="00030D27">
            <w:pPr>
              <w:spacing w:before="0"/>
              <w:jc w:val="left"/>
              <w:rPr>
                <w:b/>
                <w:bCs/>
                <w:sz w:val="16"/>
                <w:szCs w:val="16"/>
              </w:rPr>
            </w:pPr>
          </w:p>
        </w:tc>
      </w:tr>
      <w:tr w:rsidR="00CB570B" w:rsidRPr="00CA7244" w14:paraId="5C6C988F" w14:textId="77777777" w:rsidTr="00030D27">
        <w:trPr>
          <w:trHeight w:val="416"/>
          <w:jc w:val="center"/>
        </w:trPr>
        <w:tc>
          <w:tcPr>
            <w:tcW w:w="2988" w:type="pct"/>
            <w:gridSpan w:val="2"/>
            <w:tcBorders>
              <w:left w:val="single" w:sz="4" w:space="0" w:color="auto"/>
              <w:right w:val="nil"/>
            </w:tcBorders>
            <w:shd w:val="clear" w:color="auto" w:fill="auto"/>
            <w:noWrap/>
          </w:tcPr>
          <w:p w14:paraId="1ACBF657" w14:textId="5E535AB5" w:rsidR="00803774" w:rsidRPr="00CA7244" w:rsidRDefault="00803774" w:rsidP="00030D27">
            <w:pPr>
              <w:spacing w:before="0"/>
              <w:jc w:val="left"/>
              <w:rPr>
                <w:rFonts w:eastAsia="Times New Roman"/>
                <w:b/>
                <w:color w:val="auto"/>
                <w:sz w:val="16"/>
                <w:szCs w:val="16"/>
                <w:lang w:val="en-US" w:eastAsia="en-GB"/>
              </w:rPr>
            </w:pPr>
            <w:r w:rsidRPr="00CA7244">
              <w:rPr>
                <w:rFonts w:eastAsia="Times New Roman"/>
                <w:b/>
                <w:bCs/>
                <w:sz w:val="16"/>
                <w:szCs w:val="16"/>
                <w:lang w:eastAsia="en-GB"/>
              </w:rPr>
              <w:t>Cued continuous performance test</w:t>
            </w:r>
          </w:p>
        </w:tc>
        <w:tc>
          <w:tcPr>
            <w:tcW w:w="603" w:type="pct"/>
            <w:tcBorders>
              <w:left w:val="nil"/>
              <w:right w:val="nil"/>
            </w:tcBorders>
            <w:shd w:val="clear" w:color="auto" w:fill="auto"/>
            <w:noWrap/>
          </w:tcPr>
          <w:p w14:paraId="1DB625F3" w14:textId="77777777" w:rsidR="00803774" w:rsidRPr="00CA7244" w:rsidRDefault="00803774" w:rsidP="00030D27">
            <w:pPr>
              <w:spacing w:before="0"/>
              <w:jc w:val="left"/>
              <w:rPr>
                <w:b/>
                <w:bCs/>
                <w:sz w:val="16"/>
                <w:szCs w:val="16"/>
              </w:rPr>
            </w:pPr>
          </w:p>
        </w:tc>
        <w:tc>
          <w:tcPr>
            <w:tcW w:w="464" w:type="pct"/>
            <w:tcBorders>
              <w:left w:val="nil"/>
              <w:right w:val="nil"/>
            </w:tcBorders>
            <w:shd w:val="clear" w:color="auto" w:fill="auto"/>
            <w:noWrap/>
          </w:tcPr>
          <w:p w14:paraId="6FDA938C" w14:textId="77777777" w:rsidR="00803774" w:rsidRPr="00CA7244" w:rsidRDefault="00803774" w:rsidP="00030D27">
            <w:pPr>
              <w:spacing w:before="0"/>
              <w:jc w:val="left"/>
              <w:rPr>
                <w:b/>
                <w:bCs/>
                <w:sz w:val="16"/>
                <w:szCs w:val="16"/>
              </w:rPr>
            </w:pPr>
          </w:p>
        </w:tc>
        <w:tc>
          <w:tcPr>
            <w:tcW w:w="945" w:type="pct"/>
            <w:tcBorders>
              <w:left w:val="nil"/>
              <w:right w:val="single" w:sz="4" w:space="0" w:color="auto"/>
            </w:tcBorders>
            <w:shd w:val="clear" w:color="auto" w:fill="auto"/>
            <w:noWrap/>
          </w:tcPr>
          <w:p w14:paraId="2F5B4B82" w14:textId="77777777" w:rsidR="00803774" w:rsidRPr="00CA7244" w:rsidRDefault="00803774" w:rsidP="00030D27">
            <w:pPr>
              <w:spacing w:before="0"/>
              <w:jc w:val="left"/>
              <w:rPr>
                <w:b/>
                <w:bCs/>
                <w:sz w:val="16"/>
                <w:szCs w:val="16"/>
              </w:rPr>
            </w:pPr>
          </w:p>
        </w:tc>
      </w:tr>
      <w:tr w:rsidR="00CB570B" w:rsidRPr="00CA7244" w14:paraId="2173D0D3" w14:textId="77777777" w:rsidTr="00030D27">
        <w:trPr>
          <w:trHeight w:val="416"/>
          <w:jc w:val="center"/>
        </w:trPr>
        <w:tc>
          <w:tcPr>
            <w:tcW w:w="680" w:type="pct"/>
            <w:tcBorders>
              <w:left w:val="single" w:sz="4" w:space="0" w:color="auto"/>
              <w:right w:val="nil"/>
            </w:tcBorders>
            <w:shd w:val="clear" w:color="auto" w:fill="auto"/>
            <w:noWrap/>
          </w:tcPr>
          <w:p w14:paraId="5502679F"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584E233D" w14:textId="41481D13"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CNV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48AACB41" w14:textId="380CF594" w:rsidR="00803774" w:rsidRPr="00CA7244" w:rsidRDefault="00803774" w:rsidP="00030D27">
            <w:pPr>
              <w:spacing w:before="0"/>
              <w:jc w:val="left"/>
              <w:rPr>
                <w:b/>
                <w:bCs/>
                <w:sz w:val="16"/>
                <w:szCs w:val="16"/>
              </w:rPr>
            </w:pPr>
            <w:r w:rsidRPr="00CA7244">
              <w:rPr>
                <w:b/>
                <w:bCs/>
                <w:sz w:val="16"/>
                <w:szCs w:val="16"/>
              </w:rPr>
              <w:t>0.59</w:t>
            </w:r>
          </w:p>
        </w:tc>
        <w:tc>
          <w:tcPr>
            <w:tcW w:w="464" w:type="pct"/>
            <w:tcBorders>
              <w:left w:val="nil"/>
              <w:right w:val="nil"/>
            </w:tcBorders>
            <w:shd w:val="clear" w:color="auto" w:fill="auto"/>
            <w:noWrap/>
          </w:tcPr>
          <w:p w14:paraId="5B444C43" w14:textId="6435FA5E" w:rsidR="00803774" w:rsidRPr="00CA7244" w:rsidRDefault="00803774" w:rsidP="00030D27">
            <w:pPr>
              <w:spacing w:before="0"/>
              <w:jc w:val="left"/>
              <w:rPr>
                <w:b/>
                <w:bCs/>
                <w:sz w:val="16"/>
                <w:szCs w:val="16"/>
              </w:rPr>
            </w:pPr>
            <w:r w:rsidRPr="00CA7244">
              <w:rPr>
                <w:b/>
                <w:bCs/>
                <w:sz w:val="16"/>
                <w:szCs w:val="16"/>
              </w:rPr>
              <w:t>0.03</w:t>
            </w:r>
          </w:p>
        </w:tc>
        <w:tc>
          <w:tcPr>
            <w:tcW w:w="945" w:type="pct"/>
            <w:tcBorders>
              <w:left w:val="nil"/>
              <w:right w:val="single" w:sz="4" w:space="0" w:color="auto"/>
            </w:tcBorders>
            <w:shd w:val="clear" w:color="auto" w:fill="auto"/>
            <w:noWrap/>
          </w:tcPr>
          <w:p w14:paraId="662E8366" w14:textId="05D2CC8E" w:rsidR="00803774" w:rsidRPr="00CA7244" w:rsidRDefault="00803774" w:rsidP="00030D27">
            <w:pPr>
              <w:spacing w:before="0"/>
              <w:jc w:val="left"/>
              <w:rPr>
                <w:b/>
                <w:bCs/>
                <w:sz w:val="16"/>
                <w:szCs w:val="16"/>
              </w:rPr>
            </w:pPr>
            <w:r w:rsidRPr="00CA7244">
              <w:rPr>
                <w:b/>
                <w:bCs/>
                <w:sz w:val="16"/>
                <w:szCs w:val="16"/>
              </w:rPr>
              <w:t>0.06, 1.12</w:t>
            </w:r>
          </w:p>
        </w:tc>
      </w:tr>
      <w:tr w:rsidR="00CB570B" w:rsidRPr="00CA7244" w14:paraId="157564A7" w14:textId="77777777" w:rsidTr="00030D27">
        <w:trPr>
          <w:trHeight w:val="416"/>
          <w:jc w:val="center"/>
        </w:trPr>
        <w:tc>
          <w:tcPr>
            <w:tcW w:w="680" w:type="pct"/>
            <w:tcBorders>
              <w:left w:val="single" w:sz="4" w:space="0" w:color="auto"/>
              <w:right w:val="nil"/>
            </w:tcBorders>
            <w:shd w:val="clear" w:color="auto" w:fill="auto"/>
            <w:noWrap/>
          </w:tcPr>
          <w:p w14:paraId="2F4E406B"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680A14C5" w14:textId="069049D5"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Go-P3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65CBC9D7" w14:textId="6B11F819" w:rsidR="00803774" w:rsidRPr="00CA7244" w:rsidRDefault="00803774" w:rsidP="00030D27">
            <w:pPr>
              <w:spacing w:before="0"/>
              <w:jc w:val="left"/>
              <w:rPr>
                <w:b/>
                <w:bCs/>
                <w:sz w:val="16"/>
                <w:szCs w:val="16"/>
              </w:rPr>
            </w:pPr>
            <w:r w:rsidRPr="00CA7244">
              <w:rPr>
                <w:b/>
                <w:bCs/>
                <w:sz w:val="16"/>
                <w:szCs w:val="16"/>
              </w:rPr>
              <w:t>-0.32</w:t>
            </w:r>
          </w:p>
        </w:tc>
        <w:tc>
          <w:tcPr>
            <w:tcW w:w="464" w:type="pct"/>
            <w:tcBorders>
              <w:left w:val="nil"/>
              <w:right w:val="nil"/>
            </w:tcBorders>
            <w:shd w:val="clear" w:color="auto" w:fill="auto"/>
            <w:noWrap/>
          </w:tcPr>
          <w:p w14:paraId="560B3C1C" w14:textId="2B67DA23" w:rsidR="00803774" w:rsidRPr="00CA7244" w:rsidRDefault="00803774" w:rsidP="00030D27">
            <w:pPr>
              <w:spacing w:before="0"/>
              <w:jc w:val="left"/>
              <w:rPr>
                <w:b/>
                <w:bCs/>
                <w:sz w:val="16"/>
                <w:szCs w:val="16"/>
              </w:rPr>
            </w:pPr>
            <w:r w:rsidRPr="00CA7244">
              <w:rPr>
                <w:b/>
                <w:bCs/>
                <w:sz w:val="16"/>
                <w:szCs w:val="16"/>
              </w:rPr>
              <w:t>0.02</w:t>
            </w:r>
          </w:p>
        </w:tc>
        <w:tc>
          <w:tcPr>
            <w:tcW w:w="945" w:type="pct"/>
            <w:tcBorders>
              <w:left w:val="nil"/>
              <w:right w:val="single" w:sz="4" w:space="0" w:color="auto"/>
            </w:tcBorders>
            <w:shd w:val="clear" w:color="auto" w:fill="auto"/>
            <w:noWrap/>
          </w:tcPr>
          <w:p w14:paraId="080DD372" w14:textId="3DA67E80" w:rsidR="00803774" w:rsidRPr="00CA7244" w:rsidRDefault="00803774" w:rsidP="00030D27">
            <w:pPr>
              <w:spacing w:before="0"/>
              <w:jc w:val="left"/>
              <w:rPr>
                <w:b/>
                <w:bCs/>
                <w:sz w:val="16"/>
                <w:szCs w:val="16"/>
              </w:rPr>
            </w:pPr>
            <w:r w:rsidRPr="00CA7244">
              <w:rPr>
                <w:b/>
                <w:bCs/>
                <w:sz w:val="16"/>
                <w:szCs w:val="16"/>
              </w:rPr>
              <w:t>-0.58,-0.06</w:t>
            </w:r>
          </w:p>
        </w:tc>
      </w:tr>
      <w:tr w:rsidR="00CB570B" w:rsidRPr="00CA7244" w14:paraId="662B3394" w14:textId="77777777" w:rsidTr="00030D27">
        <w:trPr>
          <w:trHeight w:val="416"/>
          <w:jc w:val="center"/>
        </w:trPr>
        <w:tc>
          <w:tcPr>
            <w:tcW w:w="680" w:type="pct"/>
            <w:tcBorders>
              <w:left w:val="single" w:sz="4" w:space="0" w:color="auto"/>
              <w:right w:val="nil"/>
            </w:tcBorders>
            <w:shd w:val="clear" w:color="auto" w:fill="auto"/>
            <w:noWrap/>
          </w:tcPr>
          <w:p w14:paraId="150E633C"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6401AEB7" w14:textId="374FBC6F"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NoGo-P3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2F988BFB" w14:textId="68555C2A" w:rsidR="00803774" w:rsidRPr="00CA7244" w:rsidRDefault="00803774" w:rsidP="00030D27">
            <w:pPr>
              <w:spacing w:before="0"/>
              <w:jc w:val="left"/>
              <w:rPr>
                <w:b/>
                <w:bCs/>
                <w:sz w:val="16"/>
                <w:szCs w:val="16"/>
              </w:rPr>
            </w:pPr>
            <w:r w:rsidRPr="00CA7244">
              <w:rPr>
                <w:sz w:val="16"/>
                <w:szCs w:val="16"/>
              </w:rPr>
              <w:t>-0.02</w:t>
            </w:r>
          </w:p>
        </w:tc>
        <w:tc>
          <w:tcPr>
            <w:tcW w:w="464" w:type="pct"/>
            <w:tcBorders>
              <w:left w:val="nil"/>
              <w:right w:val="nil"/>
            </w:tcBorders>
            <w:shd w:val="clear" w:color="auto" w:fill="auto"/>
            <w:noWrap/>
          </w:tcPr>
          <w:p w14:paraId="0A3EEC6F" w14:textId="2DBD9692" w:rsidR="00803774" w:rsidRPr="00CA7244" w:rsidRDefault="00803774" w:rsidP="00030D27">
            <w:pPr>
              <w:spacing w:before="0"/>
              <w:jc w:val="left"/>
              <w:rPr>
                <w:b/>
                <w:bCs/>
                <w:sz w:val="16"/>
                <w:szCs w:val="16"/>
              </w:rPr>
            </w:pPr>
            <w:r w:rsidRPr="00CA7244">
              <w:rPr>
                <w:sz w:val="16"/>
                <w:szCs w:val="16"/>
              </w:rPr>
              <w:t>0.86</w:t>
            </w:r>
          </w:p>
        </w:tc>
        <w:tc>
          <w:tcPr>
            <w:tcW w:w="945" w:type="pct"/>
            <w:tcBorders>
              <w:left w:val="nil"/>
              <w:right w:val="single" w:sz="4" w:space="0" w:color="auto"/>
            </w:tcBorders>
            <w:shd w:val="clear" w:color="auto" w:fill="auto"/>
            <w:noWrap/>
          </w:tcPr>
          <w:p w14:paraId="2B012668" w14:textId="60FFEE50" w:rsidR="00803774" w:rsidRPr="00CA7244" w:rsidRDefault="00803774" w:rsidP="00030D27">
            <w:pPr>
              <w:spacing w:before="0"/>
              <w:jc w:val="left"/>
              <w:rPr>
                <w:b/>
                <w:bCs/>
                <w:sz w:val="16"/>
                <w:szCs w:val="16"/>
              </w:rPr>
            </w:pPr>
            <w:r w:rsidRPr="00CA7244">
              <w:rPr>
                <w:sz w:val="16"/>
                <w:szCs w:val="16"/>
              </w:rPr>
              <w:t>-0.26,-0.22</w:t>
            </w:r>
          </w:p>
        </w:tc>
      </w:tr>
      <w:tr w:rsidR="00CB570B" w:rsidRPr="00CA7244" w14:paraId="70095E97" w14:textId="77777777" w:rsidTr="00030D27">
        <w:trPr>
          <w:trHeight w:val="416"/>
          <w:jc w:val="center"/>
        </w:trPr>
        <w:tc>
          <w:tcPr>
            <w:tcW w:w="680" w:type="pct"/>
            <w:tcBorders>
              <w:left w:val="single" w:sz="4" w:space="0" w:color="auto"/>
              <w:right w:val="nil"/>
            </w:tcBorders>
            <w:shd w:val="clear" w:color="auto" w:fill="auto"/>
            <w:noWrap/>
          </w:tcPr>
          <w:p w14:paraId="74F73EF5"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4C372215" w14:textId="77777777" w:rsidR="00803774" w:rsidRPr="00CA7244" w:rsidRDefault="00803774" w:rsidP="00030D27">
            <w:pPr>
              <w:spacing w:before="0"/>
              <w:jc w:val="left"/>
              <w:rPr>
                <w:rFonts w:eastAsia="Times New Roman"/>
                <w:color w:val="auto"/>
                <w:sz w:val="16"/>
                <w:szCs w:val="16"/>
                <w:lang w:val="en-US" w:eastAsia="en-GB"/>
              </w:rPr>
            </w:pPr>
          </w:p>
        </w:tc>
        <w:tc>
          <w:tcPr>
            <w:tcW w:w="603" w:type="pct"/>
            <w:tcBorders>
              <w:left w:val="nil"/>
              <w:right w:val="nil"/>
            </w:tcBorders>
            <w:shd w:val="clear" w:color="auto" w:fill="auto"/>
            <w:noWrap/>
          </w:tcPr>
          <w:p w14:paraId="7A235AD0" w14:textId="77777777" w:rsidR="00803774" w:rsidRPr="00CA7244" w:rsidRDefault="00803774" w:rsidP="00030D27">
            <w:pPr>
              <w:spacing w:before="0"/>
              <w:jc w:val="left"/>
              <w:rPr>
                <w:sz w:val="16"/>
                <w:szCs w:val="16"/>
              </w:rPr>
            </w:pPr>
          </w:p>
        </w:tc>
        <w:tc>
          <w:tcPr>
            <w:tcW w:w="464" w:type="pct"/>
            <w:tcBorders>
              <w:left w:val="nil"/>
              <w:right w:val="nil"/>
            </w:tcBorders>
            <w:shd w:val="clear" w:color="auto" w:fill="auto"/>
            <w:noWrap/>
          </w:tcPr>
          <w:p w14:paraId="395FDFF0" w14:textId="77777777" w:rsidR="00803774" w:rsidRPr="00CA7244" w:rsidRDefault="00803774" w:rsidP="00030D27">
            <w:pPr>
              <w:spacing w:before="0"/>
              <w:jc w:val="left"/>
              <w:rPr>
                <w:sz w:val="16"/>
                <w:szCs w:val="16"/>
              </w:rPr>
            </w:pPr>
          </w:p>
        </w:tc>
        <w:tc>
          <w:tcPr>
            <w:tcW w:w="945" w:type="pct"/>
            <w:tcBorders>
              <w:left w:val="nil"/>
              <w:right w:val="single" w:sz="4" w:space="0" w:color="auto"/>
            </w:tcBorders>
            <w:shd w:val="clear" w:color="auto" w:fill="auto"/>
            <w:noWrap/>
          </w:tcPr>
          <w:p w14:paraId="2E1ED620" w14:textId="77777777" w:rsidR="00803774" w:rsidRPr="00CA7244" w:rsidRDefault="00803774" w:rsidP="00030D27">
            <w:pPr>
              <w:spacing w:before="0"/>
              <w:jc w:val="left"/>
              <w:rPr>
                <w:sz w:val="16"/>
                <w:szCs w:val="16"/>
              </w:rPr>
            </w:pPr>
          </w:p>
        </w:tc>
      </w:tr>
      <w:tr w:rsidR="00CB570B" w:rsidRPr="00CA7244" w14:paraId="64D41284" w14:textId="77777777" w:rsidTr="00030D27">
        <w:trPr>
          <w:trHeight w:val="81"/>
          <w:jc w:val="center"/>
        </w:trPr>
        <w:tc>
          <w:tcPr>
            <w:tcW w:w="2988" w:type="pct"/>
            <w:gridSpan w:val="2"/>
            <w:tcBorders>
              <w:left w:val="single" w:sz="4" w:space="0" w:color="auto"/>
              <w:right w:val="nil"/>
            </w:tcBorders>
            <w:shd w:val="clear" w:color="auto" w:fill="auto"/>
            <w:noWrap/>
          </w:tcPr>
          <w:p w14:paraId="0EC740FE" w14:textId="6D993F5E" w:rsidR="00803774" w:rsidRPr="00CA7244" w:rsidRDefault="00803774" w:rsidP="00030D27">
            <w:pPr>
              <w:spacing w:before="0"/>
              <w:jc w:val="left"/>
              <w:rPr>
                <w:rFonts w:eastAsia="Times New Roman"/>
                <w:b/>
                <w:color w:val="auto"/>
                <w:sz w:val="16"/>
                <w:szCs w:val="16"/>
                <w:lang w:val="en-US" w:eastAsia="en-GB"/>
              </w:rPr>
            </w:pPr>
            <w:r w:rsidRPr="00CA7244">
              <w:rPr>
                <w:b/>
                <w:sz w:val="16"/>
                <w:szCs w:val="16"/>
              </w:rPr>
              <w:t>Arrow flanker task</w:t>
            </w:r>
          </w:p>
        </w:tc>
        <w:tc>
          <w:tcPr>
            <w:tcW w:w="603" w:type="pct"/>
            <w:tcBorders>
              <w:left w:val="nil"/>
              <w:right w:val="nil"/>
            </w:tcBorders>
            <w:shd w:val="clear" w:color="auto" w:fill="auto"/>
            <w:noWrap/>
          </w:tcPr>
          <w:p w14:paraId="0D151117" w14:textId="77777777" w:rsidR="00803774" w:rsidRPr="00CA7244" w:rsidRDefault="00803774" w:rsidP="00030D27">
            <w:pPr>
              <w:spacing w:before="0"/>
              <w:jc w:val="left"/>
              <w:rPr>
                <w:b/>
                <w:bCs/>
                <w:sz w:val="16"/>
                <w:szCs w:val="16"/>
              </w:rPr>
            </w:pPr>
          </w:p>
        </w:tc>
        <w:tc>
          <w:tcPr>
            <w:tcW w:w="464" w:type="pct"/>
            <w:tcBorders>
              <w:left w:val="nil"/>
              <w:right w:val="nil"/>
            </w:tcBorders>
            <w:shd w:val="clear" w:color="auto" w:fill="auto"/>
            <w:noWrap/>
          </w:tcPr>
          <w:p w14:paraId="7C3D5766" w14:textId="77777777" w:rsidR="00803774" w:rsidRPr="00CA7244" w:rsidRDefault="00803774" w:rsidP="00030D27">
            <w:pPr>
              <w:spacing w:before="0"/>
              <w:jc w:val="left"/>
              <w:rPr>
                <w:b/>
                <w:bCs/>
                <w:sz w:val="16"/>
                <w:szCs w:val="16"/>
              </w:rPr>
            </w:pPr>
          </w:p>
        </w:tc>
        <w:tc>
          <w:tcPr>
            <w:tcW w:w="945" w:type="pct"/>
            <w:tcBorders>
              <w:left w:val="nil"/>
              <w:right w:val="single" w:sz="4" w:space="0" w:color="auto"/>
            </w:tcBorders>
            <w:shd w:val="clear" w:color="auto" w:fill="auto"/>
            <w:noWrap/>
          </w:tcPr>
          <w:p w14:paraId="584EDF29" w14:textId="77777777" w:rsidR="00803774" w:rsidRPr="00CA7244" w:rsidRDefault="00803774" w:rsidP="00030D27">
            <w:pPr>
              <w:spacing w:before="0"/>
              <w:jc w:val="left"/>
              <w:rPr>
                <w:b/>
                <w:bCs/>
                <w:sz w:val="16"/>
                <w:szCs w:val="16"/>
              </w:rPr>
            </w:pPr>
          </w:p>
        </w:tc>
      </w:tr>
      <w:tr w:rsidR="00CB570B" w:rsidRPr="00CA7244" w14:paraId="42E1E1A8" w14:textId="77777777" w:rsidTr="00030D27">
        <w:trPr>
          <w:trHeight w:val="416"/>
          <w:jc w:val="center"/>
        </w:trPr>
        <w:tc>
          <w:tcPr>
            <w:tcW w:w="680" w:type="pct"/>
            <w:tcBorders>
              <w:left w:val="single" w:sz="4" w:space="0" w:color="auto"/>
              <w:right w:val="nil"/>
            </w:tcBorders>
            <w:shd w:val="clear" w:color="auto" w:fill="auto"/>
            <w:noWrap/>
          </w:tcPr>
          <w:p w14:paraId="3DA383F7"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450A6343" w14:textId="55665AD6"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N2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3A8ED496" w14:textId="4F49037D" w:rsidR="00803774" w:rsidRPr="00CA7244" w:rsidRDefault="00803774" w:rsidP="00030D27">
            <w:pPr>
              <w:spacing w:before="0"/>
              <w:jc w:val="left"/>
              <w:rPr>
                <w:b/>
                <w:bCs/>
                <w:sz w:val="16"/>
                <w:szCs w:val="16"/>
              </w:rPr>
            </w:pPr>
            <w:r w:rsidRPr="00CA7244">
              <w:rPr>
                <w:b/>
                <w:bCs/>
                <w:sz w:val="16"/>
                <w:szCs w:val="16"/>
              </w:rPr>
              <w:t>0.27</w:t>
            </w:r>
          </w:p>
        </w:tc>
        <w:tc>
          <w:tcPr>
            <w:tcW w:w="464" w:type="pct"/>
            <w:tcBorders>
              <w:left w:val="nil"/>
              <w:right w:val="nil"/>
            </w:tcBorders>
            <w:shd w:val="clear" w:color="auto" w:fill="auto"/>
            <w:noWrap/>
          </w:tcPr>
          <w:p w14:paraId="147E50C4" w14:textId="3F17A342" w:rsidR="00803774" w:rsidRPr="00CA7244" w:rsidRDefault="00803774" w:rsidP="00030D27">
            <w:pPr>
              <w:spacing w:before="0"/>
              <w:jc w:val="left"/>
              <w:rPr>
                <w:b/>
                <w:bCs/>
                <w:sz w:val="16"/>
                <w:szCs w:val="16"/>
              </w:rPr>
            </w:pPr>
            <w:r w:rsidRPr="00CA7244">
              <w:rPr>
                <w:b/>
                <w:bCs/>
                <w:sz w:val="16"/>
                <w:szCs w:val="16"/>
              </w:rPr>
              <w:t>0.04</w:t>
            </w:r>
          </w:p>
        </w:tc>
        <w:tc>
          <w:tcPr>
            <w:tcW w:w="945" w:type="pct"/>
            <w:tcBorders>
              <w:left w:val="nil"/>
              <w:right w:val="single" w:sz="4" w:space="0" w:color="auto"/>
            </w:tcBorders>
            <w:shd w:val="clear" w:color="auto" w:fill="auto"/>
            <w:noWrap/>
          </w:tcPr>
          <w:p w14:paraId="4CED339D" w14:textId="6C6F68E8" w:rsidR="00803774" w:rsidRPr="00CA7244" w:rsidRDefault="00803774" w:rsidP="00030D27">
            <w:pPr>
              <w:spacing w:before="0"/>
              <w:jc w:val="left"/>
              <w:rPr>
                <w:b/>
                <w:bCs/>
                <w:sz w:val="16"/>
                <w:szCs w:val="16"/>
              </w:rPr>
            </w:pPr>
            <w:r w:rsidRPr="00CA7244">
              <w:rPr>
                <w:b/>
                <w:bCs/>
                <w:sz w:val="16"/>
                <w:szCs w:val="16"/>
              </w:rPr>
              <w:t>0.01,0.54</w:t>
            </w:r>
          </w:p>
        </w:tc>
      </w:tr>
      <w:tr w:rsidR="00CB570B" w:rsidRPr="00CA7244" w14:paraId="128E753F" w14:textId="77777777" w:rsidTr="00030D27">
        <w:trPr>
          <w:trHeight w:val="416"/>
          <w:jc w:val="center"/>
        </w:trPr>
        <w:tc>
          <w:tcPr>
            <w:tcW w:w="680" w:type="pct"/>
            <w:tcBorders>
              <w:left w:val="single" w:sz="4" w:space="0" w:color="auto"/>
              <w:right w:val="nil"/>
            </w:tcBorders>
            <w:shd w:val="clear" w:color="auto" w:fill="auto"/>
            <w:noWrap/>
          </w:tcPr>
          <w:p w14:paraId="2E0BC076"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13E346D6" w14:textId="091879D5"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Pe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11213CA9" w14:textId="7D300084" w:rsidR="00803774" w:rsidRPr="00CA7244" w:rsidRDefault="00803774" w:rsidP="00030D27">
            <w:pPr>
              <w:spacing w:before="0"/>
              <w:jc w:val="left"/>
              <w:rPr>
                <w:b/>
                <w:bCs/>
                <w:sz w:val="16"/>
                <w:szCs w:val="16"/>
              </w:rPr>
            </w:pPr>
            <w:r w:rsidRPr="00CA7244">
              <w:rPr>
                <w:b/>
                <w:bCs/>
                <w:sz w:val="16"/>
                <w:szCs w:val="16"/>
              </w:rPr>
              <w:t>-0.23</w:t>
            </w:r>
          </w:p>
        </w:tc>
        <w:tc>
          <w:tcPr>
            <w:tcW w:w="464" w:type="pct"/>
            <w:tcBorders>
              <w:left w:val="nil"/>
              <w:right w:val="nil"/>
            </w:tcBorders>
            <w:shd w:val="clear" w:color="auto" w:fill="auto"/>
            <w:noWrap/>
          </w:tcPr>
          <w:p w14:paraId="4320ECB8" w14:textId="3590BAAB" w:rsidR="00803774" w:rsidRPr="00CA7244" w:rsidRDefault="00803774" w:rsidP="00030D27">
            <w:pPr>
              <w:spacing w:before="0"/>
              <w:jc w:val="left"/>
              <w:rPr>
                <w:b/>
                <w:bCs/>
                <w:sz w:val="16"/>
                <w:szCs w:val="16"/>
              </w:rPr>
            </w:pPr>
            <w:r w:rsidRPr="00CA7244">
              <w:rPr>
                <w:b/>
                <w:bCs/>
                <w:sz w:val="16"/>
                <w:szCs w:val="16"/>
              </w:rPr>
              <w:t>0.05</w:t>
            </w:r>
          </w:p>
        </w:tc>
        <w:tc>
          <w:tcPr>
            <w:tcW w:w="945" w:type="pct"/>
            <w:tcBorders>
              <w:left w:val="nil"/>
              <w:right w:val="single" w:sz="4" w:space="0" w:color="auto"/>
            </w:tcBorders>
            <w:shd w:val="clear" w:color="auto" w:fill="auto"/>
            <w:noWrap/>
          </w:tcPr>
          <w:p w14:paraId="61263A10" w14:textId="13DF2734" w:rsidR="00803774" w:rsidRPr="00CA7244" w:rsidRDefault="00803774" w:rsidP="00030D27">
            <w:pPr>
              <w:spacing w:before="0"/>
              <w:jc w:val="left"/>
              <w:rPr>
                <w:b/>
                <w:bCs/>
                <w:sz w:val="16"/>
                <w:szCs w:val="16"/>
              </w:rPr>
            </w:pPr>
            <w:r w:rsidRPr="00CA7244">
              <w:rPr>
                <w:b/>
                <w:bCs/>
                <w:sz w:val="16"/>
                <w:szCs w:val="16"/>
              </w:rPr>
              <w:t>-0.46,-0.00</w:t>
            </w:r>
          </w:p>
        </w:tc>
      </w:tr>
      <w:tr w:rsidR="00CB570B" w:rsidRPr="00CA7244" w14:paraId="250FFA54" w14:textId="77777777" w:rsidTr="00030D27">
        <w:trPr>
          <w:trHeight w:val="416"/>
          <w:jc w:val="center"/>
        </w:trPr>
        <w:tc>
          <w:tcPr>
            <w:tcW w:w="680" w:type="pct"/>
            <w:tcBorders>
              <w:left w:val="single" w:sz="4" w:space="0" w:color="auto"/>
              <w:right w:val="nil"/>
            </w:tcBorders>
            <w:shd w:val="clear" w:color="auto" w:fill="auto"/>
            <w:noWrap/>
          </w:tcPr>
          <w:p w14:paraId="2BEA7E20"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5DF54972" w14:textId="72EFAB50"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ERN </w:t>
            </w:r>
            <w:r w:rsidRPr="00CA7244">
              <w:rPr>
                <w:rFonts w:eastAsia="Times New Roman"/>
                <w:sz w:val="16"/>
                <w:szCs w:val="16"/>
                <w:lang w:val="en-US" w:eastAsia="en-GB"/>
              </w:rPr>
              <w:t>(µV)</w:t>
            </w:r>
          </w:p>
        </w:tc>
        <w:tc>
          <w:tcPr>
            <w:tcW w:w="603" w:type="pct"/>
            <w:tcBorders>
              <w:left w:val="nil"/>
              <w:right w:val="nil"/>
            </w:tcBorders>
            <w:shd w:val="clear" w:color="auto" w:fill="auto"/>
            <w:noWrap/>
          </w:tcPr>
          <w:p w14:paraId="260F809E" w14:textId="73F669C5" w:rsidR="00803774" w:rsidRPr="00CA7244" w:rsidRDefault="00803774" w:rsidP="00030D27">
            <w:pPr>
              <w:spacing w:before="0"/>
              <w:jc w:val="left"/>
              <w:rPr>
                <w:b/>
                <w:bCs/>
                <w:sz w:val="16"/>
                <w:szCs w:val="16"/>
              </w:rPr>
            </w:pPr>
            <w:r w:rsidRPr="00CA7244">
              <w:rPr>
                <w:b/>
                <w:bCs/>
                <w:sz w:val="16"/>
                <w:szCs w:val="16"/>
              </w:rPr>
              <w:t>0.28</w:t>
            </w:r>
          </w:p>
        </w:tc>
        <w:tc>
          <w:tcPr>
            <w:tcW w:w="464" w:type="pct"/>
            <w:tcBorders>
              <w:left w:val="nil"/>
              <w:right w:val="nil"/>
            </w:tcBorders>
            <w:shd w:val="clear" w:color="auto" w:fill="auto"/>
            <w:noWrap/>
          </w:tcPr>
          <w:p w14:paraId="3BC5FDF2" w14:textId="4F44B123" w:rsidR="00803774" w:rsidRPr="00CA7244" w:rsidRDefault="00803774" w:rsidP="00030D27">
            <w:pPr>
              <w:spacing w:before="0"/>
              <w:jc w:val="left"/>
              <w:rPr>
                <w:b/>
                <w:bCs/>
                <w:sz w:val="16"/>
                <w:szCs w:val="16"/>
              </w:rPr>
            </w:pPr>
            <w:r w:rsidRPr="00CA7244">
              <w:rPr>
                <w:b/>
                <w:bCs/>
                <w:sz w:val="16"/>
                <w:szCs w:val="16"/>
              </w:rPr>
              <w:t>0.04</w:t>
            </w:r>
          </w:p>
        </w:tc>
        <w:tc>
          <w:tcPr>
            <w:tcW w:w="945" w:type="pct"/>
            <w:tcBorders>
              <w:left w:val="nil"/>
              <w:right w:val="single" w:sz="4" w:space="0" w:color="auto"/>
            </w:tcBorders>
            <w:shd w:val="clear" w:color="auto" w:fill="auto"/>
            <w:noWrap/>
          </w:tcPr>
          <w:p w14:paraId="35AC10DF" w14:textId="6A53AED5" w:rsidR="00803774" w:rsidRPr="00CA7244" w:rsidRDefault="00803774" w:rsidP="00030D27">
            <w:pPr>
              <w:spacing w:before="0"/>
              <w:jc w:val="left"/>
              <w:rPr>
                <w:b/>
                <w:bCs/>
                <w:sz w:val="16"/>
                <w:szCs w:val="16"/>
              </w:rPr>
            </w:pPr>
            <w:r w:rsidRPr="00CA7244">
              <w:rPr>
                <w:b/>
                <w:bCs/>
                <w:sz w:val="16"/>
                <w:szCs w:val="16"/>
              </w:rPr>
              <w:t>0.02,-0.54</w:t>
            </w:r>
          </w:p>
        </w:tc>
      </w:tr>
      <w:tr w:rsidR="006B6F3C" w:rsidRPr="00CA7244" w14:paraId="0649A0BA" w14:textId="77777777" w:rsidTr="00030D27">
        <w:trPr>
          <w:trHeight w:val="416"/>
          <w:jc w:val="center"/>
        </w:trPr>
        <w:tc>
          <w:tcPr>
            <w:tcW w:w="680" w:type="pct"/>
            <w:tcBorders>
              <w:left w:val="single" w:sz="4" w:space="0" w:color="auto"/>
              <w:right w:val="nil"/>
            </w:tcBorders>
            <w:shd w:val="clear" w:color="auto" w:fill="auto"/>
            <w:noWrap/>
          </w:tcPr>
          <w:p w14:paraId="25CECC09" w14:textId="77777777" w:rsidR="006B6F3C" w:rsidRPr="00CA7244" w:rsidRDefault="006B6F3C"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09762DD8" w14:textId="77777777" w:rsidR="006B6F3C" w:rsidRPr="00CA7244" w:rsidRDefault="006B6F3C" w:rsidP="00030D27">
            <w:pPr>
              <w:spacing w:before="0"/>
              <w:jc w:val="left"/>
              <w:rPr>
                <w:rFonts w:eastAsia="Times New Roman"/>
                <w:color w:val="auto"/>
                <w:sz w:val="16"/>
                <w:szCs w:val="16"/>
                <w:lang w:val="en-US" w:eastAsia="en-GB"/>
              </w:rPr>
            </w:pPr>
          </w:p>
        </w:tc>
        <w:tc>
          <w:tcPr>
            <w:tcW w:w="603" w:type="pct"/>
            <w:tcBorders>
              <w:left w:val="nil"/>
              <w:right w:val="nil"/>
            </w:tcBorders>
            <w:shd w:val="clear" w:color="auto" w:fill="auto"/>
            <w:noWrap/>
          </w:tcPr>
          <w:p w14:paraId="15C97044" w14:textId="77777777" w:rsidR="006B6F3C" w:rsidRPr="00CA7244" w:rsidRDefault="006B6F3C" w:rsidP="00030D27">
            <w:pPr>
              <w:spacing w:before="0"/>
              <w:jc w:val="left"/>
              <w:rPr>
                <w:b/>
                <w:bCs/>
                <w:sz w:val="16"/>
                <w:szCs w:val="16"/>
              </w:rPr>
            </w:pPr>
          </w:p>
        </w:tc>
        <w:tc>
          <w:tcPr>
            <w:tcW w:w="464" w:type="pct"/>
            <w:tcBorders>
              <w:left w:val="nil"/>
              <w:right w:val="nil"/>
            </w:tcBorders>
            <w:shd w:val="clear" w:color="auto" w:fill="auto"/>
            <w:noWrap/>
          </w:tcPr>
          <w:p w14:paraId="6BE4AE67" w14:textId="77777777" w:rsidR="006B6F3C" w:rsidRPr="00CA7244" w:rsidRDefault="006B6F3C" w:rsidP="00030D27">
            <w:pPr>
              <w:spacing w:before="0"/>
              <w:jc w:val="left"/>
              <w:rPr>
                <w:b/>
                <w:bCs/>
                <w:sz w:val="16"/>
                <w:szCs w:val="16"/>
              </w:rPr>
            </w:pPr>
          </w:p>
        </w:tc>
        <w:tc>
          <w:tcPr>
            <w:tcW w:w="945" w:type="pct"/>
            <w:tcBorders>
              <w:left w:val="nil"/>
              <w:right w:val="single" w:sz="4" w:space="0" w:color="auto"/>
            </w:tcBorders>
            <w:shd w:val="clear" w:color="auto" w:fill="auto"/>
            <w:noWrap/>
          </w:tcPr>
          <w:p w14:paraId="3F038D1E" w14:textId="77777777" w:rsidR="006B6F3C" w:rsidRPr="00CA7244" w:rsidRDefault="006B6F3C" w:rsidP="00030D27">
            <w:pPr>
              <w:spacing w:before="0"/>
              <w:jc w:val="left"/>
              <w:rPr>
                <w:b/>
                <w:bCs/>
                <w:sz w:val="16"/>
                <w:szCs w:val="16"/>
              </w:rPr>
            </w:pPr>
          </w:p>
        </w:tc>
      </w:tr>
      <w:tr w:rsidR="00CB570B" w:rsidRPr="00CA7244" w14:paraId="6E165756" w14:textId="77777777" w:rsidTr="00030D27">
        <w:trPr>
          <w:trHeight w:val="416"/>
          <w:jc w:val="center"/>
        </w:trPr>
        <w:tc>
          <w:tcPr>
            <w:tcW w:w="680" w:type="pct"/>
            <w:tcBorders>
              <w:left w:val="single" w:sz="4" w:space="0" w:color="auto"/>
              <w:right w:val="nil"/>
            </w:tcBorders>
            <w:shd w:val="clear" w:color="auto" w:fill="auto"/>
            <w:noWrap/>
          </w:tcPr>
          <w:p w14:paraId="4FA6B5C3" w14:textId="18D49C9C" w:rsidR="00803774" w:rsidRPr="00CA7244" w:rsidRDefault="00F42CD3" w:rsidP="00030D27">
            <w:pPr>
              <w:spacing w:before="0"/>
              <w:jc w:val="left"/>
              <w:rPr>
                <w:rFonts w:eastAsia="Times New Roman"/>
                <w:b/>
                <w:iCs/>
                <w:color w:val="auto"/>
                <w:sz w:val="16"/>
                <w:szCs w:val="16"/>
                <w:lang w:val="en-US" w:eastAsia="en-GB"/>
              </w:rPr>
            </w:pPr>
            <w:r w:rsidRPr="00CA7244">
              <w:rPr>
                <w:rFonts w:eastAsia="Times New Roman"/>
                <w:b/>
                <w:iCs/>
                <w:color w:val="auto"/>
                <w:sz w:val="16"/>
                <w:szCs w:val="16"/>
                <w:lang w:val="en-US" w:eastAsia="en-GB"/>
              </w:rPr>
              <w:t>The f</w:t>
            </w:r>
            <w:r w:rsidR="00803774" w:rsidRPr="00CA7244">
              <w:rPr>
                <w:rFonts w:eastAsia="Times New Roman"/>
                <w:b/>
                <w:iCs/>
                <w:color w:val="auto"/>
                <w:sz w:val="16"/>
                <w:szCs w:val="16"/>
                <w:lang w:val="en-US" w:eastAsia="en-GB"/>
              </w:rPr>
              <w:t>ast task</w:t>
            </w:r>
          </w:p>
        </w:tc>
        <w:tc>
          <w:tcPr>
            <w:tcW w:w="2308" w:type="pct"/>
            <w:tcBorders>
              <w:left w:val="nil"/>
              <w:right w:val="nil"/>
            </w:tcBorders>
            <w:shd w:val="clear" w:color="auto" w:fill="auto"/>
            <w:noWrap/>
          </w:tcPr>
          <w:p w14:paraId="4997E237" w14:textId="77777777" w:rsidR="00803774" w:rsidRPr="00CA7244" w:rsidRDefault="00803774" w:rsidP="00030D27">
            <w:pPr>
              <w:spacing w:before="0"/>
              <w:jc w:val="left"/>
              <w:rPr>
                <w:rFonts w:eastAsia="Times New Roman"/>
                <w:sz w:val="16"/>
                <w:szCs w:val="16"/>
                <w:lang w:val="en-US" w:eastAsia="en-GB"/>
              </w:rPr>
            </w:pPr>
          </w:p>
        </w:tc>
        <w:tc>
          <w:tcPr>
            <w:tcW w:w="603" w:type="pct"/>
            <w:tcBorders>
              <w:left w:val="nil"/>
              <w:right w:val="nil"/>
            </w:tcBorders>
            <w:shd w:val="clear" w:color="auto" w:fill="auto"/>
            <w:noWrap/>
          </w:tcPr>
          <w:p w14:paraId="62CE32CB" w14:textId="77777777" w:rsidR="00803774" w:rsidRPr="00CA7244" w:rsidRDefault="00803774" w:rsidP="00030D27">
            <w:pPr>
              <w:spacing w:before="0"/>
              <w:jc w:val="left"/>
              <w:rPr>
                <w:b/>
                <w:bCs/>
                <w:sz w:val="16"/>
                <w:szCs w:val="16"/>
              </w:rPr>
            </w:pPr>
          </w:p>
        </w:tc>
        <w:tc>
          <w:tcPr>
            <w:tcW w:w="464" w:type="pct"/>
            <w:tcBorders>
              <w:left w:val="nil"/>
              <w:right w:val="nil"/>
            </w:tcBorders>
            <w:shd w:val="clear" w:color="auto" w:fill="auto"/>
            <w:noWrap/>
          </w:tcPr>
          <w:p w14:paraId="1B7F7548" w14:textId="77777777" w:rsidR="00803774" w:rsidRPr="00CA7244" w:rsidRDefault="00803774" w:rsidP="00030D27">
            <w:pPr>
              <w:spacing w:before="0"/>
              <w:jc w:val="left"/>
              <w:rPr>
                <w:b/>
                <w:bCs/>
                <w:sz w:val="16"/>
                <w:szCs w:val="16"/>
              </w:rPr>
            </w:pPr>
          </w:p>
        </w:tc>
        <w:tc>
          <w:tcPr>
            <w:tcW w:w="945" w:type="pct"/>
            <w:tcBorders>
              <w:left w:val="nil"/>
              <w:right w:val="single" w:sz="4" w:space="0" w:color="auto"/>
            </w:tcBorders>
            <w:shd w:val="clear" w:color="auto" w:fill="auto"/>
            <w:noWrap/>
          </w:tcPr>
          <w:p w14:paraId="03C31557" w14:textId="77777777" w:rsidR="00803774" w:rsidRPr="00CA7244" w:rsidRDefault="00803774" w:rsidP="00030D27">
            <w:pPr>
              <w:spacing w:before="0"/>
              <w:jc w:val="left"/>
              <w:rPr>
                <w:b/>
                <w:bCs/>
                <w:sz w:val="16"/>
                <w:szCs w:val="16"/>
              </w:rPr>
            </w:pPr>
          </w:p>
        </w:tc>
      </w:tr>
      <w:tr w:rsidR="00CB570B" w:rsidRPr="00CA7244" w14:paraId="717D15AD" w14:textId="77777777" w:rsidTr="00030D27">
        <w:trPr>
          <w:trHeight w:val="416"/>
          <w:jc w:val="center"/>
        </w:trPr>
        <w:tc>
          <w:tcPr>
            <w:tcW w:w="680" w:type="pct"/>
            <w:tcBorders>
              <w:left w:val="single" w:sz="4" w:space="0" w:color="auto"/>
              <w:right w:val="nil"/>
            </w:tcBorders>
            <w:shd w:val="clear" w:color="auto" w:fill="auto"/>
            <w:noWrap/>
          </w:tcPr>
          <w:p w14:paraId="2FCC89DE" w14:textId="21F0DD51"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54D1E13D" w14:textId="02C3F8A8"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sz w:val="16"/>
                <w:szCs w:val="16"/>
                <w:lang w:val="en-US" w:eastAsia="en-GB"/>
              </w:rPr>
              <w:t>MRT (ms) in baseline</w:t>
            </w:r>
          </w:p>
        </w:tc>
        <w:tc>
          <w:tcPr>
            <w:tcW w:w="603" w:type="pct"/>
            <w:tcBorders>
              <w:left w:val="nil"/>
              <w:right w:val="nil"/>
            </w:tcBorders>
            <w:shd w:val="clear" w:color="auto" w:fill="auto"/>
            <w:noWrap/>
          </w:tcPr>
          <w:p w14:paraId="12BAC7F7" w14:textId="3E53C580" w:rsidR="00803774" w:rsidRPr="00CA7244" w:rsidRDefault="00803774" w:rsidP="00030D27">
            <w:pPr>
              <w:spacing w:before="0"/>
              <w:jc w:val="left"/>
              <w:rPr>
                <w:b/>
                <w:bCs/>
                <w:sz w:val="16"/>
                <w:szCs w:val="16"/>
              </w:rPr>
            </w:pPr>
            <w:r w:rsidRPr="00CA7244">
              <w:rPr>
                <w:b/>
                <w:bCs/>
                <w:sz w:val="16"/>
                <w:szCs w:val="16"/>
              </w:rPr>
              <w:t>0.26</w:t>
            </w:r>
          </w:p>
        </w:tc>
        <w:tc>
          <w:tcPr>
            <w:tcW w:w="464" w:type="pct"/>
            <w:tcBorders>
              <w:left w:val="nil"/>
              <w:right w:val="nil"/>
            </w:tcBorders>
            <w:shd w:val="clear" w:color="auto" w:fill="auto"/>
            <w:noWrap/>
          </w:tcPr>
          <w:p w14:paraId="22960A4D" w14:textId="2ECC8436" w:rsidR="00803774" w:rsidRPr="00CA7244" w:rsidRDefault="00803774" w:rsidP="00030D27">
            <w:pPr>
              <w:spacing w:before="0"/>
              <w:jc w:val="left"/>
              <w:rPr>
                <w:b/>
                <w:bCs/>
                <w:sz w:val="16"/>
                <w:szCs w:val="16"/>
              </w:rPr>
            </w:pPr>
            <w:r w:rsidRPr="00CA7244">
              <w:rPr>
                <w:b/>
                <w:bCs/>
                <w:sz w:val="16"/>
                <w:szCs w:val="16"/>
              </w:rPr>
              <w:t>0.05</w:t>
            </w:r>
          </w:p>
        </w:tc>
        <w:tc>
          <w:tcPr>
            <w:tcW w:w="945" w:type="pct"/>
            <w:tcBorders>
              <w:left w:val="nil"/>
              <w:right w:val="single" w:sz="4" w:space="0" w:color="auto"/>
            </w:tcBorders>
            <w:shd w:val="clear" w:color="auto" w:fill="auto"/>
            <w:noWrap/>
          </w:tcPr>
          <w:p w14:paraId="7115EEF5" w14:textId="3A3B25E8" w:rsidR="00803774" w:rsidRPr="00CA7244" w:rsidRDefault="00803774" w:rsidP="00030D27">
            <w:pPr>
              <w:spacing w:before="0"/>
              <w:jc w:val="left"/>
              <w:rPr>
                <w:b/>
                <w:bCs/>
                <w:sz w:val="16"/>
                <w:szCs w:val="16"/>
              </w:rPr>
            </w:pPr>
            <w:r w:rsidRPr="00CA7244">
              <w:rPr>
                <w:b/>
                <w:bCs/>
                <w:sz w:val="16"/>
                <w:szCs w:val="16"/>
              </w:rPr>
              <w:t>0.02,0.53</w:t>
            </w:r>
          </w:p>
        </w:tc>
      </w:tr>
      <w:tr w:rsidR="00CB570B" w:rsidRPr="00CA7244" w14:paraId="2B520D52" w14:textId="77777777" w:rsidTr="00030D27">
        <w:trPr>
          <w:trHeight w:val="416"/>
          <w:jc w:val="center"/>
        </w:trPr>
        <w:tc>
          <w:tcPr>
            <w:tcW w:w="680" w:type="pct"/>
            <w:tcBorders>
              <w:left w:val="single" w:sz="4" w:space="0" w:color="auto"/>
              <w:right w:val="nil"/>
            </w:tcBorders>
            <w:shd w:val="clear" w:color="auto" w:fill="auto"/>
            <w:noWrap/>
          </w:tcPr>
          <w:p w14:paraId="2344D440"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228F5326" w14:textId="575BE34D" w:rsidR="00803774" w:rsidRPr="00CA7244" w:rsidRDefault="00803774" w:rsidP="00030D27">
            <w:pPr>
              <w:spacing w:before="0"/>
              <w:jc w:val="left"/>
              <w:rPr>
                <w:rFonts w:eastAsia="Times New Roman"/>
                <w:color w:val="auto"/>
                <w:sz w:val="16"/>
                <w:szCs w:val="16"/>
                <w:lang w:val="en-US" w:eastAsia="en-GB"/>
              </w:rPr>
            </w:pPr>
            <w:r w:rsidRPr="00CA7244">
              <w:rPr>
                <w:rFonts w:eastAsia="Times New Roman"/>
                <w:sz w:val="16"/>
                <w:szCs w:val="16"/>
                <w:lang w:val="en-US" w:eastAsia="en-GB"/>
              </w:rPr>
              <w:t>RTV (ms) in baseline</w:t>
            </w:r>
          </w:p>
        </w:tc>
        <w:tc>
          <w:tcPr>
            <w:tcW w:w="603" w:type="pct"/>
            <w:tcBorders>
              <w:left w:val="nil"/>
              <w:right w:val="nil"/>
            </w:tcBorders>
            <w:shd w:val="clear" w:color="auto" w:fill="auto"/>
            <w:noWrap/>
          </w:tcPr>
          <w:p w14:paraId="6F759F9C" w14:textId="6C9CD931" w:rsidR="00803774" w:rsidRPr="00CA7244" w:rsidRDefault="00803774" w:rsidP="00030D27">
            <w:pPr>
              <w:spacing w:before="0"/>
              <w:jc w:val="left"/>
              <w:rPr>
                <w:b/>
                <w:bCs/>
                <w:sz w:val="16"/>
                <w:szCs w:val="16"/>
              </w:rPr>
            </w:pPr>
            <w:r w:rsidRPr="00CA7244">
              <w:rPr>
                <w:b/>
                <w:bCs/>
                <w:sz w:val="16"/>
                <w:szCs w:val="16"/>
              </w:rPr>
              <w:t>0.32</w:t>
            </w:r>
          </w:p>
        </w:tc>
        <w:tc>
          <w:tcPr>
            <w:tcW w:w="464" w:type="pct"/>
            <w:tcBorders>
              <w:left w:val="nil"/>
              <w:right w:val="nil"/>
            </w:tcBorders>
            <w:shd w:val="clear" w:color="auto" w:fill="auto"/>
            <w:noWrap/>
          </w:tcPr>
          <w:p w14:paraId="0E791677" w14:textId="5845218A" w:rsidR="00803774" w:rsidRPr="00CA7244" w:rsidRDefault="00803774" w:rsidP="00030D27">
            <w:pPr>
              <w:spacing w:before="0"/>
              <w:jc w:val="left"/>
              <w:rPr>
                <w:b/>
                <w:bCs/>
                <w:sz w:val="16"/>
                <w:szCs w:val="16"/>
              </w:rPr>
            </w:pPr>
            <w:r w:rsidRPr="00CA7244">
              <w:rPr>
                <w:b/>
                <w:bCs/>
                <w:sz w:val="16"/>
                <w:szCs w:val="16"/>
              </w:rPr>
              <w:t>0.04</w:t>
            </w:r>
          </w:p>
        </w:tc>
        <w:tc>
          <w:tcPr>
            <w:tcW w:w="945" w:type="pct"/>
            <w:tcBorders>
              <w:left w:val="nil"/>
              <w:right w:val="single" w:sz="4" w:space="0" w:color="auto"/>
            </w:tcBorders>
            <w:shd w:val="clear" w:color="auto" w:fill="auto"/>
            <w:noWrap/>
          </w:tcPr>
          <w:p w14:paraId="565F9132" w14:textId="0814C6A6" w:rsidR="00803774" w:rsidRPr="00CA7244" w:rsidRDefault="00803774" w:rsidP="00030D27">
            <w:pPr>
              <w:spacing w:before="0"/>
              <w:jc w:val="left"/>
              <w:rPr>
                <w:b/>
                <w:bCs/>
                <w:sz w:val="16"/>
                <w:szCs w:val="16"/>
              </w:rPr>
            </w:pPr>
            <w:r w:rsidRPr="00CA7244">
              <w:rPr>
                <w:b/>
                <w:bCs/>
                <w:sz w:val="16"/>
                <w:szCs w:val="16"/>
              </w:rPr>
              <w:t>0.02,0.67</w:t>
            </w:r>
          </w:p>
        </w:tc>
      </w:tr>
      <w:tr w:rsidR="00CB570B" w:rsidRPr="00CA7244" w14:paraId="0EA84152" w14:textId="77777777" w:rsidTr="00030D27">
        <w:trPr>
          <w:trHeight w:val="416"/>
          <w:jc w:val="center"/>
        </w:trPr>
        <w:tc>
          <w:tcPr>
            <w:tcW w:w="680" w:type="pct"/>
            <w:tcBorders>
              <w:left w:val="single" w:sz="4" w:space="0" w:color="auto"/>
              <w:right w:val="nil"/>
            </w:tcBorders>
            <w:shd w:val="clear" w:color="auto" w:fill="auto"/>
            <w:noWrap/>
          </w:tcPr>
          <w:p w14:paraId="389988A1"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right w:val="nil"/>
            </w:tcBorders>
            <w:shd w:val="clear" w:color="auto" w:fill="auto"/>
            <w:noWrap/>
          </w:tcPr>
          <w:p w14:paraId="751B683E" w14:textId="16267D29" w:rsidR="00803774" w:rsidRPr="00CA7244" w:rsidRDefault="00F1137A"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CNV</w:t>
            </w:r>
            <w:r w:rsidR="00803774" w:rsidRPr="00CA7244">
              <w:rPr>
                <w:rFonts w:eastAsia="Times New Roman"/>
                <w:color w:val="auto"/>
                <w:sz w:val="16"/>
                <w:szCs w:val="16"/>
                <w:lang w:val="en-US" w:eastAsia="en-GB"/>
              </w:rPr>
              <w:t xml:space="preserve"> </w:t>
            </w:r>
            <w:r w:rsidR="00803774" w:rsidRPr="00CA7244">
              <w:rPr>
                <w:rFonts w:eastAsia="Times New Roman"/>
                <w:sz w:val="16"/>
                <w:szCs w:val="16"/>
                <w:lang w:val="en-US" w:eastAsia="en-GB"/>
              </w:rPr>
              <w:t>(µV)</w:t>
            </w:r>
            <w:r w:rsidR="00803774" w:rsidRPr="00CA7244">
              <w:rPr>
                <w:rFonts w:eastAsia="Times New Roman"/>
                <w:color w:val="auto"/>
                <w:sz w:val="16"/>
                <w:szCs w:val="16"/>
                <w:lang w:val="en-US" w:eastAsia="en-GB"/>
              </w:rPr>
              <w:t xml:space="preserve"> in fast-incentive</w:t>
            </w:r>
          </w:p>
        </w:tc>
        <w:tc>
          <w:tcPr>
            <w:tcW w:w="603" w:type="pct"/>
            <w:tcBorders>
              <w:left w:val="nil"/>
              <w:right w:val="nil"/>
            </w:tcBorders>
            <w:shd w:val="clear" w:color="auto" w:fill="auto"/>
            <w:noWrap/>
          </w:tcPr>
          <w:p w14:paraId="377B17F9" w14:textId="3B8B55EC" w:rsidR="00803774" w:rsidRPr="00CA7244" w:rsidRDefault="00803774" w:rsidP="00030D27">
            <w:pPr>
              <w:spacing w:before="0"/>
              <w:jc w:val="left"/>
              <w:rPr>
                <w:b/>
                <w:bCs/>
                <w:sz w:val="16"/>
                <w:szCs w:val="16"/>
              </w:rPr>
            </w:pPr>
            <w:r w:rsidRPr="00CA7244">
              <w:rPr>
                <w:b/>
                <w:bCs/>
                <w:sz w:val="16"/>
                <w:szCs w:val="16"/>
              </w:rPr>
              <w:t>0.41</w:t>
            </w:r>
          </w:p>
        </w:tc>
        <w:tc>
          <w:tcPr>
            <w:tcW w:w="464" w:type="pct"/>
            <w:tcBorders>
              <w:left w:val="nil"/>
              <w:right w:val="nil"/>
            </w:tcBorders>
            <w:shd w:val="clear" w:color="auto" w:fill="auto"/>
            <w:noWrap/>
          </w:tcPr>
          <w:p w14:paraId="08537245" w14:textId="6B6C1367" w:rsidR="00803774" w:rsidRPr="00CA7244" w:rsidRDefault="00803774" w:rsidP="00030D27">
            <w:pPr>
              <w:spacing w:before="0"/>
              <w:jc w:val="left"/>
              <w:rPr>
                <w:b/>
                <w:bCs/>
                <w:sz w:val="16"/>
                <w:szCs w:val="16"/>
              </w:rPr>
            </w:pPr>
            <w:r w:rsidRPr="00CA7244">
              <w:rPr>
                <w:b/>
                <w:bCs/>
                <w:sz w:val="16"/>
                <w:szCs w:val="16"/>
              </w:rPr>
              <w:t>0.01</w:t>
            </w:r>
          </w:p>
        </w:tc>
        <w:tc>
          <w:tcPr>
            <w:tcW w:w="945" w:type="pct"/>
            <w:tcBorders>
              <w:left w:val="nil"/>
              <w:right w:val="single" w:sz="4" w:space="0" w:color="auto"/>
            </w:tcBorders>
            <w:shd w:val="clear" w:color="auto" w:fill="auto"/>
            <w:noWrap/>
          </w:tcPr>
          <w:p w14:paraId="04536722" w14:textId="20157B7D" w:rsidR="00803774" w:rsidRPr="00CA7244" w:rsidRDefault="00803774" w:rsidP="00030D27">
            <w:pPr>
              <w:spacing w:before="0"/>
              <w:jc w:val="left"/>
              <w:rPr>
                <w:b/>
                <w:bCs/>
                <w:sz w:val="16"/>
                <w:szCs w:val="16"/>
              </w:rPr>
            </w:pPr>
            <w:r w:rsidRPr="00CA7244">
              <w:rPr>
                <w:b/>
                <w:bCs/>
                <w:sz w:val="16"/>
                <w:szCs w:val="16"/>
              </w:rPr>
              <w:t>0.22,0.61</w:t>
            </w:r>
          </w:p>
        </w:tc>
      </w:tr>
      <w:tr w:rsidR="00CB570B" w:rsidRPr="00CA7244" w14:paraId="03AD4F6B" w14:textId="77777777" w:rsidTr="00030D27">
        <w:trPr>
          <w:trHeight w:val="416"/>
          <w:jc w:val="center"/>
        </w:trPr>
        <w:tc>
          <w:tcPr>
            <w:tcW w:w="680" w:type="pct"/>
            <w:tcBorders>
              <w:left w:val="single" w:sz="4" w:space="0" w:color="auto"/>
              <w:bottom w:val="single" w:sz="4" w:space="0" w:color="auto"/>
              <w:right w:val="nil"/>
            </w:tcBorders>
            <w:shd w:val="clear" w:color="auto" w:fill="auto"/>
            <w:noWrap/>
          </w:tcPr>
          <w:p w14:paraId="70E0D37F" w14:textId="77777777" w:rsidR="00803774" w:rsidRPr="00CA7244" w:rsidRDefault="00803774" w:rsidP="00030D27">
            <w:pPr>
              <w:spacing w:before="0"/>
              <w:jc w:val="left"/>
              <w:rPr>
                <w:rFonts w:eastAsia="Times New Roman"/>
                <w:color w:val="auto"/>
                <w:sz w:val="16"/>
                <w:szCs w:val="16"/>
                <w:lang w:val="en-US"/>
              </w:rPr>
            </w:pPr>
          </w:p>
        </w:tc>
        <w:tc>
          <w:tcPr>
            <w:tcW w:w="2308" w:type="pct"/>
            <w:tcBorders>
              <w:left w:val="nil"/>
              <w:bottom w:val="single" w:sz="4" w:space="0" w:color="auto"/>
              <w:right w:val="nil"/>
            </w:tcBorders>
            <w:shd w:val="clear" w:color="auto" w:fill="auto"/>
            <w:noWrap/>
          </w:tcPr>
          <w:p w14:paraId="7C1EB242" w14:textId="5DEE56C2" w:rsidR="00803774" w:rsidRPr="00CA7244" w:rsidRDefault="00F1137A"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P3</w:t>
            </w:r>
            <w:r w:rsidR="00803774" w:rsidRPr="00CA7244">
              <w:rPr>
                <w:rFonts w:eastAsia="Times New Roman"/>
                <w:color w:val="auto"/>
                <w:sz w:val="16"/>
                <w:szCs w:val="16"/>
                <w:lang w:val="en-US" w:eastAsia="en-GB"/>
              </w:rPr>
              <w:t xml:space="preserve"> </w:t>
            </w:r>
            <w:r w:rsidR="00803774" w:rsidRPr="00CA7244">
              <w:rPr>
                <w:rFonts w:eastAsia="Times New Roman"/>
                <w:sz w:val="16"/>
                <w:szCs w:val="16"/>
                <w:lang w:val="en-US" w:eastAsia="en-GB"/>
              </w:rPr>
              <w:t>(µV*ms)</w:t>
            </w:r>
            <w:r w:rsidR="00803774" w:rsidRPr="00CA7244">
              <w:rPr>
                <w:rFonts w:eastAsia="Times New Roman"/>
                <w:color w:val="auto"/>
                <w:sz w:val="16"/>
                <w:szCs w:val="16"/>
                <w:lang w:val="en-US" w:eastAsia="en-GB"/>
              </w:rPr>
              <w:t xml:space="preserve"> in fast-incentive</w:t>
            </w:r>
          </w:p>
        </w:tc>
        <w:tc>
          <w:tcPr>
            <w:tcW w:w="603" w:type="pct"/>
            <w:tcBorders>
              <w:left w:val="nil"/>
              <w:bottom w:val="single" w:sz="4" w:space="0" w:color="auto"/>
              <w:right w:val="nil"/>
            </w:tcBorders>
            <w:shd w:val="clear" w:color="auto" w:fill="auto"/>
            <w:noWrap/>
          </w:tcPr>
          <w:p w14:paraId="40A98962" w14:textId="2416D05A" w:rsidR="00803774" w:rsidRPr="00CA7244" w:rsidRDefault="00803774" w:rsidP="00030D27">
            <w:pPr>
              <w:spacing w:before="0"/>
              <w:jc w:val="left"/>
              <w:rPr>
                <w:b/>
                <w:bCs/>
                <w:sz w:val="16"/>
                <w:szCs w:val="16"/>
              </w:rPr>
            </w:pPr>
            <w:r w:rsidRPr="00CA7244">
              <w:rPr>
                <w:b/>
                <w:bCs/>
                <w:sz w:val="16"/>
                <w:szCs w:val="16"/>
              </w:rPr>
              <w:t>-0.24</w:t>
            </w:r>
          </w:p>
        </w:tc>
        <w:tc>
          <w:tcPr>
            <w:tcW w:w="464" w:type="pct"/>
            <w:tcBorders>
              <w:left w:val="nil"/>
              <w:bottom w:val="single" w:sz="4" w:space="0" w:color="auto"/>
              <w:right w:val="nil"/>
            </w:tcBorders>
            <w:shd w:val="clear" w:color="auto" w:fill="auto"/>
            <w:noWrap/>
          </w:tcPr>
          <w:p w14:paraId="430854BC" w14:textId="1A43E124" w:rsidR="00803774" w:rsidRPr="00CA7244" w:rsidRDefault="00803774" w:rsidP="00030D27">
            <w:pPr>
              <w:spacing w:before="0"/>
              <w:jc w:val="left"/>
              <w:rPr>
                <w:b/>
                <w:bCs/>
                <w:sz w:val="16"/>
                <w:szCs w:val="16"/>
              </w:rPr>
            </w:pPr>
            <w:r w:rsidRPr="00CA7244">
              <w:rPr>
                <w:b/>
                <w:bCs/>
                <w:sz w:val="16"/>
                <w:szCs w:val="16"/>
              </w:rPr>
              <w:t>0.04</w:t>
            </w:r>
          </w:p>
        </w:tc>
        <w:tc>
          <w:tcPr>
            <w:tcW w:w="945" w:type="pct"/>
            <w:tcBorders>
              <w:left w:val="nil"/>
              <w:bottom w:val="single" w:sz="4" w:space="0" w:color="auto"/>
              <w:right w:val="single" w:sz="4" w:space="0" w:color="auto"/>
            </w:tcBorders>
            <w:shd w:val="clear" w:color="auto" w:fill="auto"/>
            <w:noWrap/>
          </w:tcPr>
          <w:p w14:paraId="31A78BDC" w14:textId="3920F0C1" w:rsidR="00803774" w:rsidRPr="00CA7244" w:rsidRDefault="00803774" w:rsidP="00030D27">
            <w:pPr>
              <w:spacing w:before="0"/>
              <w:jc w:val="left"/>
              <w:rPr>
                <w:b/>
                <w:bCs/>
                <w:sz w:val="16"/>
                <w:szCs w:val="16"/>
              </w:rPr>
            </w:pPr>
            <w:r w:rsidRPr="00CA7244">
              <w:rPr>
                <w:b/>
                <w:bCs/>
                <w:sz w:val="16"/>
                <w:szCs w:val="16"/>
              </w:rPr>
              <w:t>-0.48, -0.01</w:t>
            </w:r>
          </w:p>
        </w:tc>
      </w:tr>
    </w:tbl>
    <w:p w14:paraId="7DE0C10B" w14:textId="4979958D" w:rsidR="00CB570B" w:rsidRPr="00D13143" w:rsidRDefault="00CB570B" w:rsidP="005C25A7">
      <w:pPr>
        <w:spacing w:after="200"/>
        <w:rPr>
          <w:rFonts w:eastAsia="Times New Roman"/>
          <w:szCs w:val="22"/>
          <w:lang w:val="en-US"/>
        </w:rPr>
      </w:pPr>
      <w:r w:rsidRPr="00D13143">
        <w:rPr>
          <w:rFonts w:eastAsiaTheme="minorEastAsia"/>
          <w:color w:val="auto"/>
          <w:szCs w:val="22"/>
          <w:lang w:val="en-US"/>
        </w:rPr>
        <w:t>Note: p&lt;0.05 indicated in bold. ADHD=attention-deficit/hyperactivity disorder; DSB=digit span backwards; MRT=mean reaction time in the baseline (slow, unrewarded) condition of the fast task; RTV=reaction time variability in the baseline (slow, unrewarded) condition of the fast task; CNV=contingent negative variation; Go-P3=P3 amplitude; NoGo-P3=P3 amplitude; N2=N2 amplitude; Pe=positive related negativity in the</w:t>
      </w:r>
      <w:r w:rsidRPr="00D13143">
        <w:t xml:space="preserve"> incongruent condition</w:t>
      </w:r>
      <w:r w:rsidRPr="00D13143">
        <w:rPr>
          <w:rFonts w:eastAsiaTheme="minorEastAsia"/>
          <w:color w:val="auto"/>
          <w:szCs w:val="22"/>
          <w:lang w:val="en-US"/>
        </w:rPr>
        <w:t>; ERN=error related negativity in the</w:t>
      </w:r>
      <w:r w:rsidRPr="00D13143">
        <w:t xml:space="preserve"> incongruent condition;</w:t>
      </w:r>
      <w:r w:rsidRPr="00D13143">
        <w:rPr>
          <w:rFonts w:eastAsiaTheme="minorEastAsia"/>
          <w:color w:val="auto"/>
          <w:szCs w:val="22"/>
          <w:lang w:val="en-US"/>
        </w:rPr>
        <w:t xml:space="preserve"> CNV=contingent negative variation amplitude in the fast-incentive condition; P3=P3 amplitude in the fast-incentive condition; ms=milliseconds, </w:t>
      </w:r>
      <w:r w:rsidRPr="00D13143">
        <w:rPr>
          <w:rFonts w:eastAsia="Times New Roman"/>
          <w:szCs w:val="22"/>
          <w:lang w:val="en-US"/>
        </w:rPr>
        <w:t>µV=microvolts</w:t>
      </w:r>
      <w:r w:rsidR="009F734E" w:rsidRPr="00D13143">
        <w:rPr>
          <w:rFonts w:eastAsia="Times New Roman"/>
          <w:szCs w:val="22"/>
          <w:lang w:val="en-US"/>
        </w:rPr>
        <w:t xml:space="preserve">. </w:t>
      </w:r>
      <w:r w:rsidRPr="00D13143">
        <w:rPr>
          <w:rFonts w:eastAsia="Times New Roman"/>
          <w:szCs w:val="18"/>
          <w:lang w:val="en-US"/>
        </w:rPr>
        <w:t xml:space="preserve">Models were fitted to standardised (z) cognitive and neurophysiological measures so that beta coefficients presented represent a standardized effect size measure. </w:t>
      </w:r>
    </w:p>
    <w:p w14:paraId="7165F341" w14:textId="77777777" w:rsidR="001519B7" w:rsidRPr="00A56D82" w:rsidRDefault="001519B7" w:rsidP="005C25A7">
      <w:pPr>
        <w:spacing w:after="200"/>
        <w:rPr>
          <w:rFonts w:eastAsia="Times New Roman"/>
          <w:sz w:val="18"/>
          <w:szCs w:val="22"/>
          <w:lang w:val="en-US"/>
        </w:rPr>
      </w:pPr>
    </w:p>
    <w:p w14:paraId="6F320124" w14:textId="77777777" w:rsidR="001519B7" w:rsidRPr="00AB5EF9" w:rsidRDefault="001519B7" w:rsidP="005C25A7">
      <w:pPr>
        <w:spacing w:before="0" w:after="200"/>
        <w:jc w:val="left"/>
        <w:rPr>
          <w:rFonts w:eastAsia="Times New Roman"/>
          <w:sz w:val="18"/>
          <w:szCs w:val="22"/>
          <w:lang w:val="en-US"/>
        </w:rPr>
      </w:pPr>
      <w:r w:rsidRPr="00AB5EF9">
        <w:rPr>
          <w:rFonts w:eastAsia="Times New Roman"/>
          <w:sz w:val="18"/>
          <w:szCs w:val="22"/>
          <w:lang w:val="en-US"/>
        </w:rPr>
        <w:br w:type="page"/>
      </w:r>
    </w:p>
    <w:p w14:paraId="07A82215" w14:textId="08AD7F81" w:rsidR="00CA7244" w:rsidRDefault="003265CE" w:rsidP="00CA7244">
      <w:pPr>
        <w:pStyle w:val="Heading1"/>
        <w:rPr>
          <w:rFonts w:eastAsiaTheme="minorHAnsi"/>
        </w:rPr>
      </w:pPr>
      <w:r>
        <w:rPr>
          <w:rFonts w:eastAsiaTheme="minorHAnsi"/>
        </w:rPr>
        <w:lastRenderedPageBreak/>
        <w:t xml:space="preserve">SUPPLEMENTARY MATERIAL </w:t>
      </w:r>
      <w:r w:rsidR="0044158E">
        <w:rPr>
          <w:rFonts w:eastAsiaTheme="minorHAnsi"/>
        </w:rPr>
        <w:t>I</w:t>
      </w:r>
      <w:r w:rsidR="00AC40E4">
        <w:rPr>
          <w:rFonts w:eastAsiaTheme="minorHAnsi"/>
        </w:rPr>
        <w:t>II</w:t>
      </w:r>
      <w:r w:rsidR="006628C4" w:rsidRPr="005176D7">
        <w:rPr>
          <w:rFonts w:eastAsiaTheme="minorHAnsi"/>
        </w:rPr>
        <w:t xml:space="preserve">: </w:t>
      </w:r>
    </w:p>
    <w:p w14:paraId="0680DC25" w14:textId="3053531C" w:rsidR="006628C4" w:rsidRPr="00CA7244" w:rsidRDefault="006628C4" w:rsidP="00CA7244">
      <w:pPr>
        <w:pStyle w:val="Heading1"/>
        <w:rPr>
          <w:sz w:val="20"/>
        </w:rPr>
      </w:pPr>
      <w:r w:rsidRPr="00CA7244">
        <w:rPr>
          <w:sz w:val="20"/>
        </w:rPr>
        <w:t>Within-siblings, fixed effect model of preterm birth on standardised scores (controlling for age, sex</w:t>
      </w:r>
      <w:r w:rsidR="00503982" w:rsidRPr="00CA7244">
        <w:rPr>
          <w:sz w:val="20"/>
        </w:rPr>
        <w:t>, IQ</w:t>
      </w:r>
      <w:r w:rsidRPr="00CA7244">
        <w:rPr>
          <w:sz w:val="20"/>
        </w:rPr>
        <w:t xml:space="preserve"> and birth order) (n = 208).</w:t>
      </w:r>
    </w:p>
    <w:p w14:paraId="14DD3B15" w14:textId="77777777" w:rsidR="005C25A7" w:rsidRPr="005C25A7" w:rsidRDefault="005C25A7" w:rsidP="005C25A7"/>
    <w:tbl>
      <w:tblPr>
        <w:tblW w:w="5000" w:type="pct"/>
        <w:jc w:val="center"/>
        <w:tblLook w:val="04A0" w:firstRow="1" w:lastRow="0" w:firstColumn="1" w:lastColumn="0" w:noHBand="0" w:noVBand="1"/>
      </w:tblPr>
      <w:tblGrid>
        <w:gridCol w:w="1346"/>
        <w:gridCol w:w="4638"/>
        <w:gridCol w:w="873"/>
        <w:gridCol w:w="939"/>
        <w:gridCol w:w="1554"/>
      </w:tblGrid>
      <w:tr w:rsidR="00CA7244" w:rsidRPr="00CA7244" w14:paraId="5647C74C" w14:textId="77777777" w:rsidTr="001E43EA">
        <w:trPr>
          <w:trHeight w:val="389"/>
          <w:jc w:val="center"/>
        </w:trPr>
        <w:tc>
          <w:tcPr>
            <w:tcW w:w="720" w:type="pct"/>
            <w:tcBorders>
              <w:top w:val="single" w:sz="4" w:space="0" w:color="auto"/>
              <w:left w:val="single" w:sz="4" w:space="0" w:color="auto"/>
              <w:bottom w:val="single" w:sz="4" w:space="0" w:color="auto"/>
              <w:right w:val="nil"/>
            </w:tcBorders>
            <w:shd w:val="clear" w:color="auto" w:fill="auto"/>
            <w:noWrap/>
            <w:hideMark/>
          </w:tcPr>
          <w:p w14:paraId="188A2FF1" w14:textId="77777777" w:rsidR="006628C4" w:rsidRPr="00CA7244" w:rsidRDefault="006628C4" w:rsidP="00030D27">
            <w:pPr>
              <w:spacing w:before="0"/>
              <w:jc w:val="left"/>
              <w:rPr>
                <w:rFonts w:eastAsia="Times New Roman"/>
                <w:color w:val="auto"/>
                <w:sz w:val="16"/>
                <w:szCs w:val="16"/>
                <w:lang w:val="en-US"/>
              </w:rPr>
            </w:pPr>
          </w:p>
        </w:tc>
        <w:tc>
          <w:tcPr>
            <w:tcW w:w="2480" w:type="pct"/>
            <w:tcBorders>
              <w:top w:val="single" w:sz="4" w:space="0" w:color="auto"/>
              <w:left w:val="nil"/>
              <w:bottom w:val="single" w:sz="4" w:space="0" w:color="auto"/>
              <w:right w:val="nil"/>
            </w:tcBorders>
            <w:shd w:val="clear" w:color="auto" w:fill="auto"/>
            <w:noWrap/>
            <w:hideMark/>
          </w:tcPr>
          <w:p w14:paraId="085DE262" w14:textId="77777777" w:rsidR="006628C4" w:rsidRPr="00CA7244" w:rsidRDefault="006628C4" w:rsidP="00030D27">
            <w:pPr>
              <w:spacing w:before="0"/>
              <w:jc w:val="left"/>
              <w:rPr>
                <w:rFonts w:eastAsia="Times New Roman"/>
                <w:color w:val="auto"/>
                <w:sz w:val="16"/>
                <w:szCs w:val="16"/>
                <w:lang w:val="en-US"/>
              </w:rPr>
            </w:pPr>
            <w:r w:rsidRPr="00CA7244">
              <w:rPr>
                <w:rFonts w:eastAsia="Times New Roman"/>
                <w:color w:val="auto"/>
                <w:sz w:val="16"/>
                <w:szCs w:val="16"/>
                <w:lang w:val="en-US"/>
              </w:rPr>
              <w:t>Variable</w:t>
            </w:r>
          </w:p>
        </w:tc>
        <w:tc>
          <w:tcPr>
            <w:tcW w:w="467" w:type="pct"/>
            <w:tcBorders>
              <w:top w:val="single" w:sz="4" w:space="0" w:color="auto"/>
              <w:left w:val="nil"/>
              <w:bottom w:val="single" w:sz="4" w:space="0" w:color="auto"/>
              <w:right w:val="nil"/>
            </w:tcBorders>
            <w:shd w:val="clear" w:color="auto" w:fill="auto"/>
            <w:noWrap/>
            <w:hideMark/>
          </w:tcPr>
          <w:p w14:paraId="14C27510" w14:textId="77777777" w:rsidR="006628C4" w:rsidRPr="00CA7244" w:rsidRDefault="006628C4" w:rsidP="00030D27">
            <w:pPr>
              <w:spacing w:before="0"/>
              <w:jc w:val="left"/>
              <w:rPr>
                <w:rFonts w:eastAsia="Times New Roman"/>
                <w:color w:val="auto"/>
                <w:sz w:val="16"/>
                <w:szCs w:val="16"/>
                <w:lang w:val="en-US"/>
              </w:rPr>
            </w:pPr>
            <w:r w:rsidRPr="00CA7244">
              <w:rPr>
                <w:rFonts w:eastAsia="Times New Roman"/>
                <w:color w:val="auto"/>
                <w:sz w:val="16"/>
                <w:szCs w:val="16"/>
                <w:lang w:val="en-US"/>
              </w:rPr>
              <w:t>β Coef</w:t>
            </w:r>
          </w:p>
        </w:tc>
        <w:tc>
          <w:tcPr>
            <w:tcW w:w="502" w:type="pct"/>
            <w:tcBorders>
              <w:top w:val="single" w:sz="4" w:space="0" w:color="auto"/>
              <w:left w:val="nil"/>
              <w:bottom w:val="single" w:sz="4" w:space="0" w:color="auto"/>
              <w:right w:val="nil"/>
            </w:tcBorders>
            <w:shd w:val="clear" w:color="auto" w:fill="auto"/>
            <w:noWrap/>
            <w:hideMark/>
          </w:tcPr>
          <w:p w14:paraId="0311A7C8" w14:textId="77777777" w:rsidR="006628C4" w:rsidRPr="00CA7244" w:rsidRDefault="006628C4" w:rsidP="00030D27">
            <w:pPr>
              <w:spacing w:before="0"/>
              <w:jc w:val="left"/>
              <w:rPr>
                <w:rFonts w:eastAsia="Times New Roman"/>
                <w:color w:val="auto"/>
                <w:sz w:val="16"/>
                <w:szCs w:val="16"/>
                <w:lang w:val="en-US"/>
              </w:rPr>
            </w:pPr>
            <w:r w:rsidRPr="00CA7244">
              <w:rPr>
                <w:rFonts w:eastAsia="Times New Roman"/>
                <w:color w:val="auto"/>
                <w:sz w:val="16"/>
                <w:szCs w:val="16"/>
                <w:lang w:val="en-US"/>
              </w:rPr>
              <w:t>P</w:t>
            </w:r>
          </w:p>
        </w:tc>
        <w:tc>
          <w:tcPr>
            <w:tcW w:w="831" w:type="pct"/>
            <w:tcBorders>
              <w:top w:val="single" w:sz="4" w:space="0" w:color="auto"/>
              <w:left w:val="nil"/>
              <w:bottom w:val="single" w:sz="4" w:space="0" w:color="auto"/>
              <w:right w:val="single" w:sz="4" w:space="0" w:color="auto"/>
            </w:tcBorders>
            <w:shd w:val="clear" w:color="auto" w:fill="auto"/>
            <w:noWrap/>
            <w:hideMark/>
          </w:tcPr>
          <w:p w14:paraId="575E4346" w14:textId="77777777" w:rsidR="006628C4" w:rsidRPr="00CA7244" w:rsidRDefault="006628C4" w:rsidP="00030D27">
            <w:pPr>
              <w:spacing w:before="0"/>
              <w:jc w:val="left"/>
              <w:rPr>
                <w:rFonts w:eastAsia="Times New Roman"/>
                <w:color w:val="auto"/>
                <w:sz w:val="16"/>
                <w:szCs w:val="16"/>
                <w:lang w:val="en-US"/>
              </w:rPr>
            </w:pPr>
            <w:r w:rsidRPr="00CA7244">
              <w:rPr>
                <w:rFonts w:eastAsia="Times New Roman"/>
                <w:color w:val="auto"/>
                <w:sz w:val="16"/>
                <w:szCs w:val="16"/>
                <w:lang w:val="en-US"/>
              </w:rPr>
              <w:t>95% CI</w:t>
            </w:r>
          </w:p>
        </w:tc>
      </w:tr>
      <w:tr w:rsidR="00ED73E9" w:rsidRPr="00CA7244" w14:paraId="43F90CDA" w14:textId="77777777" w:rsidTr="001E43EA">
        <w:trPr>
          <w:trHeight w:val="389"/>
          <w:jc w:val="center"/>
        </w:trPr>
        <w:tc>
          <w:tcPr>
            <w:tcW w:w="720" w:type="pct"/>
            <w:tcBorders>
              <w:top w:val="nil"/>
              <w:left w:val="single" w:sz="4" w:space="0" w:color="auto"/>
              <w:bottom w:val="nil"/>
            </w:tcBorders>
            <w:shd w:val="clear" w:color="auto" w:fill="auto"/>
            <w:noWrap/>
            <w:hideMark/>
          </w:tcPr>
          <w:p w14:paraId="1AB58A8D" w14:textId="77777777" w:rsidR="00ED73E9" w:rsidRPr="00CA7244" w:rsidRDefault="00ED73E9" w:rsidP="00ED73E9">
            <w:pPr>
              <w:spacing w:before="0"/>
              <w:jc w:val="left"/>
              <w:rPr>
                <w:rFonts w:eastAsia="Times New Roman"/>
                <w:bCs/>
                <w:color w:val="auto"/>
                <w:sz w:val="16"/>
                <w:szCs w:val="16"/>
                <w:lang w:val="en-US"/>
              </w:rPr>
            </w:pPr>
          </w:p>
        </w:tc>
        <w:tc>
          <w:tcPr>
            <w:tcW w:w="2480" w:type="pct"/>
            <w:tcBorders>
              <w:top w:val="nil"/>
              <w:left w:val="nil"/>
              <w:bottom w:val="nil"/>
              <w:right w:val="nil"/>
            </w:tcBorders>
            <w:shd w:val="clear" w:color="auto" w:fill="auto"/>
          </w:tcPr>
          <w:p w14:paraId="4190F1D4" w14:textId="77777777" w:rsidR="00ED73E9" w:rsidRPr="00CA7244" w:rsidRDefault="00ED73E9" w:rsidP="00ED73E9">
            <w:pPr>
              <w:spacing w:before="0"/>
              <w:jc w:val="left"/>
              <w:rPr>
                <w:rFonts w:eastAsia="Times New Roman"/>
                <w:bCs/>
                <w:color w:val="auto"/>
                <w:sz w:val="16"/>
                <w:szCs w:val="16"/>
                <w:lang w:val="en-US"/>
              </w:rPr>
            </w:pPr>
            <w:r w:rsidRPr="00CA7244">
              <w:rPr>
                <w:rFonts w:eastAsia="Times New Roman"/>
                <w:sz w:val="16"/>
                <w:szCs w:val="16"/>
                <w:lang w:val="en-US"/>
              </w:rPr>
              <w:t>ADHD symptoms</w:t>
            </w:r>
          </w:p>
        </w:tc>
        <w:tc>
          <w:tcPr>
            <w:tcW w:w="467" w:type="pct"/>
            <w:tcBorders>
              <w:top w:val="nil"/>
              <w:left w:val="nil"/>
              <w:bottom w:val="nil"/>
              <w:right w:val="nil"/>
            </w:tcBorders>
            <w:shd w:val="clear" w:color="auto" w:fill="auto"/>
            <w:noWrap/>
            <w:hideMark/>
          </w:tcPr>
          <w:p w14:paraId="709A2B1A" w14:textId="6CE11577" w:rsidR="00ED73E9" w:rsidRPr="00CA7244" w:rsidRDefault="00ED73E9" w:rsidP="00ED73E9">
            <w:pPr>
              <w:spacing w:before="0"/>
              <w:jc w:val="left"/>
              <w:rPr>
                <w:rFonts w:eastAsia="Times New Roman"/>
                <w:b/>
                <w:bCs/>
                <w:sz w:val="16"/>
                <w:szCs w:val="16"/>
                <w:lang w:val="en-US"/>
              </w:rPr>
            </w:pPr>
            <w:r w:rsidRPr="00CA7244">
              <w:rPr>
                <w:b/>
                <w:bCs/>
                <w:sz w:val="16"/>
                <w:szCs w:val="16"/>
              </w:rPr>
              <w:t>0.</w:t>
            </w:r>
            <w:r>
              <w:rPr>
                <w:b/>
                <w:bCs/>
                <w:sz w:val="16"/>
                <w:szCs w:val="16"/>
              </w:rPr>
              <w:t>2</w:t>
            </w:r>
            <w:r>
              <w:rPr>
                <w:b/>
                <w:bCs/>
                <w:sz w:val="16"/>
                <w:szCs w:val="16"/>
              </w:rPr>
              <w:t>3</w:t>
            </w:r>
          </w:p>
        </w:tc>
        <w:tc>
          <w:tcPr>
            <w:tcW w:w="502" w:type="pct"/>
            <w:tcBorders>
              <w:top w:val="nil"/>
              <w:left w:val="nil"/>
              <w:bottom w:val="nil"/>
              <w:right w:val="nil"/>
            </w:tcBorders>
            <w:shd w:val="clear" w:color="auto" w:fill="auto"/>
            <w:noWrap/>
            <w:hideMark/>
          </w:tcPr>
          <w:p w14:paraId="65748386" w14:textId="38FC676B" w:rsidR="00ED73E9" w:rsidRPr="00CA7244" w:rsidRDefault="00ED73E9" w:rsidP="00ED73E9">
            <w:pPr>
              <w:spacing w:before="0"/>
              <w:jc w:val="left"/>
              <w:rPr>
                <w:rFonts w:eastAsia="Times New Roman"/>
                <w:b/>
                <w:bCs/>
                <w:sz w:val="16"/>
                <w:szCs w:val="16"/>
                <w:lang w:val="en-US"/>
              </w:rPr>
            </w:pPr>
            <w:r w:rsidRPr="00CA7244">
              <w:rPr>
                <w:b/>
                <w:bCs/>
                <w:sz w:val="16"/>
                <w:szCs w:val="16"/>
              </w:rPr>
              <w:t>0.0</w:t>
            </w:r>
            <w:r>
              <w:rPr>
                <w:b/>
                <w:bCs/>
                <w:sz w:val="16"/>
                <w:szCs w:val="16"/>
              </w:rPr>
              <w:t>2</w:t>
            </w:r>
          </w:p>
        </w:tc>
        <w:tc>
          <w:tcPr>
            <w:tcW w:w="831" w:type="pct"/>
            <w:tcBorders>
              <w:top w:val="nil"/>
              <w:left w:val="nil"/>
              <w:bottom w:val="nil"/>
              <w:right w:val="single" w:sz="4" w:space="0" w:color="auto"/>
            </w:tcBorders>
            <w:shd w:val="clear" w:color="auto" w:fill="auto"/>
            <w:noWrap/>
            <w:hideMark/>
          </w:tcPr>
          <w:p w14:paraId="41E687EB" w14:textId="1DD8F883" w:rsidR="00ED73E9" w:rsidRPr="00CA7244" w:rsidRDefault="00ED73E9" w:rsidP="00ED73E9">
            <w:pPr>
              <w:spacing w:before="0"/>
              <w:jc w:val="left"/>
              <w:rPr>
                <w:rFonts w:eastAsia="Times New Roman"/>
                <w:b/>
                <w:bCs/>
                <w:sz w:val="16"/>
                <w:szCs w:val="16"/>
                <w:lang w:val="en-US"/>
              </w:rPr>
            </w:pPr>
            <w:r>
              <w:rPr>
                <w:b/>
                <w:bCs/>
                <w:sz w:val="16"/>
                <w:szCs w:val="16"/>
              </w:rPr>
              <w:t>0.03</w:t>
            </w:r>
            <w:r w:rsidRPr="00CA7244">
              <w:rPr>
                <w:b/>
                <w:bCs/>
                <w:sz w:val="16"/>
                <w:szCs w:val="16"/>
              </w:rPr>
              <w:t>,0.</w:t>
            </w:r>
            <w:r>
              <w:rPr>
                <w:b/>
                <w:bCs/>
                <w:sz w:val="16"/>
                <w:szCs w:val="16"/>
              </w:rPr>
              <w:t>50</w:t>
            </w:r>
            <w:bookmarkStart w:id="0" w:name="_GoBack"/>
            <w:bookmarkEnd w:id="0"/>
          </w:p>
        </w:tc>
      </w:tr>
      <w:tr w:rsidR="005C25A7" w:rsidRPr="00CA7244" w14:paraId="122BF1FD" w14:textId="77777777" w:rsidTr="001E43EA">
        <w:trPr>
          <w:trHeight w:val="389"/>
          <w:jc w:val="center"/>
        </w:trPr>
        <w:tc>
          <w:tcPr>
            <w:tcW w:w="720" w:type="pct"/>
            <w:tcBorders>
              <w:top w:val="nil"/>
              <w:left w:val="single" w:sz="4" w:space="0" w:color="auto"/>
              <w:bottom w:val="nil"/>
              <w:right w:val="nil"/>
            </w:tcBorders>
            <w:shd w:val="clear" w:color="auto" w:fill="auto"/>
            <w:noWrap/>
          </w:tcPr>
          <w:p w14:paraId="19E072CC" w14:textId="264D1B17" w:rsidR="00CB570B" w:rsidRPr="00CA7244" w:rsidRDefault="00CB570B" w:rsidP="00030D27">
            <w:pPr>
              <w:spacing w:before="0"/>
              <w:jc w:val="left"/>
              <w:rPr>
                <w:rFonts w:eastAsia="Times New Roman"/>
                <w:iCs/>
                <w:color w:val="auto"/>
                <w:sz w:val="16"/>
                <w:szCs w:val="16"/>
                <w:lang w:val="en-US"/>
              </w:rPr>
            </w:pPr>
          </w:p>
        </w:tc>
        <w:tc>
          <w:tcPr>
            <w:tcW w:w="2480" w:type="pct"/>
            <w:tcBorders>
              <w:top w:val="nil"/>
              <w:left w:val="nil"/>
              <w:bottom w:val="nil"/>
              <w:right w:val="nil"/>
            </w:tcBorders>
            <w:shd w:val="clear" w:color="auto" w:fill="auto"/>
            <w:noWrap/>
          </w:tcPr>
          <w:p w14:paraId="52A0A9E4" w14:textId="6F410BCC" w:rsidR="00CB570B" w:rsidRPr="00CA7244" w:rsidRDefault="00CB570B" w:rsidP="00030D27">
            <w:pPr>
              <w:spacing w:before="0"/>
              <w:jc w:val="left"/>
              <w:rPr>
                <w:rFonts w:eastAsia="Times New Roman"/>
                <w:color w:val="auto"/>
                <w:sz w:val="16"/>
                <w:szCs w:val="16"/>
                <w:lang w:val="en-US"/>
              </w:rPr>
            </w:pPr>
            <w:r w:rsidRPr="00CA7244">
              <w:rPr>
                <w:rFonts w:eastAsia="Times New Roman"/>
                <w:color w:val="auto"/>
                <w:sz w:val="16"/>
                <w:szCs w:val="16"/>
                <w:lang w:val="en-US"/>
              </w:rPr>
              <w:t>DSB</w:t>
            </w:r>
          </w:p>
        </w:tc>
        <w:tc>
          <w:tcPr>
            <w:tcW w:w="467" w:type="pct"/>
            <w:tcBorders>
              <w:top w:val="nil"/>
              <w:left w:val="nil"/>
              <w:bottom w:val="nil"/>
              <w:right w:val="nil"/>
            </w:tcBorders>
            <w:shd w:val="clear" w:color="auto" w:fill="auto"/>
            <w:noWrap/>
          </w:tcPr>
          <w:p w14:paraId="78A268FD" w14:textId="2D6E7D3B" w:rsidR="00CB570B" w:rsidRPr="00CA7244" w:rsidRDefault="00CB570B" w:rsidP="00030D27">
            <w:pPr>
              <w:spacing w:before="0"/>
              <w:jc w:val="left"/>
              <w:rPr>
                <w:sz w:val="16"/>
                <w:szCs w:val="16"/>
              </w:rPr>
            </w:pPr>
            <w:r w:rsidRPr="00CA7244">
              <w:rPr>
                <w:sz w:val="16"/>
                <w:szCs w:val="16"/>
              </w:rPr>
              <w:t>0.01</w:t>
            </w:r>
          </w:p>
        </w:tc>
        <w:tc>
          <w:tcPr>
            <w:tcW w:w="502" w:type="pct"/>
            <w:tcBorders>
              <w:top w:val="nil"/>
              <w:left w:val="nil"/>
              <w:bottom w:val="nil"/>
              <w:right w:val="nil"/>
            </w:tcBorders>
            <w:shd w:val="clear" w:color="auto" w:fill="auto"/>
            <w:noWrap/>
          </w:tcPr>
          <w:p w14:paraId="09A2B7F6" w14:textId="02C71E79" w:rsidR="00CB570B" w:rsidRPr="00CA7244" w:rsidRDefault="00CB570B" w:rsidP="00030D27">
            <w:pPr>
              <w:spacing w:before="0"/>
              <w:jc w:val="left"/>
              <w:rPr>
                <w:sz w:val="16"/>
                <w:szCs w:val="16"/>
              </w:rPr>
            </w:pPr>
            <w:r w:rsidRPr="00CA7244">
              <w:rPr>
                <w:sz w:val="16"/>
                <w:szCs w:val="16"/>
              </w:rPr>
              <w:t>0.98</w:t>
            </w:r>
          </w:p>
        </w:tc>
        <w:tc>
          <w:tcPr>
            <w:tcW w:w="831" w:type="pct"/>
            <w:tcBorders>
              <w:top w:val="nil"/>
              <w:left w:val="nil"/>
              <w:bottom w:val="nil"/>
              <w:right w:val="single" w:sz="4" w:space="0" w:color="auto"/>
            </w:tcBorders>
            <w:shd w:val="clear" w:color="auto" w:fill="auto"/>
            <w:noWrap/>
          </w:tcPr>
          <w:p w14:paraId="42780A32" w14:textId="2BE8B9DC" w:rsidR="00CB570B" w:rsidRPr="00CA7244" w:rsidRDefault="00CB570B" w:rsidP="00030D27">
            <w:pPr>
              <w:spacing w:before="0"/>
              <w:jc w:val="left"/>
              <w:rPr>
                <w:sz w:val="16"/>
                <w:szCs w:val="16"/>
              </w:rPr>
            </w:pPr>
            <w:r w:rsidRPr="00CA7244">
              <w:rPr>
                <w:sz w:val="16"/>
                <w:szCs w:val="16"/>
              </w:rPr>
              <w:t xml:space="preserve">-0.21,0.29 </w:t>
            </w:r>
          </w:p>
        </w:tc>
      </w:tr>
      <w:tr w:rsidR="005C25A7" w:rsidRPr="00CA7244" w14:paraId="56888998" w14:textId="77777777" w:rsidTr="001E43EA">
        <w:trPr>
          <w:trHeight w:val="389"/>
          <w:jc w:val="center"/>
        </w:trPr>
        <w:tc>
          <w:tcPr>
            <w:tcW w:w="720" w:type="pct"/>
            <w:tcBorders>
              <w:top w:val="nil"/>
              <w:left w:val="single" w:sz="4" w:space="0" w:color="auto"/>
              <w:bottom w:val="nil"/>
              <w:right w:val="nil"/>
            </w:tcBorders>
            <w:shd w:val="clear" w:color="auto" w:fill="auto"/>
            <w:noWrap/>
          </w:tcPr>
          <w:p w14:paraId="446ECFCD" w14:textId="66CF586A" w:rsidR="00CB570B" w:rsidRPr="00CA7244" w:rsidRDefault="00CB570B" w:rsidP="00030D27">
            <w:pPr>
              <w:spacing w:before="0"/>
              <w:jc w:val="left"/>
              <w:rPr>
                <w:rFonts w:eastAsia="Times New Roman"/>
                <w:iCs/>
                <w:color w:val="auto"/>
                <w:sz w:val="16"/>
                <w:szCs w:val="16"/>
                <w:lang w:val="en-US"/>
              </w:rPr>
            </w:pPr>
          </w:p>
        </w:tc>
        <w:tc>
          <w:tcPr>
            <w:tcW w:w="2480" w:type="pct"/>
            <w:tcBorders>
              <w:top w:val="nil"/>
              <w:left w:val="nil"/>
              <w:bottom w:val="nil"/>
              <w:right w:val="nil"/>
            </w:tcBorders>
            <w:shd w:val="clear" w:color="auto" w:fill="auto"/>
            <w:noWrap/>
          </w:tcPr>
          <w:p w14:paraId="6A26C5AF" w14:textId="7E4A5DDA" w:rsidR="00CB570B" w:rsidRPr="00CA7244" w:rsidRDefault="00CB570B" w:rsidP="00030D27">
            <w:pPr>
              <w:spacing w:before="0"/>
              <w:jc w:val="left"/>
              <w:rPr>
                <w:rFonts w:eastAsia="Times New Roman"/>
                <w:color w:val="auto"/>
                <w:sz w:val="16"/>
                <w:szCs w:val="16"/>
                <w:lang w:val="en-US"/>
              </w:rPr>
            </w:pPr>
          </w:p>
        </w:tc>
        <w:tc>
          <w:tcPr>
            <w:tcW w:w="467" w:type="pct"/>
            <w:tcBorders>
              <w:top w:val="nil"/>
              <w:left w:val="nil"/>
              <w:bottom w:val="nil"/>
              <w:right w:val="nil"/>
            </w:tcBorders>
            <w:shd w:val="clear" w:color="auto" w:fill="auto"/>
            <w:noWrap/>
          </w:tcPr>
          <w:p w14:paraId="6C7ABF16" w14:textId="5E3A5136" w:rsidR="00CB570B" w:rsidRPr="00CA7244" w:rsidRDefault="00CB570B" w:rsidP="00030D27">
            <w:pPr>
              <w:spacing w:before="0"/>
              <w:jc w:val="left"/>
              <w:rPr>
                <w:bCs/>
                <w:sz w:val="16"/>
                <w:szCs w:val="16"/>
              </w:rPr>
            </w:pPr>
          </w:p>
        </w:tc>
        <w:tc>
          <w:tcPr>
            <w:tcW w:w="502" w:type="pct"/>
            <w:tcBorders>
              <w:top w:val="nil"/>
              <w:left w:val="nil"/>
              <w:bottom w:val="nil"/>
              <w:right w:val="nil"/>
            </w:tcBorders>
            <w:shd w:val="clear" w:color="auto" w:fill="auto"/>
            <w:noWrap/>
          </w:tcPr>
          <w:p w14:paraId="3C019A24" w14:textId="219B4F34" w:rsidR="00CB570B" w:rsidRPr="00CA7244" w:rsidRDefault="00CB570B" w:rsidP="00030D27">
            <w:pPr>
              <w:spacing w:before="0"/>
              <w:jc w:val="left"/>
              <w:rPr>
                <w:bCs/>
                <w:sz w:val="16"/>
                <w:szCs w:val="16"/>
              </w:rPr>
            </w:pPr>
          </w:p>
        </w:tc>
        <w:tc>
          <w:tcPr>
            <w:tcW w:w="831" w:type="pct"/>
            <w:tcBorders>
              <w:top w:val="nil"/>
              <w:left w:val="nil"/>
              <w:bottom w:val="nil"/>
              <w:right w:val="single" w:sz="4" w:space="0" w:color="auto"/>
            </w:tcBorders>
            <w:shd w:val="clear" w:color="auto" w:fill="auto"/>
            <w:noWrap/>
          </w:tcPr>
          <w:p w14:paraId="24832754" w14:textId="14FF4F8B" w:rsidR="00CB570B" w:rsidRPr="00CA7244" w:rsidRDefault="00CB570B" w:rsidP="00030D27">
            <w:pPr>
              <w:spacing w:before="0"/>
              <w:jc w:val="left"/>
              <w:rPr>
                <w:bCs/>
                <w:sz w:val="16"/>
                <w:szCs w:val="16"/>
              </w:rPr>
            </w:pPr>
          </w:p>
        </w:tc>
      </w:tr>
      <w:tr w:rsidR="00CB570B" w:rsidRPr="00CA7244" w14:paraId="179A9233" w14:textId="77777777" w:rsidTr="001E43EA">
        <w:trPr>
          <w:trHeight w:val="389"/>
          <w:jc w:val="center"/>
        </w:trPr>
        <w:tc>
          <w:tcPr>
            <w:tcW w:w="3667" w:type="pct"/>
            <w:gridSpan w:val="3"/>
            <w:tcBorders>
              <w:left w:val="single" w:sz="4" w:space="0" w:color="auto"/>
              <w:right w:val="nil"/>
            </w:tcBorders>
            <w:shd w:val="clear" w:color="auto" w:fill="auto"/>
            <w:noWrap/>
          </w:tcPr>
          <w:p w14:paraId="11DCFE79" w14:textId="0791C5C6" w:rsidR="00CB570B" w:rsidRPr="00CA7244" w:rsidRDefault="00CB570B" w:rsidP="00030D27">
            <w:pPr>
              <w:spacing w:before="0"/>
              <w:jc w:val="left"/>
              <w:rPr>
                <w:b/>
                <w:bCs/>
                <w:sz w:val="16"/>
                <w:szCs w:val="16"/>
              </w:rPr>
            </w:pPr>
            <w:r w:rsidRPr="00CA7244">
              <w:rPr>
                <w:rFonts w:eastAsia="Times New Roman"/>
                <w:b/>
                <w:bCs/>
                <w:sz w:val="16"/>
                <w:szCs w:val="16"/>
                <w:lang w:eastAsia="en-GB"/>
              </w:rPr>
              <w:t>Cued continuous performance test</w:t>
            </w:r>
          </w:p>
        </w:tc>
        <w:tc>
          <w:tcPr>
            <w:tcW w:w="502" w:type="pct"/>
            <w:tcBorders>
              <w:left w:val="nil"/>
              <w:right w:val="nil"/>
            </w:tcBorders>
            <w:shd w:val="clear" w:color="auto" w:fill="auto"/>
            <w:noWrap/>
          </w:tcPr>
          <w:p w14:paraId="661B1476" w14:textId="77777777" w:rsidR="00CB570B" w:rsidRPr="00CA7244" w:rsidRDefault="00CB570B" w:rsidP="00030D27">
            <w:pPr>
              <w:spacing w:before="0"/>
              <w:jc w:val="left"/>
              <w:rPr>
                <w:b/>
                <w:bCs/>
                <w:sz w:val="16"/>
                <w:szCs w:val="16"/>
              </w:rPr>
            </w:pPr>
          </w:p>
        </w:tc>
        <w:tc>
          <w:tcPr>
            <w:tcW w:w="831" w:type="pct"/>
            <w:tcBorders>
              <w:left w:val="nil"/>
              <w:right w:val="single" w:sz="4" w:space="0" w:color="auto"/>
            </w:tcBorders>
            <w:shd w:val="clear" w:color="auto" w:fill="auto"/>
            <w:noWrap/>
          </w:tcPr>
          <w:p w14:paraId="37ECEF06" w14:textId="77777777" w:rsidR="00CB570B" w:rsidRPr="00CA7244" w:rsidRDefault="00CB570B" w:rsidP="00030D27">
            <w:pPr>
              <w:spacing w:before="0"/>
              <w:jc w:val="left"/>
              <w:rPr>
                <w:b/>
                <w:bCs/>
                <w:sz w:val="16"/>
                <w:szCs w:val="16"/>
              </w:rPr>
            </w:pPr>
          </w:p>
        </w:tc>
      </w:tr>
      <w:tr w:rsidR="00CB570B" w:rsidRPr="00CA7244" w14:paraId="275D3431" w14:textId="77777777" w:rsidTr="001E43EA">
        <w:trPr>
          <w:trHeight w:val="389"/>
          <w:jc w:val="center"/>
        </w:trPr>
        <w:tc>
          <w:tcPr>
            <w:tcW w:w="720" w:type="pct"/>
            <w:tcBorders>
              <w:left w:val="single" w:sz="4" w:space="0" w:color="auto"/>
              <w:right w:val="nil"/>
            </w:tcBorders>
            <w:shd w:val="clear" w:color="auto" w:fill="auto"/>
            <w:noWrap/>
          </w:tcPr>
          <w:p w14:paraId="3EC6D50D"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6CE82B50" w14:textId="7FE85CF7"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CNV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21D282DE" w14:textId="4A217263" w:rsidR="00CB570B" w:rsidRPr="00CA7244" w:rsidRDefault="00CB570B" w:rsidP="00030D27">
            <w:pPr>
              <w:spacing w:before="0"/>
              <w:jc w:val="left"/>
              <w:rPr>
                <w:b/>
                <w:bCs/>
                <w:sz w:val="16"/>
                <w:szCs w:val="16"/>
              </w:rPr>
            </w:pPr>
            <w:r w:rsidRPr="00CA7244">
              <w:rPr>
                <w:b/>
                <w:bCs/>
                <w:sz w:val="16"/>
                <w:szCs w:val="16"/>
              </w:rPr>
              <w:t>0.59</w:t>
            </w:r>
          </w:p>
        </w:tc>
        <w:tc>
          <w:tcPr>
            <w:tcW w:w="502" w:type="pct"/>
            <w:tcBorders>
              <w:left w:val="nil"/>
              <w:right w:val="nil"/>
            </w:tcBorders>
            <w:shd w:val="clear" w:color="auto" w:fill="auto"/>
            <w:noWrap/>
          </w:tcPr>
          <w:p w14:paraId="23F33A38" w14:textId="002E18E9" w:rsidR="00CB570B" w:rsidRPr="00CA7244" w:rsidRDefault="00CB570B" w:rsidP="00030D27">
            <w:pPr>
              <w:spacing w:before="0"/>
              <w:jc w:val="left"/>
              <w:rPr>
                <w:b/>
                <w:bCs/>
                <w:sz w:val="16"/>
                <w:szCs w:val="16"/>
              </w:rPr>
            </w:pPr>
            <w:r w:rsidRPr="00CA7244">
              <w:rPr>
                <w:b/>
                <w:bCs/>
                <w:sz w:val="16"/>
                <w:szCs w:val="16"/>
              </w:rPr>
              <w:t>0.03</w:t>
            </w:r>
          </w:p>
        </w:tc>
        <w:tc>
          <w:tcPr>
            <w:tcW w:w="831" w:type="pct"/>
            <w:tcBorders>
              <w:left w:val="nil"/>
              <w:right w:val="single" w:sz="4" w:space="0" w:color="auto"/>
            </w:tcBorders>
            <w:shd w:val="clear" w:color="auto" w:fill="auto"/>
            <w:noWrap/>
          </w:tcPr>
          <w:p w14:paraId="450D3954" w14:textId="037E4710" w:rsidR="00CB570B" w:rsidRPr="00CA7244" w:rsidRDefault="00CB570B" w:rsidP="00030D27">
            <w:pPr>
              <w:spacing w:before="0"/>
              <w:jc w:val="left"/>
              <w:rPr>
                <w:b/>
                <w:bCs/>
                <w:sz w:val="16"/>
                <w:szCs w:val="16"/>
              </w:rPr>
            </w:pPr>
            <w:r w:rsidRPr="00CA7244">
              <w:rPr>
                <w:b/>
                <w:bCs/>
                <w:sz w:val="16"/>
                <w:szCs w:val="16"/>
              </w:rPr>
              <w:t>0.06, 1.12</w:t>
            </w:r>
          </w:p>
        </w:tc>
      </w:tr>
      <w:tr w:rsidR="00CB570B" w:rsidRPr="00CA7244" w14:paraId="5A0B26D9" w14:textId="77777777" w:rsidTr="001E43EA">
        <w:trPr>
          <w:trHeight w:val="389"/>
          <w:jc w:val="center"/>
        </w:trPr>
        <w:tc>
          <w:tcPr>
            <w:tcW w:w="720" w:type="pct"/>
            <w:tcBorders>
              <w:left w:val="single" w:sz="4" w:space="0" w:color="auto"/>
              <w:right w:val="nil"/>
            </w:tcBorders>
            <w:shd w:val="clear" w:color="auto" w:fill="auto"/>
            <w:noWrap/>
          </w:tcPr>
          <w:p w14:paraId="5CA0099D"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029DAA26" w14:textId="055AFEE3"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Go-P3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75952CAC" w14:textId="2072F891" w:rsidR="00CB570B" w:rsidRPr="00CA7244" w:rsidRDefault="00CB570B" w:rsidP="00030D27">
            <w:pPr>
              <w:spacing w:before="0"/>
              <w:jc w:val="left"/>
              <w:rPr>
                <w:b/>
                <w:bCs/>
                <w:sz w:val="16"/>
                <w:szCs w:val="16"/>
              </w:rPr>
            </w:pPr>
            <w:r w:rsidRPr="00CA7244">
              <w:rPr>
                <w:b/>
                <w:bCs/>
                <w:sz w:val="16"/>
                <w:szCs w:val="16"/>
              </w:rPr>
              <w:t>-0.32</w:t>
            </w:r>
          </w:p>
        </w:tc>
        <w:tc>
          <w:tcPr>
            <w:tcW w:w="502" w:type="pct"/>
            <w:tcBorders>
              <w:left w:val="nil"/>
              <w:right w:val="nil"/>
            </w:tcBorders>
            <w:shd w:val="clear" w:color="auto" w:fill="auto"/>
            <w:noWrap/>
          </w:tcPr>
          <w:p w14:paraId="76DFBD84" w14:textId="75B686A3" w:rsidR="00CB570B" w:rsidRPr="00CA7244" w:rsidRDefault="00CB570B" w:rsidP="00030D27">
            <w:pPr>
              <w:spacing w:before="0"/>
              <w:jc w:val="left"/>
              <w:rPr>
                <w:b/>
                <w:bCs/>
                <w:sz w:val="16"/>
                <w:szCs w:val="16"/>
              </w:rPr>
            </w:pPr>
            <w:r w:rsidRPr="00CA7244">
              <w:rPr>
                <w:b/>
                <w:bCs/>
                <w:sz w:val="16"/>
                <w:szCs w:val="16"/>
              </w:rPr>
              <w:t>0.02</w:t>
            </w:r>
          </w:p>
        </w:tc>
        <w:tc>
          <w:tcPr>
            <w:tcW w:w="831" w:type="pct"/>
            <w:tcBorders>
              <w:left w:val="nil"/>
              <w:right w:val="single" w:sz="4" w:space="0" w:color="auto"/>
            </w:tcBorders>
            <w:shd w:val="clear" w:color="auto" w:fill="auto"/>
            <w:noWrap/>
          </w:tcPr>
          <w:p w14:paraId="00766B9D" w14:textId="765806FF" w:rsidR="00CB570B" w:rsidRPr="00CA7244" w:rsidRDefault="00CB570B" w:rsidP="00030D27">
            <w:pPr>
              <w:spacing w:before="0"/>
              <w:jc w:val="left"/>
              <w:rPr>
                <w:b/>
                <w:bCs/>
                <w:sz w:val="16"/>
                <w:szCs w:val="16"/>
              </w:rPr>
            </w:pPr>
            <w:r w:rsidRPr="00CA7244">
              <w:rPr>
                <w:b/>
                <w:bCs/>
                <w:sz w:val="16"/>
                <w:szCs w:val="16"/>
              </w:rPr>
              <w:t xml:space="preserve"> -0.58,-0.06 </w:t>
            </w:r>
          </w:p>
        </w:tc>
      </w:tr>
      <w:tr w:rsidR="00CB570B" w:rsidRPr="00CA7244" w14:paraId="6A27A054" w14:textId="77777777" w:rsidTr="001E43EA">
        <w:trPr>
          <w:trHeight w:val="389"/>
          <w:jc w:val="center"/>
        </w:trPr>
        <w:tc>
          <w:tcPr>
            <w:tcW w:w="720" w:type="pct"/>
            <w:tcBorders>
              <w:left w:val="single" w:sz="4" w:space="0" w:color="auto"/>
              <w:right w:val="nil"/>
            </w:tcBorders>
            <w:shd w:val="clear" w:color="auto" w:fill="auto"/>
            <w:noWrap/>
          </w:tcPr>
          <w:p w14:paraId="164BC664"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74069569" w14:textId="4DBDFE8F"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NoGo-P3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3B9EC7FE" w14:textId="7725AB8F" w:rsidR="00CB570B" w:rsidRPr="00CA7244" w:rsidRDefault="00CB570B" w:rsidP="00030D27">
            <w:pPr>
              <w:spacing w:before="0"/>
              <w:jc w:val="left"/>
              <w:rPr>
                <w:b/>
                <w:bCs/>
                <w:sz w:val="16"/>
                <w:szCs w:val="16"/>
              </w:rPr>
            </w:pPr>
            <w:r w:rsidRPr="00CA7244">
              <w:rPr>
                <w:sz w:val="16"/>
                <w:szCs w:val="16"/>
              </w:rPr>
              <w:t>-0.02</w:t>
            </w:r>
          </w:p>
        </w:tc>
        <w:tc>
          <w:tcPr>
            <w:tcW w:w="502" w:type="pct"/>
            <w:tcBorders>
              <w:left w:val="nil"/>
              <w:right w:val="nil"/>
            </w:tcBorders>
            <w:shd w:val="clear" w:color="auto" w:fill="auto"/>
            <w:noWrap/>
          </w:tcPr>
          <w:p w14:paraId="556B3603" w14:textId="7B337C24" w:rsidR="00CB570B" w:rsidRPr="00CA7244" w:rsidRDefault="00CB570B" w:rsidP="00030D27">
            <w:pPr>
              <w:spacing w:before="0"/>
              <w:jc w:val="left"/>
              <w:rPr>
                <w:b/>
                <w:bCs/>
                <w:sz w:val="16"/>
                <w:szCs w:val="16"/>
              </w:rPr>
            </w:pPr>
            <w:r w:rsidRPr="00CA7244">
              <w:rPr>
                <w:sz w:val="16"/>
                <w:szCs w:val="16"/>
              </w:rPr>
              <w:t>0.86</w:t>
            </w:r>
          </w:p>
        </w:tc>
        <w:tc>
          <w:tcPr>
            <w:tcW w:w="831" w:type="pct"/>
            <w:tcBorders>
              <w:left w:val="nil"/>
              <w:right w:val="single" w:sz="4" w:space="0" w:color="auto"/>
            </w:tcBorders>
            <w:shd w:val="clear" w:color="auto" w:fill="auto"/>
            <w:noWrap/>
          </w:tcPr>
          <w:p w14:paraId="0D03E9A9" w14:textId="012E6033" w:rsidR="00CB570B" w:rsidRPr="00CA7244" w:rsidRDefault="00CB570B" w:rsidP="00030D27">
            <w:pPr>
              <w:spacing w:before="0"/>
              <w:jc w:val="left"/>
              <w:rPr>
                <w:b/>
                <w:bCs/>
                <w:sz w:val="16"/>
                <w:szCs w:val="16"/>
              </w:rPr>
            </w:pPr>
            <w:r w:rsidRPr="00CA7244">
              <w:rPr>
                <w:sz w:val="16"/>
                <w:szCs w:val="16"/>
              </w:rPr>
              <w:t xml:space="preserve"> -0.26,-0.22 </w:t>
            </w:r>
          </w:p>
        </w:tc>
      </w:tr>
      <w:tr w:rsidR="00CB570B" w:rsidRPr="00CA7244" w14:paraId="26E290DE" w14:textId="77777777" w:rsidTr="001E43EA">
        <w:trPr>
          <w:trHeight w:val="389"/>
          <w:jc w:val="center"/>
        </w:trPr>
        <w:tc>
          <w:tcPr>
            <w:tcW w:w="720" w:type="pct"/>
            <w:tcBorders>
              <w:left w:val="single" w:sz="4" w:space="0" w:color="auto"/>
              <w:right w:val="nil"/>
            </w:tcBorders>
            <w:shd w:val="clear" w:color="auto" w:fill="auto"/>
            <w:noWrap/>
          </w:tcPr>
          <w:p w14:paraId="15FA7C87" w14:textId="77777777" w:rsidR="00CB570B" w:rsidRPr="00CA7244" w:rsidRDefault="00CB570B" w:rsidP="00030D27">
            <w:pPr>
              <w:spacing w:before="0"/>
              <w:jc w:val="left"/>
              <w:rPr>
                <w:sz w:val="16"/>
                <w:szCs w:val="16"/>
              </w:rPr>
            </w:pPr>
          </w:p>
        </w:tc>
        <w:tc>
          <w:tcPr>
            <w:tcW w:w="2480" w:type="pct"/>
            <w:tcBorders>
              <w:left w:val="nil"/>
              <w:right w:val="nil"/>
            </w:tcBorders>
            <w:shd w:val="clear" w:color="auto" w:fill="auto"/>
            <w:noWrap/>
          </w:tcPr>
          <w:p w14:paraId="4587F4C0" w14:textId="77777777" w:rsidR="00CB570B" w:rsidRPr="00CA7244" w:rsidRDefault="00CB570B" w:rsidP="00030D27">
            <w:pPr>
              <w:spacing w:before="0"/>
              <w:jc w:val="left"/>
              <w:rPr>
                <w:rFonts w:eastAsia="Times New Roman"/>
                <w:color w:val="auto"/>
                <w:sz w:val="16"/>
                <w:szCs w:val="16"/>
                <w:lang w:val="en-US" w:eastAsia="en-GB"/>
              </w:rPr>
            </w:pPr>
          </w:p>
        </w:tc>
        <w:tc>
          <w:tcPr>
            <w:tcW w:w="467" w:type="pct"/>
            <w:tcBorders>
              <w:left w:val="nil"/>
              <w:right w:val="nil"/>
            </w:tcBorders>
            <w:shd w:val="clear" w:color="auto" w:fill="auto"/>
            <w:noWrap/>
          </w:tcPr>
          <w:p w14:paraId="0BC53BF3" w14:textId="77777777" w:rsidR="00CB570B" w:rsidRPr="00CA7244" w:rsidRDefault="00CB570B" w:rsidP="00030D27">
            <w:pPr>
              <w:spacing w:before="0"/>
              <w:jc w:val="left"/>
              <w:rPr>
                <w:b/>
                <w:bCs/>
                <w:sz w:val="16"/>
                <w:szCs w:val="16"/>
              </w:rPr>
            </w:pPr>
          </w:p>
        </w:tc>
        <w:tc>
          <w:tcPr>
            <w:tcW w:w="502" w:type="pct"/>
            <w:tcBorders>
              <w:left w:val="nil"/>
              <w:right w:val="nil"/>
            </w:tcBorders>
            <w:shd w:val="clear" w:color="auto" w:fill="auto"/>
            <w:noWrap/>
          </w:tcPr>
          <w:p w14:paraId="289996B8" w14:textId="77777777" w:rsidR="00CB570B" w:rsidRPr="00CA7244" w:rsidRDefault="00CB570B" w:rsidP="00030D27">
            <w:pPr>
              <w:spacing w:before="0"/>
              <w:jc w:val="left"/>
              <w:rPr>
                <w:b/>
                <w:bCs/>
                <w:sz w:val="16"/>
                <w:szCs w:val="16"/>
              </w:rPr>
            </w:pPr>
          </w:p>
        </w:tc>
        <w:tc>
          <w:tcPr>
            <w:tcW w:w="831" w:type="pct"/>
            <w:tcBorders>
              <w:left w:val="nil"/>
              <w:right w:val="single" w:sz="4" w:space="0" w:color="auto"/>
            </w:tcBorders>
            <w:shd w:val="clear" w:color="auto" w:fill="auto"/>
            <w:noWrap/>
          </w:tcPr>
          <w:p w14:paraId="2737E896" w14:textId="77777777" w:rsidR="00CB570B" w:rsidRPr="00CA7244" w:rsidRDefault="00CB570B" w:rsidP="00030D27">
            <w:pPr>
              <w:spacing w:before="0"/>
              <w:jc w:val="left"/>
              <w:rPr>
                <w:b/>
                <w:bCs/>
                <w:sz w:val="16"/>
                <w:szCs w:val="16"/>
              </w:rPr>
            </w:pPr>
          </w:p>
        </w:tc>
      </w:tr>
      <w:tr w:rsidR="00CB570B" w:rsidRPr="00CA7244" w14:paraId="458E05D9" w14:textId="77777777" w:rsidTr="001E43EA">
        <w:trPr>
          <w:trHeight w:val="389"/>
          <w:jc w:val="center"/>
        </w:trPr>
        <w:tc>
          <w:tcPr>
            <w:tcW w:w="3200" w:type="pct"/>
            <w:gridSpan w:val="2"/>
            <w:tcBorders>
              <w:left w:val="single" w:sz="4" w:space="0" w:color="auto"/>
              <w:right w:val="nil"/>
            </w:tcBorders>
            <w:shd w:val="clear" w:color="auto" w:fill="auto"/>
            <w:noWrap/>
          </w:tcPr>
          <w:p w14:paraId="04B7434B" w14:textId="096E6224" w:rsidR="00CB570B" w:rsidRPr="00CA7244" w:rsidRDefault="00CB570B" w:rsidP="00030D27">
            <w:pPr>
              <w:spacing w:before="0"/>
              <w:jc w:val="left"/>
              <w:rPr>
                <w:rFonts w:eastAsia="Times New Roman"/>
                <w:b/>
                <w:color w:val="auto"/>
                <w:sz w:val="16"/>
                <w:szCs w:val="16"/>
                <w:lang w:val="en-US" w:eastAsia="en-GB"/>
              </w:rPr>
            </w:pPr>
            <w:r w:rsidRPr="00CA7244">
              <w:rPr>
                <w:b/>
                <w:sz w:val="16"/>
                <w:szCs w:val="16"/>
              </w:rPr>
              <w:t>Arrow flanker task</w:t>
            </w:r>
          </w:p>
        </w:tc>
        <w:tc>
          <w:tcPr>
            <w:tcW w:w="467" w:type="pct"/>
            <w:tcBorders>
              <w:left w:val="nil"/>
              <w:right w:val="nil"/>
            </w:tcBorders>
            <w:shd w:val="clear" w:color="auto" w:fill="auto"/>
            <w:noWrap/>
          </w:tcPr>
          <w:p w14:paraId="059D3452" w14:textId="77777777" w:rsidR="00CB570B" w:rsidRPr="00CA7244" w:rsidRDefault="00CB570B" w:rsidP="00030D27">
            <w:pPr>
              <w:spacing w:before="0"/>
              <w:jc w:val="left"/>
              <w:rPr>
                <w:b/>
                <w:bCs/>
                <w:sz w:val="16"/>
                <w:szCs w:val="16"/>
              </w:rPr>
            </w:pPr>
          </w:p>
        </w:tc>
        <w:tc>
          <w:tcPr>
            <w:tcW w:w="502" w:type="pct"/>
            <w:tcBorders>
              <w:left w:val="nil"/>
              <w:right w:val="nil"/>
            </w:tcBorders>
            <w:shd w:val="clear" w:color="auto" w:fill="auto"/>
            <w:noWrap/>
          </w:tcPr>
          <w:p w14:paraId="7AECD75F" w14:textId="77777777" w:rsidR="00CB570B" w:rsidRPr="00CA7244" w:rsidRDefault="00CB570B" w:rsidP="00030D27">
            <w:pPr>
              <w:spacing w:before="0"/>
              <w:jc w:val="left"/>
              <w:rPr>
                <w:b/>
                <w:bCs/>
                <w:sz w:val="16"/>
                <w:szCs w:val="16"/>
              </w:rPr>
            </w:pPr>
          </w:p>
        </w:tc>
        <w:tc>
          <w:tcPr>
            <w:tcW w:w="831" w:type="pct"/>
            <w:tcBorders>
              <w:left w:val="nil"/>
              <w:right w:val="single" w:sz="4" w:space="0" w:color="auto"/>
            </w:tcBorders>
            <w:shd w:val="clear" w:color="auto" w:fill="auto"/>
            <w:noWrap/>
          </w:tcPr>
          <w:p w14:paraId="6B0F5072" w14:textId="77777777" w:rsidR="00CB570B" w:rsidRPr="00CA7244" w:rsidRDefault="00CB570B" w:rsidP="00030D27">
            <w:pPr>
              <w:spacing w:before="0"/>
              <w:jc w:val="left"/>
              <w:rPr>
                <w:b/>
                <w:bCs/>
                <w:sz w:val="16"/>
                <w:szCs w:val="16"/>
              </w:rPr>
            </w:pPr>
          </w:p>
        </w:tc>
      </w:tr>
      <w:tr w:rsidR="00CB570B" w:rsidRPr="00CA7244" w14:paraId="67BAC6CB" w14:textId="77777777" w:rsidTr="001E43EA">
        <w:trPr>
          <w:trHeight w:val="389"/>
          <w:jc w:val="center"/>
        </w:trPr>
        <w:tc>
          <w:tcPr>
            <w:tcW w:w="720" w:type="pct"/>
            <w:tcBorders>
              <w:left w:val="single" w:sz="4" w:space="0" w:color="auto"/>
              <w:right w:val="nil"/>
            </w:tcBorders>
            <w:shd w:val="clear" w:color="auto" w:fill="auto"/>
            <w:noWrap/>
          </w:tcPr>
          <w:p w14:paraId="298A6B2F" w14:textId="320A5073"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3E3EA678" w14:textId="29039E47"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N2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04850C82" w14:textId="5BDE6EF6" w:rsidR="00CB570B" w:rsidRPr="00CA7244" w:rsidRDefault="00CB570B" w:rsidP="00030D27">
            <w:pPr>
              <w:spacing w:before="0"/>
              <w:jc w:val="left"/>
              <w:rPr>
                <w:b/>
                <w:bCs/>
                <w:sz w:val="16"/>
                <w:szCs w:val="16"/>
              </w:rPr>
            </w:pPr>
            <w:r w:rsidRPr="00CA7244">
              <w:rPr>
                <w:b/>
                <w:bCs/>
                <w:sz w:val="16"/>
                <w:szCs w:val="16"/>
              </w:rPr>
              <w:t>0.27</w:t>
            </w:r>
          </w:p>
        </w:tc>
        <w:tc>
          <w:tcPr>
            <w:tcW w:w="502" w:type="pct"/>
            <w:tcBorders>
              <w:left w:val="nil"/>
              <w:right w:val="nil"/>
            </w:tcBorders>
            <w:shd w:val="clear" w:color="auto" w:fill="auto"/>
            <w:noWrap/>
          </w:tcPr>
          <w:p w14:paraId="7F3D9291" w14:textId="7F53BB37" w:rsidR="00CB570B" w:rsidRPr="00CA7244" w:rsidRDefault="00CB570B" w:rsidP="00030D27">
            <w:pPr>
              <w:spacing w:before="0"/>
              <w:jc w:val="left"/>
              <w:rPr>
                <w:b/>
                <w:bCs/>
                <w:sz w:val="16"/>
                <w:szCs w:val="16"/>
              </w:rPr>
            </w:pPr>
            <w:r w:rsidRPr="00CA7244">
              <w:rPr>
                <w:b/>
                <w:bCs/>
                <w:sz w:val="16"/>
                <w:szCs w:val="16"/>
              </w:rPr>
              <w:t>0.04</w:t>
            </w:r>
          </w:p>
        </w:tc>
        <w:tc>
          <w:tcPr>
            <w:tcW w:w="831" w:type="pct"/>
            <w:tcBorders>
              <w:left w:val="nil"/>
              <w:right w:val="single" w:sz="4" w:space="0" w:color="auto"/>
            </w:tcBorders>
            <w:shd w:val="clear" w:color="auto" w:fill="auto"/>
            <w:noWrap/>
          </w:tcPr>
          <w:p w14:paraId="782CBF7B" w14:textId="4A4223BE" w:rsidR="00CB570B" w:rsidRPr="00CA7244" w:rsidRDefault="00CB570B" w:rsidP="00030D27">
            <w:pPr>
              <w:spacing w:before="0"/>
              <w:jc w:val="left"/>
              <w:rPr>
                <w:b/>
                <w:bCs/>
                <w:sz w:val="16"/>
                <w:szCs w:val="16"/>
              </w:rPr>
            </w:pPr>
            <w:r w:rsidRPr="00CA7244">
              <w:rPr>
                <w:b/>
                <w:bCs/>
                <w:sz w:val="16"/>
                <w:szCs w:val="16"/>
              </w:rPr>
              <w:t xml:space="preserve">  0.01,0.54 </w:t>
            </w:r>
          </w:p>
        </w:tc>
      </w:tr>
      <w:tr w:rsidR="00CB570B" w:rsidRPr="00CA7244" w14:paraId="15B4AEC7" w14:textId="77777777" w:rsidTr="001E43EA">
        <w:trPr>
          <w:trHeight w:val="389"/>
          <w:jc w:val="center"/>
        </w:trPr>
        <w:tc>
          <w:tcPr>
            <w:tcW w:w="720" w:type="pct"/>
            <w:tcBorders>
              <w:left w:val="single" w:sz="4" w:space="0" w:color="auto"/>
              <w:right w:val="nil"/>
            </w:tcBorders>
            <w:shd w:val="clear" w:color="auto" w:fill="auto"/>
            <w:noWrap/>
          </w:tcPr>
          <w:p w14:paraId="4B987E38"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342F0E13" w14:textId="301796C4"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Pe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0C3BBFAE" w14:textId="59917B6C" w:rsidR="00CB570B" w:rsidRPr="00CA7244" w:rsidRDefault="00CB570B" w:rsidP="00030D27">
            <w:pPr>
              <w:spacing w:before="0"/>
              <w:jc w:val="left"/>
              <w:rPr>
                <w:b/>
                <w:bCs/>
                <w:sz w:val="16"/>
                <w:szCs w:val="16"/>
              </w:rPr>
            </w:pPr>
            <w:r w:rsidRPr="00CA7244">
              <w:rPr>
                <w:b/>
                <w:bCs/>
                <w:sz w:val="16"/>
                <w:szCs w:val="16"/>
              </w:rPr>
              <w:t>-0.23</w:t>
            </w:r>
          </w:p>
        </w:tc>
        <w:tc>
          <w:tcPr>
            <w:tcW w:w="502" w:type="pct"/>
            <w:tcBorders>
              <w:left w:val="nil"/>
              <w:right w:val="nil"/>
            </w:tcBorders>
            <w:shd w:val="clear" w:color="auto" w:fill="auto"/>
            <w:noWrap/>
          </w:tcPr>
          <w:p w14:paraId="6B352257" w14:textId="3D38C5DC" w:rsidR="00CB570B" w:rsidRPr="00CA7244" w:rsidRDefault="00CB570B" w:rsidP="00030D27">
            <w:pPr>
              <w:spacing w:before="0"/>
              <w:jc w:val="left"/>
              <w:rPr>
                <w:b/>
                <w:bCs/>
                <w:sz w:val="16"/>
                <w:szCs w:val="16"/>
              </w:rPr>
            </w:pPr>
            <w:r w:rsidRPr="00CA7244">
              <w:rPr>
                <w:b/>
                <w:bCs/>
                <w:sz w:val="16"/>
                <w:szCs w:val="16"/>
              </w:rPr>
              <w:t>0.05</w:t>
            </w:r>
          </w:p>
        </w:tc>
        <w:tc>
          <w:tcPr>
            <w:tcW w:w="831" w:type="pct"/>
            <w:tcBorders>
              <w:left w:val="nil"/>
              <w:right w:val="single" w:sz="4" w:space="0" w:color="auto"/>
            </w:tcBorders>
            <w:shd w:val="clear" w:color="auto" w:fill="auto"/>
            <w:noWrap/>
          </w:tcPr>
          <w:p w14:paraId="70736348" w14:textId="460B6AC7" w:rsidR="00CB570B" w:rsidRPr="00CA7244" w:rsidRDefault="00CB570B" w:rsidP="00030D27">
            <w:pPr>
              <w:spacing w:before="0"/>
              <w:jc w:val="left"/>
              <w:rPr>
                <w:b/>
                <w:bCs/>
                <w:sz w:val="16"/>
                <w:szCs w:val="16"/>
              </w:rPr>
            </w:pPr>
            <w:r w:rsidRPr="00CA7244">
              <w:rPr>
                <w:b/>
                <w:bCs/>
                <w:sz w:val="16"/>
                <w:szCs w:val="16"/>
              </w:rPr>
              <w:t xml:space="preserve"> -0.46,-0.00 </w:t>
            </w:r>
          </w:p>
        </w:tc>
      </w:tr>
      <w:tr w:rsidR="00CB570B" w:rsidRPr="00CA7244" w14:paraId="06B8700C" w14:textId="77777777" w:rsidTr="001E43EA">
        <w:trPr>
          <w:trHeight w:val="389"/>
          <w:jc w:val="center"/>
        </w:trPr>
        <w:tc>
          <w:tcPr>
            <w:tcW w:w="720" w:type="pct"/>
            <w:tcBorders>
              <w:left w:val="single" w:sz="4" w:space="0" w:color="auto"/>
              <w:right w:val="nil"/>
            </w:tcBorders>
            <w:shd w:val="clear" w:color="auto" w:fill="auto"/>
            <w:noWrap/>
          </w:tcPr>
          <w:p w14:paraId="6A34715C"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78EDB3A1" w14:textId="5423B269"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ERN </w:t>
            </w:r>
            <w:r w:rsidRPr="00CA7244">
              <w:rPr>
                <w:rFonts w:eastAsia="Times New Roman"/>
                <w:sz w:val="16"/>
                <w:szCs w:val="16"/>
                <w:lang w:val="en-US" w:eastAsia="en-GB"/>
              </w:rPr>
              <w:t xml:space="preserve">(µV) </w:t>
            </w:r>
          </w:p>
        </w:tc>
        <w:tc>
          <w:tcPr>
            <w:tcW w:w="467" w:type="pct"/>
            <w:tcBorders>
              <w:left w:val="nil"/>
              <w:right w:val="nil"/>
            </w:tcBorders>
            <w:shd w:val="clear" w:color="auto" w:fill="auto"/>
            <w:noWrap/>
          </w:tcPr>
          <w:p w14:paraId="52112631" w14:textId="56A5BB5D" w:rsidR="00CB570B" w:rsidRPr="00CA7244" w:rsidRDefault="00CB570B" w:rsidP="00030D27">
            <w:pPr>
              <w:spacing w:before="0"/>
              <w:jc w:val="left"/>
              <w:rPr>
                <w:b/>
                <w:bCs/>
                <w:sz w:val="16"/>
                <w:szCs w:val="16"/>
              </w:rPr>
            </w:pPr>
            <w:r w:rsidRPr="00CA7244">
              <w:rPr>
                <w:b/>
                <w:bCs/>
                <w:sz w:val="16"/>
                <w:szCs w:val="16"/>
              </w:rPr>
              <w:t>0.28</w:t>
            </w:r>
          </w:p>
        </w:tc>
        <w:tc>
          <w:tcPr>
            <w:tcW w:w="502" w:type="pct"/>
            <w:tcBorders>
              <w:left w:val="nil"/>
              <w:right w:val="nil"/>
            </w:tcBorders>
            <w:shd w:val="clear" w:color="auto" w:fill="auto"/>
            <w:noWrap/>
          </w:tcPr>
          <w:p w14:paraId="76F305A2" w14:textId="2F11BB53" w:rsidR="00CB570B" w:rsidRPr="00CA7244" w:rsidRDefault="00CB570B" w:rsidP="00030D27">
            <w:pPr>
              <w:spacing w:before="0"/>
              <w:jc w:val="left"/>
              <w:rPr>
                <w:b/>
                <w:bCs/>
                <w:sz w:val="16"/>
                <w:szCs w:val="16"/>
              </w:rPr>
            </w:pPr>
            <w:r w:rsidRPr="00CA7244">
              <w:rPr>
                <w:b/>
                <w:bCs/>
                <w:sz w:val="16"/>
                <w:szCs w:val="16"/>
              </w:rPr>
              <w:t>0.04</w:t>
            </w:r>
          </w:p>
        </w:tc>
        <w:tc>
          <w:tcPr>
            <w:tcW w:w="831" w:type="pct"/>
            <w:tcBorders>
              <w:left w:val="nil"/>
              <w:right w:val="single" w:sz="4" w:space="0" w:color="auto"/>
            </w:tcBorders>
            <w:shd w:val="clear" w:color="auto" w:fill="auto"/>
            <w:noWrap/>
          </w:tcPr>
          <w:p w14:paraId="642BFDE7" w14:textId="564C1F24" w:rsidR="00CB570B" w:rsidRPr="00CA7244" w:rsidRDefault="00CB570B" w:rsidP="00030D27">
            <w:pPr>
              <w:spacing w:before="0"/>
              <w:jc w:val="left"/>
              <w:rPr>
                <w:b/>
                <w:bCs/>
                <w:sz w:val="16"/>
                <w:szCs w:val="16"/>
              </w:rPr>
            </w:pPr>
            <w:r w:rsidRPr="00CA7244">
              <w:rPr>
                <w:b/>
                <w:bCs/>
                <w:sz w:val="16"/>
                <w:szCs w:val="16"/>
              </w:rPr>
              <w:t xml:space="preserve">  0.02,-0.54 </w:t>
            </w:r>
          </w:p>
        </w:tc>
      </w:tr>
      <w:tr w:rsidR="002E416D" w:rsidRPr="00CA7244" w14:paraId="05A7571A" w14:textId="77777777" w:rsidTr="001E43EA">
        <w:trPr>
          <w:trHeight w:val="389"/>
          <w:jc w:val="center"/>
        </w:trPr>
        <w:tc>
          <w:tcPr>
            <w:tcW w:w="720" w:type="pct"/>
            <w:tcBorders>
              <w:left w:val="single" w:sz="4" w:space="0" w:color="auto"/>
              <w:right w:val="nil"/>
            </w:tcBorders>
            <w:shd w:val="clear" w:color="auto" w:fill="auto"/>
            <w:noWrap/>
          </w:tcPr>
          <w:p w14:paraId="3A1F235D"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579C70BD" w14:textId="453DBCB6" w:rsidR="00CB570B" w:rsidRPr="00CA7244" w:rsidRDefault="00CB570B" w:rsidP="00030D27">
            <w:pPr>
              <w:spacing w:before="0"/>
              <w:jc w:val="left"/>
              <w:rPr>
                <w:rFonts w:eastAsia="Times New Roman"/>
                <w:color w:val="auto"/>
                <w:sz w:val="16"/>
                <w:szCs w:val="16"/>
                <w:lang w:val="en-US" w:eastAsia="en-GB"/>
              </w:rPr>
            </w:pPr>
          </w:p>
        </w:tc>
        <w:tc>
          <w:tcPr>
            <w:tcW w:w="467" w:type="pct"/>
            <w:tcBorders>
              <w:left w:val="nil"/>
              <w:right w:val="nil"/>
            </w:tcBorders>
            <w:shd w:val="clear" w:color="auto" w:fill="auto"/>
            <w:noWrap/>
          </w:tcPr>
          <w:p w14:paraId="279DE737" w14:textId="3531740C" w:rsidR="00CB570B" w:rsidRPr="00CA7244" w:rsidRDefault="00CB570B" w:rsidP="00030D27">
            <w:pPr>
              <w:spacing w:before="0"/>
              <w:jc w:val="left"/>
              <w:rPr>
                <w:b/>
                <w:bCs/>
                <w:sz w:val="16"/>
                <w:szCs w:val="16"/>
              </w:rPr>
            </w:pPr>
          </w:p>
        </w:tc>
        <w:tc>
          <w:tcPr>
            <w:tcW w:w="502" w:type="pct"/>
            <w:tcBorders>
              <w:left w:val="nil"/>
              <w:right w:val="nil"/>
            </w:tcBorders>
            <w:shd w:val="clear" w:color="auto" w:fill="auto"/>
            <w:noWrap/>
          </w:tcPr>
          <w:p w14:paraId="6FBBF9AD" w14:textId="151A8372" w:rsidR="00CB570B" w:rsidRPr="00CA7244" w:rsidRDefault="00CB570B" w:rsidP="00030D27">
            <w:pPr>
              <w:spacing w:before="0"/>
              <w:jc w:val="left"/>
              <w:rPr>
                <w:b/>
                <w:bCs/>
                <w:sz w:val="16"/>
                <w:szCs w:val="16"/>
              </w:rPr>
            </w:pPr>
          </w:p>
        </w:tc>
        <w:tc>
          <w:tcPr>
            <w:tcW w:w="831" w:type="pct"/>
            <w:tcBorders>
              <w:left w:val="nil"/>
              <w:right w:val="single" w:sz="4" w:space="0" w:color="auto"/>
            </w:tcBorders>
            <w:shd w:val="clear" w:color="auto" w:fill="auto"/>
            <w:noWrap/>
          </w:tcPr>
          <w:p w14:paraId="196653BE" w14:textId="04C50341" w:rsidR="00CB570B" w:rsidRPr="00CA7244" w:rsidRDefault="00CB570B" w:rsidP="00030D27">
            <w:pPr>
              <w:spacing w:before="0"/>
              <w:jc w:val="left"/>
              <w:rPr>
                <w:b/>
                <w:bCs/>
                <w:sz w:val="16"/>
                <w:szCs w:val="16"/>
              </w:rPr>
            </w:pPr>
          </w:p>
        </w:tc>
      </w:tr>
      <w:tr w:rsidR="002E416D" w:rsidRPr="00CA7244" w14:paraId="1B252961" w14:textId="77777777" w:rsidTr="001E43EA">
        <w:trPr>
          <w:trHeight w:val="389"/>
          <w:jc w:val="center"/>
        </w:trPr>
        <w:tc>
          <w:tcPr>
            <w:tcW w:w="3200" w:type="pct"/>
            <w:gridSpan w:val="2"/>
            <w:tcBorders>
              <w:left w:val="single" w:sz="4" w:space="0" w:color="auto"/>
              <w:right w:val="nil"/>
            </w:tcBorders>
            <w:shd w:val="clear" w:color="auto" w:fill="auto"/>
            <w:noWrap/>
          </w:tcPr>
          <w:p w14:paraId="3F625AF5" w14:textId="7B0D7DD0" w:rsidR="002E416D" w:rsidRPr="00CA7244" w:rsidRDefault="002E416D" w:rsidP="00030D27">
            <w:pPr>
              <w:spacing w:before="0"/>
              <w:jc w:val="left"/>
              <w:rPr>
                <w:rFonts w:eastAsia="Times New Roman"/>
                <w:b/>
                <w:color w:val="auto"/>
                <w:sz w:val="16"/>
                <w:szCs w:val="16"/>
                <w:lang w:val="en-US" w:eastAsia="en-GB"/>
              </w:rPr>
            </w:pPr>
            <w:r w:rsidRPr="00CA7244">
              <w:rPr>
                <w:rFonts w:eastAsia="Times New Roman"/>
                <w:b/>
                <w:iCs/>
                <w:color w:val="auto"/>
                <w:sz w:val="16"/>
                <w:szCs w:val="16"/>
                <w:lang w:val="en-US" w:eastAsia="en-GB"/>
              </w:rPr>
              <w:t>The fast task</w:t>
            </w:r>
          </w:p>
        </w:tc>
        <w:tc>
          <w:tcPr>
            <w:tcW w:w="467" w:type="pct"/>
            <w:tcBorders>
              <w:left w:val="nil"/>
              <w:right w:val="nil"/>
            </w:tcBorders>
            <w:shd w:val="clear" w:color="auto" w:fill="auto"/>
            <w:noWrap/>
          </w:tcPr>
          <w:p w14:paraId="3B4836DB" w14:textId="77777777" w:rsidR="002E416D" w:rsidRPr="00CA7244" w:rsidRDefault="002E416D" w:rsidP="00030D27">
            <w:pPr>
              <w:spacing w:before="0"/>
              <w:jc w:val="left"/>
              <w:rPr>
                <w:b/>
                <w:bCs/>
                <w:sz w:val="16"/>
                <w:szCs w:val="16"/>
              </w:rPr>
            </w:pPr>
          </w:p>
        </w:tc>
        <w:tc>
          <w:tcPr>
            <w:tcW w:w="502" w:type="pct"/>
            <w:tcBorders>
              <w:left w:val="nil"/>
              <w:right w:val="nil"/>
            </w:tcBorders>
            <w:shd w:val="clear" w:color="auto" w:fill="auto"/>
            <w:noWrap/>
          </w:tcPr>
          <w:p w14:paraId="5C6D3ED5" w14:textId="77777777" w:rsidR="002E416D" w:rsidRPr="00CA7244" w:rsidRDefault="002E416D" w:rsidP="00030D27">
            <w:pPr>
              <w:spacing w:before="0"/>
              <w:jc w:val="left"/>
              <w:rPr>
                <w:b/>
                <w:bCs/>
                <w:sz w:val="16"/>
                <w:szCs w:val="16"/>
              </w:rPr>
            </w:pPr>
          </w:p>
        </w:tc>
        <w:tc>
          <w:tcPr>
            <w:tcW w:w="831" w:type="pct"/>
            <w:tcBorders>
              <w:left w:val="nil"/>
              <w:right w:val="single" w:sz="4" w:space="0" w:color="auto"/>
            </w:tcBorders>
            <w:shd w:val="clear" w:color="auto" w:fill="auto"/>
            <w:noWrap/>
          </w:tcPr>
          <w:p w14:paraId="661051F6" w14:textId="77777777" w:rsidR="002E416D" w:rsidRPr="00CA7244" w:rsidRDefault="002E416D" w:rsidP="00030D27">
            <w:pPr>
              <w:spacing w:before="0"/>
              <w:jc w:val="left"/>
              <w:rPr>
                <w:b/>
                <w:bCs/>
                <w:sz w:val="16"/>
                <w:szCs w:val="16"/>
              </w:rPr>
            </w:pPr>
          </w:p>
        </w:tc>
      </w:tr>
      <w:tr w:rsidR="00CB570B" w:rsidRPr="00CA7244" w14:paraId="698FB8BD" w14:textId="77777777" w:rsidTr="001E43EA">
        <w:trPr>
          <w:trHeight w:val="389"/>
          <w:jc w:val="center"/>
        </w:trPr>
        <w:tc>
          <w:tcPr>
            <w:tcW w:w="720" w:type="pct"/>
            <w:tcBorders>
              <w:left w:val="single" w:sz="4" w:space="0" w:color="auto"/>
              <w:right w:val="nil"/>
            </w:tcBorders>
            <w:shd w:val="clear" w:color="auto" w:fill="auto"/>
            <w:noWrap/>
          </w:tcPr>
          <w:p w14:paraId="6F15A38A" w14:textId="54AA91C8"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2C2FDB4C" w14:textId="5A703F9F"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sz w:val="16"/>
                <w:szCs w:val="16"/>
                <w:lang w:val="en-US" w:eastAsia="en-GB"/>
              </w:rPr>
              <w:t>MRT (ms) in baseline</w:t>
            </w:r>
          </w:p>
        </w:tc>
        <w:tc>
          <w:tcPr>
            <w:tcW w:w="467" w:type="pct"/>
            <w:tcBorders>
              <w:left w:val="nil"/>
              <w:right w:val="nil"/>
            </w:tcBorders>
            <w:shd w:val="clear" w:color="auto" w:fill="auto"/>
            <w:noWrap/>
          </w:tcPr>
          <w:p w14:paraId="42FCB752" w14:textId="05186933" w:rsidR="00CB570B" w:rsidRPr="00CA7244" w:rsidRDefault="00CB570B" w:rsidP="00030D27">
            <w:pPr>
              <w:spacing w:before="0"/>
              <w:jc w:val="left"/>
              <w:rPr>
                <w:b/>
                <w:bCs/>
                <w:sz w:val="16"/>
                <w:szCs w:val="16"/>
              </w:rPr>
            </w:pPr>
            <w:r w:rsidRPr="00CA7244">
              <w:rPr>
                <w:b/>
                <w:bCs/>
                <w:sz w:val="16"/>
                <w:szCs w:val="16"/>
              </w:rPr>
              <w:t>0.26</w:t>
            </w:r>
          </w:p>
        </w:tc>
        <w:tc>
          <w:tcPr>
            <w:tcW w:w="502" w:type="pct"/>
            <w:tcBorders>
              <w:left w:val="nil"/>
              <w:right w:val="nil"/>
            </w:tcBorders>
            <w:shd w:val="clear" w:color="auto" w:fill="auto"/>
            <w:noWrap/>
          </w:tcPr>
          <w:p w14:paraId="74118DEB" w14:textId="1488761D" w:rsidR="00CB570B" w:rsidRPr="00CA7244" w:rsidRDefault="00CB570B" w:rsidP="00030D27">
            <w:pPr>
              <w:spacing w:before="0"/>
              <w:jc w:val="left"/>
              <w:rPr>
                <w:b/>
                <w:bCs/>
                <w:sz w:val="16"/>
                <w:szCs w:val="16"/>
              </w:rPr>
            </w:pPr>
            <w:r w:rsidRPr="00CA7244">
              <w:rPr>
                <w:b/>
                <w:bCs/>
                <w:sz w:val="16"/>
                <w:szCs w:val="16"/>
              </w:rPr>
              <w:t>0.05</w:t>
            </w:r>
          </w:p>
        </w:tc>
        <w:tc>
          <w:tcPr>
            <w:tcW w:w="831" w:type="pct"/>
            <w:tcBorders>
              <w:left w:val="nil"/>
              <w:right w:val="single" w:sz="4" w:space="0" w:color="auto"/>
            </w:tcBorders>
            <w:shd w:val="clear" w:color="auto" w:fill="auto"/>
            <w:noWrap/>
          </w:tcPr>
          <w:p w14:paraId="607E5500" w14:textId="5227ECEF" w:rsidR="00CB570B" w:rsidRPr="00CA7244" w:rsidRDefault="00CB570B" w:rsidP="00030D27">
            <w:pPr>
              <w:spacing w:before="0"/>
              <w:jc w:val="left"/>
              <w:rPr>
                <w:b/>
                <w:bCs/>
                <w:sz w:val="16"/>
                <w:szCs w:val="16"/>
              </w:rPr>
            </w:pPr>
            <w:r w:rsidRPr="00CA7244">
              <w:rPr>
                <w:b/>
                <w:bCs/>
                <w:sz w:val="16"/>
                <w:szCs w:val="16"/>
              </w:rPr>
              <w:t xml:space="preserve"> 0.02,0.53 </w:t>
            </w:r>
          </w:p>
        </w:tc>
      </w:tr>
      <w:tr w:rsidR="00CB570B" w:rsidRPr="00CA7244" w14:paraId="528B891A" w14:textId="77777777" w:rsidTr="001E43EA">
        <w:trPr>
          <w:trHeight w:val="389"/>
          <w:jc w:val="center"/>
        </w:trPr>
        <w:tc>
          <w:tcPr>
            <w:tcW w:w="720" w:type="pct"/>
            <w:tcBorders>
              <w:left w:val="single" w:sz="4" w:space="0" w:color="auto"/>
              <w:right w:val="nil"/>
            </w:tcBorders>
            <w:shd w:val="clear" w:color="auto" w:fill="auto"/>
            <w:noWrap/>
          </w:tcPr>
          <w:p w14:paraId="422E43FD"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03F30938" w14:textId="4F38B0EB"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sz w:val="16"/>
                <w:szCs w:val="16"/>
                <w:lang w:val="en-US" w:eastAsia="en-GB"/>
              </w:rPr>
              <w:t>RTV (ms) in baseline</w:t>
            </w:r>
          </w:p>
        </w:tc>
        <w:tc>
          <w:tcPr>
            <w:tcW w:w="467" w:type="pct"/>
            <w:tcBorders>
              <w:left w:val="nil"/>
              <w:right w:val="nil"/>
            </w:tcBorders>
            <w:shd w:val="clear" w:color="auto" w:fill="auto"/>
            <w:noWrap/>
          </w:tcPr>
          <w:p w14:paraId="1DB567B0" w14:textId="42E6A1F7" w:rsidR="00CB570B" w:rsidRPr="00CA7244" w:rsidRDefault="00CB570B" w:rsidP="00030D27">
            <w:pPr>
              <w:spacing w:before="0"/>
              <w:jc w:val="left"/>
              <w:rPr>
                <w:b/>
                <w:bCs/>
                <w:sz w:val="16"/>
                <w:szCs w:val="16"/>
              </w:rPr>
            </w:pPr>
            <w:r w:rsidRPr="00CA7244">
              <w:rPr>
                <w:b/>
                <w:bCs/>
                <w:sz w:val="16"/>
                <w:szCs w:val="16"/>
              </w:rPr>
              <w:t>0.32</w:t>
            </w:r>
          </w:p>
        </w:tc>
        <w:tc>
          <w:tcPr>
            <w:tcW w:w="502" w:type="pct"/>
            <w:tcBorders>
              <w:left w:val="nil"/>
              <w:right w:val="nil"/>
            </w:tcBorders>
            <w:shd w:val="clear" w:color="auto" w:fill="auto"/>
            <w:noWrap/>
          </w:tcPr>
          <w:p w14:paraId="53578335" w14:textId="24E05D92" w:rsidR="00CB570B" w:rsidRPr="00CA7244" w:rsidRDefault="00CB570B" w:rsidP="00030D27">
            <w:pPr>
              <w:spacing w:before="0"/>
              <w:jc w:val="left"/>
              <w:rPr>
                <w:b/>
                <w:bCs/>
                <w:sz w:val="16"/>
                <w:szCs w:val="16"/>
              </w:rPr>
            </w:pPr>
            <w:r w:rsidRPr="00CA7244">
              <w:rPr>
                <w:b/>
                <w:bCs/>
                <w:sz w:val="16"/>
                <w:szCs w:val="16"/>
              </w:rPr>
              <w:t>0.04</w:t>
            </w:r>
          </w:p>
        </w:tc>
        <w:tc>
          <w:tcPr>
            <w:tcW w:w="831" w:type="pct"/>
            <w:tcBorders>
              <w:left w:val="nil"/>
              <w:right w:val="single" w:sz="4" w:space="0" w:color="auto"/>
            </w:tcBorders>
            <w:shd w:val="clear" w:color="auto" w:fill="auto"/>
            <w:noWrap/>
          </w:tcPr>
          <w:p w14:paraId="5F5171E7" w14:textId="4E725F8A" w:rsidR="00CB570B" w:rsidRPr="00CA7244" w:rsidRDefault="00CB570B" w:rsidP="00030D27">
            <w:pPr>
              <w:spacing w:before="0"/>
              <w:jc w:val="left"/>
              <w:rPr>
                <w:b/>
                <w:bCs/>
                <w:sz w:val="16"/>
                <w:szCs w:val="16"/>
              </w:rPr>
            </w:pPr>
            <w:r w:rsidRPr="00CA7244">
              <w:rPr>
                <w:b/>
                <w:bCs/>
                <w:sz w:val="16"/>
                <w:szCs w:val="16"/>
              </w:rPr>
              <w:t xml:space="preserve"> 0.02,0.67 </w:t>
            </w:r>
          </w:p>
        </w:tc>
      </w:tr>
      <w:tr w:rsidR="00CB570B" w:rsidRPr="00CA7244" w14:paraId="443FF6EE" w14:textId="77777777" w:rsidTr="001E43EA">
        <w:trPr>
          <w:trHeight w:val="389"/>
          <w:jc w:val="center"/>
        </w:trPr>
        <w:tc>
          <w:tcPr>
            <w:tcW w:w="720" w:type="pct"/>
            <w:tcBorders>
              <w:left w:val="single" w:sz="4" w:space="0" w:color="auto"/>
              <w:right w:val="nil"/>
            </w:tcBorders>
            <w:shd w:val="clear" w:color="auto" w:fill="auto"/>
            <w:noWrap/>
          </w:tcPr>
          <w:p w14:paraId="6BC2ADAB"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right w:val="nil"/>
            </w:tcBorders>
            <w:shd w:val="clear" w:color="auto" w:fill="auto"/>
            <w:noWrap/>
          </w:tcPr>
          <w:p w14:paraId="268D73DB" w14:textId="7DFE89B4"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CNV </w:t>
            </w:r>
            <w:r w:rsidRPr="00CA7244">
              <w:rPr>
                <w:rFonts w:eastAsia="Times New Roman"/>
                <w:sz w:val="16"/>
                <w:szCs w:val="16"/>
                <w:lang w:val="en-US" w:eastAsia="en-GB"/>
              </w:rPr>
              <w:t>(µV)</w:t>
            </w:r>
            <w:r w:rsidRPr="00CA7244">
              <w:rPr>
                <w:rFonts w:eastAsia="Times New Roman"/>
                <w:color w:val="auto"/>
                <w:sz w:val="16"/>
                <w:szCs w:val="16"/>
                <w:lang w:val="en-US" w:eastAsia="en-GB"/>
              </w:rPr>
              <w:t xml:space="preserve"> in fast-incentive</w:t>
            </w:r>
          </w:p>
        </w:tc>
        <w:tc>
          <w:tcPr>
            <w:tcW w:w="467" w:type="pct"/>
            <w:tcBorders>
              <w:left w:val="nil"/>
              <w:right w:val="nil"/>
            </w:tcBorders>
            <w:shd w:val="clear" w:color="auto" w:fill="auto"/>
            <w:noWrap/>
          </w:tcPr>
          <w:p w14:paraId="1BA2606B" w14:textId="7C3DA43E" w:rsidR="00CB570B" w:rsidRPr="00CA7244" w:rsidRDefault="00CB570B" w:rsidP="00030D27">
            <w:pPr>
              <w:spacing w:before="0"/>
              <w:jc w:val="left"/>
              <w:rPr>
                <w:b/>
                <w:bCs/>
                <w:sz w:val="16"/>
                <w:szCs w:val="16"/>
              </w:rPr>
            </w:pPr>
            <w:r w:rsidRPr="00CA7244">
              <w:rPr>
                <w:b/>
                <w:bCs/>
                <w:sz w:val="16"/>
                <w:szCs w:val="16"/>
              </w:rPr>
              <w:t>0.41</w:t>
            </w:r>
          </w:p>
        </w:tc>
        <w:tc>
          <w:tcPr>
            <w:tcW w:w="502" w:type="pct"/>
            <w:tcBorders>
              <w:left w:val="nil"/>
              <w:right w:val="nil"/>
            </w:tcBorders>
            <w:shd w:val="clear" w:color="auto" w:fill="auto"/>
            <w:noWrap/>
          </w:tcPr>
          <w:p w14:paraId="3F59A3C4" w14:textId="63D2D3B6" w:rsidR="00CB570B" w:rsidRPr="00CA7244" w:rsidRDefault="00CB570B" w:rsidP="00030D27">
            <w:pPr>
              <w:spacing w:before="0"/>
              <w:jc w:val="left"/>
              <w:rPr>
                <w:b/>
                <w:bCs/>
                <w:sz w:val="16"/>
                <w:szCs w:val="16"/>
              </w:rPr>
            </w:pPr>
            <w:r w:rsidRPr="00CA7244">
              <w:rPr>
                <w:b/>
                <w:bCs/>
                <w:sz w:val="16"/>
                <w:szCs w:val="16"/>
              </w:rPr>
              <w:t>0.01</w:t>
            </w:r>
          </w:p>
        </w:tc>
        <w:tc>
          <w:tcPr>
            <w:tcW w:w="831" w:type="pct"/>
            <w:tcBorders>
              <w:left w:val="nil"/>
              <w:right w:val="single" w:sz="4" w:space="0" w:color="auto"/>
            </w:tcBorders>
            <w:shd w:val="clear" w:color="auto" w:fill="auto"/>
            <w:noWrap/>
          </w:tcPr>
          <w:p w14:paraId="6CEC6733" w14:textId="2A10CA41" w:rsidR="00CB570B" w:rsidRPr="00CA7244" w:rsidRDefault="00CB570B" w:rsidP="00030D27">
            <w:pPr>
              <w:spacing w:before="0"/>
              <w:jc w:val="left"/>
              <w:rPr>
                <w:b/>
                <w:bCs/>
                <w:sz w:val="16"/>
                <w:szCs w:val="16"/>
              </w:rPr>
            </w:pPr>
            <w:r w:rsidRPr="00CA7244">
              <w:rPr>
                <w:b/>
                <w:bCs/>
                <w:sz w:val="16"/>
                <w:szCs w:val="16"/>
              </w:rPr>
              <w:t xml:space="preserve">0.22,0.61 </w:t>
            </w:r>
          </w:p>
        </w:tc>
      </w:tr>
      <w:tr w:rsidR="002E416D" w:rsidRPr="00CA7244" w14:paraId="7EA88A73" w14:textId="77777777" w:rsidTr="001E43EA">
        <w:trPr>
          <w:trHeight w:val="389"/>
          <w:jc w:val="center"/>
        </w:trPr>
        <w:tc>
          <w:tcPr>
            <w:tcW w:w="720" w:type="pct"/>
            <w:tcBorders>
              <w:left w:val="single" w:sz="4" w:space="0" w:color="auto"/>
              <w:bottom w:val="single" w:sz="4" w:space="0" w:color="auto"/>
              <w:right w:val="nil"/>
            </w:tcBorders>
            <w:shd w:val="clear" w:color="auto" w:fill="auto"/>
            <w:noWrap/>
          </w:tcPr>
          <w:p w14:paraId="7E1F9706" w14:textId="77777777" w:rsidR="00CB570B" w:rsidRPr="00CA7244" w:rsidRDefault="00CB570B" w:rsidP="00030D27">
            <w:pPr>
              <w:spacing w:before="0"/>
              <w:jc w:val="left"/>
              <w:rPr>
                <w:rFonts w:eastAsia="Times New Roman"/>
                <w:color w:val="auto"/>
                <w:sz w:val="16"/>
                <w:szCs w:val="16"/>
                <w:lang w:val="en-US"/>
              </w:rPr>
            </w:pPr>
          </w:p>
        </w:tc>
        <w:tc>
          <w:tcPr>
            <w:tcW w:w="2480" w:type="pct"/>
            <w:tcBorders>
              <w:left w:val="nil"/>
              <w:bottom w:val="single" w:sz="4" w:space="0" w:color="auto"/>
              <w:right w:val="nil"/>
            </w:tcBorders>
            <w:shd w:val="clear" w:color="auto" w:fill="auto"/>
            <w:noWrap/>
          </w:tcPr>
          <w:p w14:paraId="1CF1CB33" w14:textId="780AAE9D" w:rsidR="00CB570B" w:rsidRPr="00CA7244" w:rsidRDefault="00CB570B" w:rsidP="00030D27">
            <w:pPr>
              <w:spacing w:before="0"/>
              <w:jc w:val="left"/>
              <w:rPr>
                <w:rFonts w:eastAsia="Times New Roman"/>
                <w:color w:val="auto"/>
                <w:sz w:val="16"/>
                <w:szCs w:val="16"/>
                <w:lang w:val="en-US" w:eastAsia="en-GB"/>
              </w:rPr>
            </w:pPr>
            <w:r w:rsidRPr="00CA7244">
              <w:rPr>
                <w:rFonts w:eastAsia="Times New Roman"/>
                <w:color w:val="auto"/>
                <w:sz w:val="16"/>
                <w:szCs w:val="16"/>
                <w:lang w:val="en-US" w:eastAsia="en-GB"/>
              </w:rPr>
              <w:t xml:space="preserve">P3 </w:t>
            </w:r>
            <w:r w:rsidRPr="00CA7244">
              <w:rPr>
                <w:rFonts w:eastAsia="Times New Roman"/>
                <w:sz w:val="16"/>
                <w:szCs w:val="16"/>
                <w:lang w:val="en-US" w:eastAsia="en-GB"/>
              </w:rPr>
              <w:t>(µV*ms)</w:t>
            </w:r>
            <w:r w:rsidRPr="00CA7244">
              <w:rPr>
                <w:rFonts w:eastAsia="Times New Roman"/>
                <w:color w:val="auto"/>
                <w:sz w:val="16"/>
                <w:szCs w:val="16"/>
                <w:lang w:val="en-US" w:eastAsia="en-GB"/>
              </w:rPr>
              <w:t xml:space="preserve"> in fast-incentive</w:t>
            </w:r>
          </w:p>
        </w:tc>
        <w:tc>
          <w:tcPr>
            <w:tcW w:w="467" w:type="pct"/>
            <w:tcBorders>
              <w:left w:val="nil"/>
              <w:bottom w:val="single" w:sz="4" w:space="0" w:color="auto"/>
              <w:right w:val="nil"/>
            </w:tcBorders>
            <w:shd w:val="clear" w:color="auto" w:fill="auto"/>
            <w:noWrap/>
          </w:tcPr>
          <w:p w14:paraId="030D2D7C" w14:textId="6DC8D76C" w:rsidR="00CB570B" w:rsidRPr="00CA7244" w:rsidRDefault="00CB570B" w:rsidP="00030D27">
            <w:pPr>
              <w:spacing w:before="0"/>
              <w:jc w:val="left"/>
              <w:rPr>
                <w:b/>
                <w:bCs/>
                <w:sz w:val="16"/>
                <w:szCs w:val="16"/>
              </w:rPr>
            </w:pPr>
            <w:r w:rsidRPr="00CA7244">
              <w:rPr>
                <w:b/>
                <w:bCs/>
                <w:sz w:val="16"/>
                <w:szCs w:val="16"/>
              </w:rPr>
              <w:t>-0.24</w:t>
            </w:r>
          </w:p>
        </w:tc>
        <w:tc>
          <w:tcPr>
            <w:tcW w:w="502" w:type="pct"/>
            <w:tcBorders>
              <w:left w:val="nil"/>
              <w:bottom w:val="single" w:sz="4" w:space="0" w:color="auto"/>
              <w:right w:val="nil"/>
            </w:tcBorders>
            <w:shd w:val="clear" w:color="auto" w:fill="auto"/>
            <w:noWrap/>
          </w:tcPr>
          <w:p w14:paraId="2B96AC3D" w14:textId="4CFD4F4E" w:rsidR="00CB570B" w:rsidRPr="00CA7244" w:rsidRDefault="00CB570B" w:rsidP="00030D27">
            <w:pPr>
              <w:spacing w:before="0"/>
              <w:jc w:val="left"/>
              <w:rPr>
                <w:b/>
                <w:bCs/>
                <w:sz w:val="16"/>
                <w:szCs w:val="16"/>
              </w:rPr>
            </w:pPr>
            <w:r w:rsidRPr="00CA7244">
              <w:rPr>
                <w:b/>
                <w:bCs/>
                <w:sz w:val="16"/>
                <w:szCs w:val="16"/>
              </w:rPr>
              <w:t>0.04</w:t>
            </w:r>
          </w:p>
        </w:tc>
        <w:tc>
          <w:tcPr>
            <w:tcW w:w="831" w:type="pct"/>
            <w:tcBorders>
              <w:left w:val="nil"/>
              <w:bottom w:val="single" w:sz="4" w:space="0" w:color="auto"/>
              <w:right w:val="single" w:sz="4" w:space="0" w:color="auto"/>
            </w:tcBorders>
            <w:shd w:val="clear" w:color="auto" w:fill="auto"/>
            <w:noWrap/>
          </w:tcPr>
          <w:p w14:paraId="4E5A70DC" w14:textId="2CD853F4" w:rsidR="00CB570B" w:rsidRPr="00CA7244" w:rsidRDefault="00CB570B" w:rsidP="00030D27">
            <w:pPr>
              <w:spacing w:before="0"/>
              <w:jc w:val="left"/>
              <w:rPr>
                <w:b/>
                <w:bCs/>
                <w:sz w:val="16"/>
                <w:szCs w:val="16"/>
              </w:rPr>
            </w:pPr>
            <w:r w:rsidRPr="00CA7244">
              <w:rPr>
                <w:b/>
                <w:bCs/>
                <w:sz w:val="16"/>
                <w:szCs w:val="16"/>
              </w:rPr>
              <w:t>-0.48, -0.01</w:t>
            </w:r>
          </w:p>
        </w:tc>
      </w:tr>
    </w:tbl>
    <w:p w14:paraId="1E8E0832" w14:textId="3E359D27" w:rsidR="00CB570B" w:rsidRPr="00D13143" w:rsidRDefault="00CB570B" w:rsidP="005C25A7">
      <w:pPr>
        <w:spacing w:after="200"/>
        <w:rPr>
          <w:rFonts w:eastAsia="Times New Roman"/>
          <w:szCs w:val="22"/>
          <w:lang w:val="en-US"/>
        </w:rPr>
      </w:pPr>
      <w:r w:rsidRPr="00D13143">
        <w:rPr>
          <w:rFonts w:eastAsiaTheme="minorEastAsia"/>
          <w:color w:val="auto"/>
          <w:szCs w:val="22"/>
          <w:lang w:val="en-US"/>
        </w:rPr>
        <w:t>Note: p&lt;0.05 indicated in bold. ADHD=attention-deficit/hyperactivity disorder; DSB=digit span backwards; MRT=mean reaction time in the baseline (slow, unrewarded) condition of the fast task; RTV=reaction time variability in the baseline (slow, unrewarded) condition of the fast task; CNV=contingent negative variation; Go-P3=P3 amplitude; NoGo-P3=P3 amplitude; N2=N2 amplitude; Pe=positive related negativity in the</w:t>
      </w:r>
      <w:r w:rsidRPr="00D13143">
        <w:t xml:space="preserve"> incongruent condition</w:t>
      </w:r>
      <w:r w:rsidRPr="00D13143">
        <w:rPr>
          <w:rFonts w:eastAsiaTheme="minorEastAsia"/>
          <w:color w:val="auto"/>
          <w:szCs w:val="22"/>
          <w:lang w:val="en-US"/>
        </w:rPr>
        <w:t>; ERN=error related negativity in the</w:t>
      </w:r>
      <w:r w:rsidRPr="00D13143">
        <w:t xml:space="preserve"> incongruent condition;</w:t>
      </w:r>
      <w:r w:rsidRPr="00D13143">
        <w:rPr>
          <w:rFonts w:eastAsiaTheme="minorEastAsia"/>
          <w:color w:val="auto"/>
          <w:szCs w:val="22"/>
          <w:lang w:val="en-US"/>
        </w:rPr>
        <w:t xml:space="preserve"> CNV=contingent negative variation amplitude in the fast-incentive condition; P3=P3 amplitude in the fast-incentive condition; ms=milliseconds, </w:t>
      </w:r>
      <w:r w:rsidRPr="00D13143">
        <w:rPr>
          <w:rFonts w:eastAsia="Times New Roman"/>
          <w:szCs w:val="22"/>
          <w:lang w:val="en-US"/>
        </w:rPr>
        <w:t>µV=microvolts</w:t>
      </w:r>
      <w:r w:rsidR="009F734E" w:rsidRPr="00D13143">
        <w:rPr>
          <w:rFonts w:eastAsia="Times New Roman"/>
          <w:szCs w:val="22"/>
          <w:lang w:val="en-US"/>
        </w:rPr>
        <w:t xml:space="preserve">. </w:t>
      </w:r>
      <w:r w:rsidRPr="00D13143">
        <w:rPr>
          <w:rFonts w:eastAsia="Times New Roman"/>
          <w:szCs w:val="18"/>
          <w:lang w:val="en-US"/>
        </w:rPr>
        <w:t xml:space="preserve">Models were fitted to standardised (z) cognitive and neurophysiological measures so that beta coefficients presented represent a standardized effect size measure. </w:t>
      </w:r>
    </w:p>
    <w:p w14:paraId="7CC44F44" w14:textId="77777777" w:rsidR="006628C4" w:rsidRPr="00AB5EF9" w:rsidRDefault="006628C4" w:rsidP="005C25A7">
      <w:pPr>
        <w:spacing w:after="200"/>
        <w:rPr>
          <w:rFonts w:eastAsia="Times New Roman"/>
          <w:sz w:val="18"/>
          <w:szCs w:val="22"/>
          <w:lang w:val="en-US"/>
        </w:rPr>
      </w:pPr>
    </w:p>
    <w:p w14:paraId="1221CBDB" w14:textId="77777777" w:rsidR="006628C4" w:rsidRPr="00AB5EF9" w:rsidRDefault="006628C4" w:rsidP="005C25A7">
      <w:pPr>
        <w:spacing w:before="0" w:after="200"/>
        <w:jc w:val="left"/>
        <w:rPr>
          <w:rFonts w:eastAsia="Times New Roman"/>
          <w:sz w:val="18"/>
          <w:szCs w:val="22"/>
          <w:lang w:val="en-US"/>
        </w:rPr>
      </w:pPr>
      <w:r w:rsidRPr="00AB5EF9">
        <w:rPr>
          <w:rFonts w:eastAsia="Times New Roman"/>
          <w:sz w:val="18"/>
          <w:szCs w:val="22"/>
          <w:lang w:val="en-US"/>
        </w:rPr>
        <w:br w:type="page"/>
      </w:r>
    </w:p>
    <w:p w14:paraId="5AF4E896" w14:textId="40FDD536" w:rsidR="006628C4" w:rsidRPr="00A100D6" w:rsidRDefault="00806B70" w:rsidP="00CA7244">
      <w:pPr>
        <w:pStyle w:val="Heading1"/>
      </w:pPr>
      <w:r w:rsidRPr="00A100D6">
        <w:lastRenderedPageBreak/>
        <w:t xml:space="preserve">SUPPLEMENTARY MATERIAL </w:t>
      </w:r>
      <w:r w:rsidR="00AC40E4">
        <w:t>I</w:t>
      </w:r>
      <w:r w:rsidRPr="00A100D6">
        <w:t>V</w:t>
      </w:r>
    </w:p>
    <w:p w14:paraId="5395CB73" w14:textId="5318313F" w:rsidR="00806B70" w:rsidRPr="00C66FCF" w:rsidRDefault="00806B70" w:rsidP="005C25A7">
      <w:pPr>
        <w:rPr>
          <w:b/>
          <w:i/>
          <w:color w:val="auto"/>
          <w:szCs w:val="22"/>
        </w:rPr>
      </w:pPr>
      <w:r w:rsidRPr="00C66FCF">
        <w:rPr>
          <w:b/>
          <w:i/>
          <w:color w:val="auto"/>
          <w:szCs w:val="22"/>
        </w:rPr>
        <w:t>Control sample description (Replicated from Rommel et al. 2016).</w:t>
      </w:r>
    </w:p>
    <w:p w14:paraId="289142F7" w14:textId="5132D10E" w:rsidR="008E680F" w:rsidRDefault="00806B70" w:rsidP="005C25A7">
      <w:pPr>
        <w:rPr>
          <w:color w:val="auto"/>
          <w:szCs w:val="22"/>
        </w:rPr>
      </w:pPr>
      <w:r w:rsidRPr="00CD6B6B">
        <w:rPr>
          <w:color w:val="auto"/>
          <w:szCs w:val="22"/>
        </w:rPr>
        <w:t>ADHD and control sibling pairs, who had taken part in our previous research</w:t>
      </w:r>
      <w:r>
        <w:rPr>
          <w:color w:val="auto"/>
          <w:szCs w:val="22"/>
        </w:rPr>
        <w:t xml:space="preserve"> </w:t>
      </w:r>
      <w:r w:rsidRPr="00211467">
        <w:rPr>
          <w:color w:val="auto"/>
          <w:szCs w:val="22"/>
        </w:rPr>
        <w:fldChar w:fldCharType="begin" w:fldLock="1"/>
      </w:r>
      <w:r w:rsidR="00AB1DD2">
        <w:rPr>
          <w:color w:val="auto"/>
          <w:szCs w:val="22"/>
        </w:rPr>
        <w:instrText>ADDIN CSL_CITATION { "citationItems" : [ { "id" : "ITEM-1", "itemData" : { "DOI" : "10.1002/ajmg.b.30672", "ISSN" : "1552-485X", "PMID" : "18189238", "abstract" : "Attention deficit hyperactivity disorder (ADHD) is a discrete clinical syndrome characterized by the triad of inattention, hyperactivity, and impulsivity in the context of marked impairments. Molecular genetic studies have been successful in identifying genetic variants associated with ADHD, particularly with DSM-IV inattentive and combined subtypes. Quantitative trait locus (QTL) approaches to linkage and association mapping have yet to be widely used in ADHD research, although twin studies investigating individual differences suggest that genetic liability for ADHD is continuously distributed throughout the population, underscoring the applicability of quantitative dimensional approaches. To investigate the appropriateness of QTL approaches, we tested the familial association between 894 probands with a research diagnosis of DSM-IV ADHD combined type and continuous trait measures among 1,135 of their siblings unselected for phenotype. The sibling recurrence rate for ADHD combined subtype was 12.7%, yielding a sibling recurrence risk ratio (lambda(sib)) of 9.0. Estimated sibling correlations around 0.2-0.3 are similar to those estimated from the analysis of fraternal twins in population twin samples. We further show that there are no threshold effects on the sibling risk for ADHD among the ADHD probands; and that both affected and unaffected siblings contributed to the association with ADHD trait scores. In conclusion, these data confirm the main requirement for QTL mapping of ADHD by demonstrating that narrowly defined DSM-IV combined type probands show familial association with dimensional ADHD symptom scores amongst their siblings.", "author" : [ { "dropping-particle" : "", "family" : "Chen", "given" : "Wai", "non-dropping-particle" : "", "parse-names" : false, "suffix" : "" }, { "dropping-particle" : "", "family" : "Zhou", "given" : "Kaixin", "non-dropping-particle" : "", "parse-names" : false, "suffix" : "" }, { "dropping-particle" : "", "family" : "Sham", "given" : "Pak", "non-dropping-particle" : "", "parse-names" : false, "suffix" : "" }, { "dropping-particle" : "", "family" : "Franke", "given" : "Barbara", "non-dropping-particle" : "", "parse-names" : false, "suffix" : "" }, { "dropping-particle" : "", "family" : "Kuntsi", "given" : "Jonna", "non-dropping-particle" : "", "parse-names" : false, "suffix" : "" }, { "dropping-particle" : "", "family" : "Campbell", "given" : "Desmond", "non-dropping-particle" : "", "parse-names" : false, "suffix" : "" }, { "dropping-particle" : "", "family" : "Fleischman", "given" : "Karin", "non-dropping-particle" : "", "parse-names" : false, "suffix" : "" }, { "dropping-particle" : "", "family" : "Knight", "given" : "Jo", "non-dropping-particle" : "", "parse-names" : false, "suffix" : "" }, { "dropping-particle" : "", "family" : "Andreou", "given" : "Penny", "non-dropping-particle" : "", "parse-names" : false, "suffix" : "" }, { "dropping-particle" : "", "family" : "Arnold", "given" : "Ren\u00e9e", "non-dropping-particle" : "", "parse-names" : false, "suffix" : "" }, { "dropping-particle" : "", "family" : "Altink", "given" : "Marieke", "non-dropping-particle" : "", "parse-names" : false, "suffix" : "" }, { "dropping-particle" : "", "family" : "Boer", "given" : "Frits F.C. Frits", "non-dropping-particle" : "", "parse-names" : false, "suffix" : "" }, { "dropping-particle" : "", "family" : "Boholst", "given" : "Mary Jane M.J.", "non-dropping-particle" : "", "parse-names" : false, "suffix" : "" }, { "dropping-particle" : "", "family" : "Buschgens", "given" : "C.J.M. Cathelijne", "non-dropping-particle" : "", "parse-names" : false, "suffix" : "" }, { "dropping-particle" : "", "family" : "Butler", "given" : "Louise", "non-dropping-particle" : "", "parse-names" : false, "suffix" : "" }, { "dropping-particle" : "", "family" : "Christiansen", "given" : "Hanna", "non-dropping-particle" : "", "parse-names" : false, "suffix" : "" }, { "dropping-particle" : "", "family" : "Fliers", "given" : "Ellen", "non-dropping-particle" : "", "parse-names" : false, "suffix" : "" }, { "dropping-particle" : "", "family" : "Howe-Forbes", "given" : "Raoul", "non-dropping-particle" : "", "parse-names" : false, "suffix" : "" }, { "dropping-particle" : "", "family" : "Gabri\u00ebls", "given" : "Isabel", "non-dropping-particle" : "", "parse-names" : false, "suffix" : "" }, { "dropping-particle" : "", "family" : "Heise", "given" : "Alexander", "non-dropping-particle" : "", "parse-names" : false, "suffix" : "" }, { "dropping-particle" : "", "family" : "Korn-Lubetzki", "given" : "Isabelle", "non-dropping-particle" : "", "parse-names" : false, "suffix" : "" }, { "dropping-particle" : "", "family" : "Marco", "given" : "Rafaela", "non-dropping-particle" : "", "parse-names" : false, "suffix" : "" }, { "dropping-particle" : "", "family" : "Medad", "given" : "She'era", "non-dropping-particle" : "", "parse-names" : false, "suffix" : "" }, { "dropping-particle" : "", "family" : "Minderaa", "given" : "Ruud", "non-dropping-particle" : "", "parse-names" : false, "suffix" : "" }, { "dropping-particle" : "", "family" : "M\u00fcller", "given" : "Ueli C", "non-dropping-particle" : "", "parse-names" : false, "suffix" : "" }, { "dropping-particle" : "", "family" : "Mulligan", "given" : "Aisling", "non-dropping-particle" : "", "parse-names" : false, "suffix" : "" }, { "dropping-particle" : "", "family" : "Psychogiou", "given" : "Lamprini", "non-dropping-particle" : "", "parse-names" : false, "suffix" : "" }, { "dropping-particle" : "", "family" : "Rommelse", "given" : "N.N.J. Nanda", "non-dropping-particle" : "", "parse-names" : false, "suffix" : "" }, { "dropping-particle" : "", "family" : "Sethna", "given" : "Vaheshta", "non-dropping-particle" : "", "parse-names" : false, "suffix" : "" }, { "dropping-particle" : "", "family" : "Uebel", "given" : "Henrik", "non-dropping-particle" : "", "parse-names" : false, "suffix" : "" }, { "dropping-particle" : "", "family" : "McGuffin", "given" : "Peter", "non-dropping-particle" : "", "parse-names" : false, "suffix" : "" }, { "dropping-particle" : "", "family" : "Plomin", "given" : "Robert", "non-dropping-particle" : "", "parse-names" : false, "suffix" : "" }, { "dropping-particle" : "", "family" : "Banaschewski", "given" : "Tobias", "non-dropping-particle" : "", "parse-names" : false, "suffix" : "" }, { "dropping-particle" : "", "family" : "Buitelaar", "given" : "Jan", "non-dropping-particle" : "", "parse-names" : false, "suffix" : "" }, { "dropping-particle" : "", "family" : "Ebstein", "given" : "Richard", "non-dropping-particle" : "", "parse-names" : false, "suffix" : "" }, { "dropping-particle" : "", "family" : "Eisenberg", "given" : "Jacques", "non-dropping-particle" : "", "parse-names" : false, "suffix" : "" }, { "dropping-particle" : "", "family" : "Gill", "given" : "Michael", "non-dropping-particle" : "", "parse-names" : false, "suffix" : "" }, { "dropping-particle" : "", "family" : "Manor", "given" : "Iris", "non-dropping-particle" : "", "parse-names" : false, "suffix" : "" }, { "dropping-particle" : "", "family" : "Miranda", "given" : "Ana", "non-dropping-particle" : "", "parse-names" : false, "suffix" : "" }, { "dropping-particle" : "", "family" : "Mulas", "given" : "Fernando", "non-dropping-particle" : "", "parse-names" : false, "suffix" : "" }, { "dropping-particle" : "", "family" : "Oades", "given" : "R.D. Robert D", "non-dropping-particle" : "", "parse-names" : false, "suffix" : "" }, { "dropping-particle" : "", "family" : "Roeyers", "given" : "Herbert", "non-dropping-particle" : "", "parse-names" : false, "suffix" : "" }, { "dropping-particle" : "", "family" : "Rothenberger", "given" : "Aribert", "non-dropping-particle" : "", "parse-names" : false, "suffix" : "" }, { "dropping-particle" : "", "family" : "Sergeant", "given" : "Joseph J.A. Joseph", "non-dropping-particle" : "", "parse-names" : false, "suffix" : "" }, { "dropping-particle" : "", "family" : "Sonuga-Barke", "given" : "Edmund E.J.S.", "non-dropping-particle" : "", "parse-names" : false, "suffix" : "" }, { "dropping-particle" : "", "family" : "Steinhausen", "given" : "Hans-Christoph H.C.", "non-dropping-particle" : "", "parse-names" : false, "suffix" : "" }, { "dropping-particle" : "", "family" : "Taylor", "given" : "Eric", "non-dropping-particle" : "", "parse-names" : false, "suffix" : "" }, { "dropping-particle" : "", "family" : "Thompson", "given" : "Margaret", "non-dropping-particle" : "", "parse-names" : false, "suffix" : "" }, { "dropping-particle" : "V", "family" : "Faraone", "given" : "S.V. Stephen", "non-dropping-particle" : "", "parse-names" : false, "suffix" : "" }, { "dropping-particle" : "", "family" : "Asherson", "given" : "Philip", "non-dropping-particle" : "", "parse-names" : false, "suffix" : "" } ], "container-title" : "American journal of medical genetics. Part B, Neuropsychiatric genetics : the official publication of the International Society of Psychiatric Genetics", "id" : "ITEM-1", "issue" : "8", "issued" : { "date-parts" : [ [ "2008", "12", "5" ] ] }, "page" : "1450-60", "title" : "DSM-IV combined type ADHD shows familial association with sibling trait scores: a sampling strategy for QTL linkage.", "type" : "article-journal", "volume" : "147B" }, "uris" : [ "http://www.mendeley.com/documents/?uuid=d2768674-bcbb-4370-b73b-dd029517874e" ] }, { "id" : "ITEM-2", "itemData" : { "DOI" : "10.1001/archgenpsychiatry.2010.139", "ISBN" : "0003-990X", "ISSN" : "1538-3636", "PMID" : "21041617", "abstract" : "Attention-deficit/hyperactivity disorder (ADHD) is associated with widespread cognitive impairments, but it is not known whether the apparent multiple impairments share etiological roots or separate etiological pathways exist. A better understanding of the etiological pathways is important for the development of targeted interventions and for identification of suitable intermediate phenotypes for molecular genetic investigations.", "author" : [ { "dropping-particle" : "", "family" : "Kuntsi", "given" : "Jonna", "non-dropping-particle" : "", "parse-names" : false, "suffix" : "" }, { "dropping-particle" : "", "family" : "Wood", "given" : "Alexis C", "non-dropping-particle" : "", "parse-names" : false, "suffix" : "" }, { "dropping-particle" : "", "family" : "Rijsdijk", "given" : "Fr\u00fchling", "non-dropping-particle" : "", "parse-names" : false, "suffix" : "" }, { "dropping-particle" : "", "family" : "Johnson", "given" : "Katherine a", "non-dropping-particle" : "", "parse-names" : false, "suffix" : "" }, { "dropping-particle" : "", "family" : "Andreou", "given" : "Penelope", "non-dropping-particle" : "", "parse-names" : false, "suffix" : "" }, { "dropping-particle" : "", "family" : "Albrecht", "given" : "Bj\u00f6rn Bjoern Bj\u00f6rn", "non-dropping-particle" : "", "parse-names" : false, "suffix" : "" }, { "dropping-particle" : "", "family" : "Arias-Vasquez", "given" : "Alejandro", "non-dropping-particle" : "", "parse-names" : false, "suffix" : "" }, { "dropping-particle" : "", "family" : "Buitelaar", "given" : "Jan K", "non-dropping-particle" : "", "parse-names" : false, "suffix" : "" }, { "dropping-particle" : "", "family" : "McLoughlin", "given" : "Gr\u00e1inne", "non-dropping-particle" : "", "parse-names" : false, "suffix" : "" }, { "dropping-particle" : "", "family" : "Rommelse", "given" : "Nanda N J", "non-dropping-particle" : "", "parse-names" : false, "suffix" : "" }, { "dropping-particle" : "", "family" : "Sergeant", "given" : "Joseph A", "non-dropping-particle" : "", "parse-names" : false, "suffix" : "" }, { "dropping-particle" : "", "family" : "Sonuga-Barke", "given" : "Edmund J", "non-dropping-particle" : "", "parse-names" : false, "suffix" : "" }, { "dropping-particle" : "", "family" : "Uebel", "given" : "Henrik", "non-dropping-particle" : "", "parse-names" : false, "suffix" : "" }, { "dropping-particle" : "", "family" : "Meere", "given" : "Jaap J", "non-dropping-particle" : "van der", "parse-names" : false, "suffix" : "" }, { "dropping-particle" : "", "family" : "Banaschewski", "given" : "Tobias", "non-dropping-particle" : "", "parse-names" : false, "suffix" : "" }, { "dropping-particle" : "", "family" : "Gill", "given" : "Michael", "non-dropping-particle" : "", "parse-names" : false, "suffix" : "" }, { "dropping-particle" : "", "family" : "Manor", "given" : "Iris", "non-dropping-particle" : "", "parse-names" : false, "suffix" : "" }, { "dropping-particle" : "", "family" : "Miranda", "given" : "Ana", "non-dropping-particle" : "", "parse-names" : false, "suffix" : "" }, { "dropping-particle" : "", "family" : "Mulas", "given" : "Fernando", "non-dropping-particle" : "", "parse-names" : false, "suffix" : "" }, { "dropping-particle" : "", "family" : "Oades", "given" : "Robert D", "non-dropping-particle" : "", "parse-names" : false, "suffix" : "" }, { "dropping-particle" : "", "family" : "Roeyers", "given" : "Herbert", "non-dropping-particle" : "", "parse-names" : false, "suffix" : "" }, { "dropping-particle" : "", "family" : "Rothenberger", "given" : "Aribert", "non-dropping-particle" : "", "parse-names" : false, "suffix" : "" }, { "dropping-particle" : "", "family" : "Steinhausen", "given" : "Hans-Christoph", "non-dropping-particle" : "", "parse-names" : false, "suffix" : "" }, { "dropping-particle" : "V", "family" : "Faraone", "given" : "Stephen", "non-dropping-particle" : "", "parse-names" : false, "suffix" : "" }, { "dropping-particle" : "", "family" : "Asherson", "given" : "Philip", "non-dropping-particle" : "", "parse-names" : false, "suffix" : "" } ], "container-title" : "Archives of general psychiatry", "id" : "ITEM-2", "issue" : "11", "issued" : { "date-parts" : [ [ "2010", "11" ] ] }, "note" : "From Duplicate 2 (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Separation of cognitive impairments in attention-deficit/hyperactivity disorder into 2 familial factors.\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 Kuntsi, Jonna; Wood, Alexis C; Rijsdijk, Fr\u00fchling; Johnson, Katherine a; Andreou, Penelope; Albrecht, Bj\u00f6rn; Arias-Vasquez, Alejandro; Buitelaar, Jan K; McLoughlin, Gr\u00e1inne; Rommelse, Nanda N J; Sergeant, Joseph a; Sonuga-Barke, Edmund J; Uebel, Henrik; van der Meere, Jaap J; Banaschewski, Tobias; Gill, Michael; Manor, Iris; Miranda, Ana; Mulas, Fernando; Oades, Robert D; Roeyers, Herbert; Rothenberger, Aribert; Steinhausen, Hans-Christoph; Faraone, Stephen V; Asherson, Philip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From Duplicate 2 (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Separation of cognitive impairments in attention-deficit/hyperactivity disorder into 2 familial factors.\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 "page" : "1159-67", "title" : "Separation of cognitive impairments in attention-deficit/hyperactivity disorder into 2 familial factors.", "type" : "article-journal", "volume" : "67" }, "uris" : [ "http://www.mendeley.com/documents/?uuid=4968f485-da97-4fd2-a357-705573f8537d" ] } ], "mendeley" : { "formattedCitation" : "(11,12)", "plainTextFormattedCitation" : "(11,12)", "previouslyFormattedCitation" : "(11,12)" }, "properties" : { "noteIndex" : 0 }, "schema" : "https://github.com/citation-style-language/schema/raw/master/csl-citation.json" }</w:instrText>
      </w:r>
      <w:r w:rsidRPr="00211467">
        <w:rPr>
          <w:color w:val="auto"/>
          <w:szCs w:val="22"/>
        </w:rPr>
        <w:fldChar w:fldCharType="separate"/>
      </w:r>
      <w:r w:rsidR="000D286B" w:rsidRPr="000D286B">
        <w:rPr>
          <w:noProof/>
          <w:color w:val="auto"/>
          <w:szCs w:val="22"/>
        </w:rPr>
        <w:t>(11,12)</w:t>
      </w:r>
      <w:r w:rsidRPr="00211467">
        <w:rPr>
          <w:color w:val="auto"/>
          <w:szCs w:val="22"/>
        </w:rPr>
        <w:fldChar w:fldCharType="end"/>
      </w:r>
      <w:r w:rsidRPr="00211467">
        <w:rPr>
          <w:color w:val="auto"/>
          <w:szCs w:val="22"/>
        </w:rPr>
        <w:t xml:space="preserve">, </w:t>
      </w:r>
      <w:r>
        <w:rPr>
          <w:color w:val="auto"/>
          <w:szCs w:val="22"/>
        </w:rPr>
        <w:t xml:space="preserve"> </w:t>
      </w:r>
      <w:r w:rsidRPr="00CD6B6B">
        <w:rPr>
          <w:color w:val="auto"/>
          <w:szCs w:val="22"/>
        </w:rPr>
        <w:t xml:space="preserve">were invited to take part in a follow-up study (Cheung et al. 2016). </w:t>
      </w:r>
      <w:r w:rsidR="00CE5668" w:rsidRPr="00CD6B6B">
        <w:rPr>
          <w:color w:val="auto"/>
          <w:szCs w:val="22"/>
        </w:rPr>
        <w:t>Exclusion criteria for all groups were IQ of &lt;70, cerebral palsy or any other medical condition that affects motor coordination including epilepsy, as well as brain disorders and any genetic or medical disorder that might mimic ADHD</w:t>
      </w:r>
      <w:r w:rsidR="00CE5668">
        <w:rPr>
          <w:color w:val="auto"/>
          <w:szCs w:val="22"/>
        </w:rPr>
        <w:t xml:space="preserve">. </w:t>
      </w:r>
      <w:r w:rsidR="00CE5668" w:rsidRPr="00CD6B6B">
        <w:rPr>
          <w:color w:val="auto"/>
          <w:szCs w:val="22"/>
        </w:rPr>
        <w:t xml:space="preserve">All participants were of white European descent and had one full sibling available for ascertainment. </w:t>
      </w:r>
      <w:r w:rsidR="00CE5668">
        <w:rPr>
          <w:color w:val="auto"/>
          <w:szCs w:val="22"/>
        </w:rPr>
        <w:t>H</w:t>
      </w:r>
      <w:r w:rsidRPr="00CD6B6B">
        <w:rPr>
          <w:color w:val="auto"/>
          <w:szCs w:val="22"/>
        </w:rPr>
        <w:t xml:space="preserve">ere </w:t>
      </w:r>
      <w:r w:rsidR="00CE5668">
        <w:rPr>
          <w:color w:val="auto"/>
          <w:szCs w:val="22"/>
        </w:rPr>
        <w:t xml:space="preserve">only those in the control group who were term-born </w:t>
      </w:r>
      <w:r w:rsidRPr="00CD6B6B">
        <w:rPr>
          <w:color w:val="auto"/>
          <w:szCs w:val="22"/>
        </w:rPr>
        <w:t xml:space="preserve">are compared to a group of preterm-born adolescents. The control group was initially recruited from primary (aged 6–11 years) and secondary (aged 12–18 years) schools in the United Kingdom, aiming for an age and sex match with the ADHD sample. Control individuals and their siblings were included in the control group if they did not meet DSM-IV criteria for any ADHD subtype either in childhood or at follow-up. </w:t>
      </w:r>
    </w:p>
    <w:p w14:paraId="50180193" w14:textId="77777777" w:rsidR="00FC03D1" w:rsidRDefault="00FC03D1" w:rsidP="005C25A7">
      <w:pPr>
        <w:rPr>
          <w:color w:val="auto"/>
          <w:szCs w:val="22"/>
        </w:rPr>
      </w:pPr>
    </w:p>
    <w:p w14:paraId="139F6EEB" w14:textId="524612B6" w:rsidR="00C66FCF" w:rsidRDefault="00C66FCF" w:rsidP="005C25A7">
      <w:pPr>
        <w:spacing w:before="0" w:after="160"/>
        <w:jc w:val="left"/>
        <w:rPr>
          <w:b/>
        </w:rPr>
      </w:pPr>
    </w:p>
    <w:p w14:paraId="6548C30E" w14:textId="77777777" w:rsidR="00C66FCF" w:rsidRDefault="00C66FCF" w:rsidP="005C25A7">
      <w:pPr>
        <w:spacing w:before="0" w:after="160"/>
        <w:jc w:val="left"/>
        <w:rPr>
          <w:b/>
        </w:rPr>
      </w:pPr>
      <w:r>
        <w:rPr>
          <w:b/>
        </w:rPr>
        <w:br w:type="page"/>
      </w:r>
    </w:p>
    <w:p w14:paraId="5A814E94" w14:textId="4E6456AC" w:rsidR="00161EE9" w:rsidRPr="00CA7244" w:rsidRDefault="00161EE9" w:rsidP="00CA7244">
      <w:pPr>
        <w:pStyle w:val="Heading1"/>
      </w:pPr>
      <w:r w:rsidRPr="00CA7244">
        <w:lastRenderedPageBreak/>
        <w:t>REFERENCES</w:t>
      </w:r>
    </w:p>
    <w:p w14:paraId="1BDB971B" w14:textId="48569E11" w:rsidR="00C66FCF" w:rsidRPr="00C66FCF" w:rsidRDefault="000D286B" w:rsidP="005C25A7">
      <w:pPr>
        <w:widowControl w:val="0"/>
        <w:autoSpaceDE w:val="0"/>
        <w:autoSpaceDN w:val="0"/>
        <w:adjustRightInd w:val="0"/>
        <w:ind w:left="640" w:hanging="640"/>
        <w:rPr>
          <w:noProof/>
          <w:szCs w:val="20"/>
        </w:rPr>
      </w:pPr>
      <w:r w:rsidRPr="00C66FCF">
        <w:rPr>
          <w:szCs w:val="20"/>
        </w:rPr>
        <w:fldChar w:fldCharType="begin" w:fldLock="1"/>
      </w:r>
      <w:r w:rsidRPr="00C66FCF">
        <w:rPr>
          <w:szCs w:val="20"/>
        </w:rPr>
        <w:instrText xml:space="preserve">ADDIN Mendeley Bibliography CSL_BIBLIOGRAPHY </w:instrText>
      </w:r>
      <w:r w:rsidRPr="00C66FCF">
        <w:rPr>
          <w:szCs w:val="20"/>
        </w:rPr>
        <w:fldChar w:fldCharType="separate"/>
      </w:r>
      <w:r w:rsidR="00C66FCF" w:rsidRPr="00C66FCF">
        <w:rPr>
          <w:noProof/>
          <w:szCs w:val="20"/>
        </w:rPr>
        <w:t xml:space="preserve">1. </w:t>
      </w:r>
      <w:r w:rsidR="00C66FCF" w:rsidRPr="00C66FCF">
        <w:rPr>
          <w:noProof/>
          <w:szCs w:val="20"/>
        </w:rPr>
        <w:tab/>
        <w:t xml:space="preserve">Albrecht B, Brandeis D, Uebel H, et al. Action monitoring in boys with attention-deficit/hyperactivity disorder, their nonaffected siblings, and normal control subjects: evidence for an endophenotype. </w:t>
      </w:r>
      <w:r w:rsidR="00C66FCF" w:rsidRPr="00C66FCF">
        <w:rPr>
          <w:i/>
          <w:iCs/>
          <w:noProof/>
          <w:szCs w:val="20"/>
        </w:rPr>
        <w:t>Biol. Psychiatry</w:t>
      </w:r>
      <w:r w:rsidR="00C66FCF" w:rsidRPr="00C66FCF">
        <w:rPr>
          <w:noProof/>
          <w:szCs w:val="20"/>
        </w:rPr>
        <w:t xml:space="preserve">. 2008;64(7):615–25. </w:t>
      </w:r>
    </w:p>
    <w:p w14:paraId="5240B316"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2. </w:t>
      </w:r>
      <w:r w:rsidRPr="00C66FCF">
        <w:rPr>
          <w:noProof/>
          <w:szCs w:val="20"/>
        </w:rPr>
        <w:tab/>
        <w:t xml:space="preserve">McLoughlin G, Albrecht B, Banaschewski T, et al. Performance monitoring is altered in adult ADHD: A familial event-related potential investigation. </w:t>
      </w:r>
      <w:r w:rsidRPr="00C66FCF">
        <w:rPr>
          <w:i/>
          <w:iCs/>
          <w:noProof/>
          <w:szCs w:val="20"/>
        </w:rPr>
        <w:t>Neuropsychologia</w:t>
      </w:r>
      <w:r w:rsidRPr="00C66FCF">
        <w:rPr>
          <w:noProof/>
          <w:szCs w:val="20"/>
        </w:rPr>
        <w:t xml:space="preserve">. 2009;47(14):3134–3142. </w:t>
      </w:r>
    </w:p>
    <w:p w14:paraId="17232963"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3. </w:t>
      </w:r>
      <w:r w:rsidRPr="00C66FCF">
        <w:rPr>
          <w:noProof/>
          <w:szCs w:val="20"/>
        </w:rPr>
        <w:tab/>
        <w:t xml:space="preserve">Groom MJ, Cahill JD, Bates AT, et al. Electrophysiological indices of abnormal error-processing in adolescents with attention deficit hyperactivity disorder (ADHD). </w:t>
      </w:r>
      <w:r w:rsidRPr="00C66FCF">
        <w:rPr>
          <w:i/>
          <w:iCs/>
          <w:noProof/>
          <w:szCs w:val="20"/>
        </w:rPr>
        <w:t>J. Child Psychol. Psychiatry.</w:t>
      </w:r>
      <w:r w:rsidRPr="00C66FCF">
        <w:rPr>
          <w:noProof/>
          <w:szCs w:val="20"/>
        </w:rPr>
        <w:t xml:space="preserve"> 2010;51(1):66–76. </w:t>
      </w:r>
    </w:p>
    <w:p w14:paraId="3AF77F00"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4. </w:t>
      </w:r>
      <w:r w:rsidRPr="00C66FCF">
        <w:rPr>
          <w:noProof/>
          <w:szCs w:val="20"/>
        </w:rPr>
        <w:tab/>
        <w:t xml:space="preserve">Nieuwenhuis S, Ridderinkhof KR, Blom J, et al. Error-related brain potentials are differentially related to awareness of response errors: evidence from an antisaccade task. </w:t>
      </w:r>
      <w:r w:rsidRPr="00C66FCF">
        <w:rPr>
          <w:i/>
          <w:iCs/>
          <w:noProof/>
          <w:szCs w:val="20"/>
        </w:rPr>
        <w:t>Psychophysiology</w:t>
      </w:r>
      <w:r w:rsidRPr="00C66FCF">
        <w:rPr>
          <w:noProof/>
          <w:szCs w:val="20"/>
        </w:rPr>
        <w:t xml:space="preserve">. 2001;38(5):752–60. </w:t>
      </w:r>
    </w:p>
    <w:p w14:paraId="43CFFA24"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5. </w:t>
      </w:r>
      <w:r w:rsidRPr="00C66FCF">
        <w:rPr>
          <w:noProof/>
          <w:szCs w:val="20"/>
        </w:rPr>
        <w:tab/>
        <w:t xml:space="preserve">Michelini G, Kitsune GL, Cheung CHM, et al. ADHD Remission is Linked to Better Neurophysiological Error Detection and Attention-Vigilance Processes. </w:t>
      </w:r>
      <w:r w:rsidRPr="00C66FCF">
        <w:rPr>
          <w:i/>
          <w:iCs/>
          <w:noProof/>
          <w:szCs w:val="20"/>
        </w:rPr>
        <w:t>Biol. Psychiatry</w:t>
      </w:r>
      <w:r w:rsidRPr="00C66FCF">
        <w:rPr>
          <w:noProof/>
          <w:szCs w:val="20"/>
        </w:rPr>
        <w:t>. 2016;</w:t>
      </w:r>
    </w:p>
    <w:p w14:paraId="1CBC1A6F"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6. </w:t>
      </w:r>
      <w:r w:rsidRPr="00C66FCF">
        <w:rPr>
          <w:noProof/>
          <w:szCs w:val="20"/>
        </w:rPr>
        <w:tab/>
        <w:t xml:space="preserve">Andreou P, Neale BM, Chen W, et al. Reaction time performance in ADHD: improvement under fast-incentive condition and familial effects. </w:t>
      </w:r>
      <w:r w:rsidRPr="00C66FCF">
        <w:rPr>
          <w:i/>
          <w:iCs/>
          <w:noProof/>
          <w:szCs w:val="20"/>
        </w:rPr>
        <w:t>Psychol. Med.</w:t>
      </w:r>
      <w:r w:rsidRPr="00C66FCF">
        <w:rPr>
          <w:noProof/>
          <w:szCs w:val="20"/>
        </w:rPr>
        <w:t xml:space="preserve"> 2007;37(12):1703–15. </w:t>
      </w:r>
    </w:p>
    <w:p w14:paraId="774EE89E"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7. </w:t>
      </w:r>
      <w:r w:rsidRPr="00C66FCF">
        <w:rPr>
          <w:noProof/>
          <w:szCs w:val="20"/>
        </w:rPr>
        <w:tab/>
        <w:t xml:space="preserve">Albrecht B, Brandeis D, Uebel H, et al. Familiality of neural preparation and response control in childhood attention deficit-hyperactivity disorder. </w:t>
      </w:r>
      <w:r w:rsidRPr="00C66FCF">
        <w:rPr>
          <w:i/>
          <w:iCs/>
          <w:noProof/>
          <w:szCs w:val="20"/>
        </w:rPr>
        <w:t>Psychol. Med.</w:t>
      </w:r>
      <w:r w:rsidRPr="00C66FCF">
        <w:rPr>
          <w:noProof/>
          <w:szCs w:val="20"/>
        </w:rPr>
        <w:t xml:space="preserve"> 2013;43(9):1997–2011. </w:t>
      </w:r>
    </w:p>
    <w:p w14:paraId="293EDC80"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8. </w:t>
      </w:r>
      <w:r w:rsidRPr="00C66FCF">
        <w:rPr>
          <w:noProof/>
          <w:szCs w:val="20"/>
        </w:rPr>
        <w:tab/>
        <w:t xml:space="preserve">Banaschewski T, Brandeis D, Heinrich H, et al. Association of ADHD and conduct disorder--brain electrical evidence for the existence of a distinct subtype. </w:t>
      </w:r>
      <w:r w:rsidRPr="00C66FCF">
        <w:rPr>
          <w:i/>
          <w:iCs/>
          <w:noProof/>
          <w:szCs w:val="20"/>
        </w:rPr>
        <w:t>J. Child Psychol. Psychiatry.</w:t>
      </w:r>
      <w:r w:rsidRPr="00C66FCF">
        <w:rPr>
          <w:noProof/>
          <w:szCs w:val="20"/>
        </w:rPr>
        <w:t xml:space="preserve"> 2003;44(3):356–76. </w:t>
      </w:r>
    </w:p>
    <w:p w14:paraId="6B9DF1F0"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9. </w:t>
      </w:r>
      <w:r w:rsidRPr="00C66FCF">
        <w:rPr>
          <w:noProof/>
          <w:szCs w:val="20"/>
        </w:rPr>
        <w:tab/>
        <w:t xml:space="preserve">Cheung CHM, McLoughlin G, Brandeis D, et al. Neurophysiological Correlates of Attentional Fluctuation in Attention-Deficit/Hyperactivity Disorder. </w:t>
      </w:r>
      <w:r w:rsidRPr="00C66FCF">
        <w:rPr>
          <w:i/>
          <w:iCs/>
          <w:noProof/>
          <w:szCs w:val="20"/>
        </w:rPr>
        <w:t>Brain Topogr.</w:t>
      </w:r>
      <w:r w:rsidRPr="00C66FCF">
        <w:rPr>
          <w:noProof/>
          <w:szCs w:val="20"/>
        </w:rPr>
        <w:t xml:space="preserve"> 2017;</w:t>
      </w:r>
    </w:p>
    <w:p w14:paraId="2557836B"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10. </w:t>
      </w:r>
      <w:r w:rsidRPr="00C66FCF">
        <w:rPr>
          <w:noProof/>
          <w:szCs w:val="20"/>
        </w:rPr>
        <w:tab/>
        <w:t xml:space="preserve">James S-N, Cheung CHM, Rijsdijk F, et al. Modifiable Arousal in ADHD and its Etiological Association with Fluctuating Reaction Times. </w:t>
      </w:r>
      <w:r w:rsidRPr="00C66FCF">
        <w:rPr>
          <w:i/>
          <w:iCs/>
          <w:noProof/>
          <w:szCs w:val="20"/>
        </w:rPr>
        <w:t>Biol. Psychiatry Cogn. Neurosci. Neuroimaging</w:t>
      </w:r>
      <w:r w:rsidRPr="00C66FCF">
        <w:rPr>
          <w:noProof/>
          <w:szCs w:val="20"/>
        </w:rPr>
        <w:t>. 2016;</w:t>
      </w:r>
    </w:p>
    <w:p w14:paraId="295963D5"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11. </w:t>
      </w:r>
      <w:r w:rsidRPr="00C66FCF">
        <w:rPr>
          <w:noProof/>
          <w:szCs w:val="20"/>
        </w:rPr>
        <w:tab/>
        <w:t xml:space="preserve">Chen W, Zhou K, Sham P, et al. DSM-IV combined type ADHD shows familial association with sibling trait scores: a sampling strategy for QTL linkage. </w:t>
      </w:r>
      <w:r w:rsidRPr="00C66FCF">
        <w:rPr>
          <w:i/>
          <w:iCs/>
          <w:noProof/>
          <w:szCs w:val="20"/>
        </w:rPr>
        <w:t>Am. J. Med. Genet. B. Neuropsychiatr. Genet.</w:t>
      </w:r>
      <w:r w:rsidRPr="00C66FCF">
        <w:rPr>
          <w:noProof/>
          <w:szCs w:val="20"/>
        </w:rPr>
        <w:t xml:space="preserve"> 2008;147B(8):1450–60. </w:t>
      </w:r>
    </w:p>
    <w:p w14:paraId="6557B28D" w14:textId="77777777" w:rsidR="00C66FCF" w:rsidRPr="00C66FCF" w:rsidRDefault="00C66FCF" w:rsidP="005C25A7">
      <w:pPr>
        <w:widowControl w:val="0"/>
        <w:autoSpaceDE w:val="0"/>
        <w:autoSpaceDN w:val="0"/>
        <w:adjustRightInd w:val="0"/>
        <w:ind w:left="640" w:hanging="640"/>
        <w:rPr>
          <w:noProof/>
          <w:szCs w:val="20"/>
        </w:rPr>
      </w:pPr>
      <w:r w:rsidRPr="00C66FCF">
        <w:rPr>
          <w:noProof/>
          <w:szCs w:val="20"/>
        </w:rPr>
        <w:t xml:space="preserve">12. </w:t>
      </w:r>
      <w:r w:rsidRPr="00C66FCF">
        <w:rPr>
          <w:noProof/>
          <w:szCs w:val="20"/>
        </w:rPr>
        <w:tab/>
        <w:t xml:space="preserve">Kuntsi J, Wood AC, Rijsdijk F, et al. Separation of cognitive impairments in attention-deficit/hyperactivity disorder into 2 familial factors. </w:t>
      </w:r>
      <w:r w:rsidRPr="00C66FCF">
        <w:rPr>
          <w:i/>
          <w:iCs/>
          <w:noProof/>
          <w:szCs w:val="20"/>
        </w:rPr>
        <w:t>Arch. Gen. Psychiatry</w:t>
      </w:r>
      <w:r w:rsidRPr="00C66FCF">
        <w:rPr>
          <w:noProof/>
          <w:szCs w:val="20"/>
        </w:rPr>
        <w:t xml:space="preserve">. 2010;67(11):1159–67. </w:t>
      </w:r>
    </w:p>
    <w:p w14:paraId="7A5DD09C" w14:textId="643C612A" w:rsidR="000D286B" w:rsidRPr="000D286B" w:rsidRDefault="000D286B" w:rsidP="005C25A7">
      <w:r w:rsidRPr="00C66FCF">
        <w:rPr>
          <w:szCs w:val="20"/>
        </w:rPr>
        <w:fldChar w:fldCharType="end"/>
      </w:r>
    </w:p>
    <w:p w14:paraId="2A8F1627" w14:textId="39227FA3" w:rsidR="00F67FC7" w:rsidRPr="00E46430" w:rsidRDefault="00F67FC7" w:rsidP="005C25A7">
      <w:pPr>
        <w:spacing w:before="0" w:after="160"/>
        <w:jc w:val="left"/>
        <w:rPr>
          <w:b/>
        </w:rPr>
      </w:pPr>
    </w:p>
    <w:sectPr w:rsidR="00F67FC7" w:rsidRPr="00E46430" w:rsidSect="00FC03D1">
      <w:footerReference w:type="default" r:id="rId7"/>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ABAC" w14:textId="77777777" w:rsidR="003C26A3" w:rsidRDefault="003C26A3" w:rsidP="00A56D82">
      <w:pPr>
        <w:spacing w:before="0"/>
      </w:pPr>
      <w:r>
        <w:separator/>
      </w:r>
    </w:p>
  </w:endnote>
  <w:endnote w:type="continuationSeparator" w:id="0">
    <w:p w14:paraId="7DBE3D3F" w14:textId="77777777" w:rsidR="003C26A3" w:rsidRDefault="003C26A3" w:rsidP="00A56D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dvPS94B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941513"/>
      <w:docPartObj>
        <w:docPartGallery w:val="Page Numbers (Bottom of Page)"/>
        <w:docPartUnique/>
      </w:docPartObj>
    </w:sdtPr>
    <w:sdtEndPr>
      <w:rPr>
        <w:noProof/>
      </w:rPr>
    </w:sdtEndPr>
    <w:sdtContent>
      <w:p w14:paraId="041797AA" w14:textId="062F3D70" w:rsidR="00D051E3" w:rsidRDefault="00D051E3">
        <w:pPr>
          <w:pStyle w:val="Footer"/>
          <w:jc w:val="right"/>
        </w:pPr>
        <w:r>
          <w:fldChar w:fldCharType="begin"/>
        </w:r>
        <w:r>
          <w:instrText xml:space="preserve"> PAGE   \* MERGEFORMAT </w:instrText>
        </w:r>
        <w:r>
          <w:fldChar w:fldCharType="separate"/>
        </w:r>
        <w:r w:rsidR="00004F43">
          <w:rPr>
            <w:noProof/>
          </w:rPr>
          <w:t>8</w:t>
        </w:r>
        <w:r>
          <w:rPr>
            <w:noProof/>
          </w:rPr>
          <w:fldChar w:fldCharType="end"/>
        </w:r>
      </w:p>
    </w:sdtContent>
  </w:sdt>
  <w:p w14:paraId="18220131" w14:textId="77777777" w:rsidR="00D051E3" w:rsidRDefault="00D0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B58E" w14:textId="77777777" w:rsidR="003C26A3" w:rsidRDefault="003C26A3" w:rsidP="00A56D82">
      <w:pPr>
        <w:spacing w:before="0"/>
      </w:pPr>
      <w:r>
        <w:separator/>
      </w:r>
    </w:p>
  </w:footnote>
  <w:footnote w:type="continuationSeparator" w:id="0">
    <w:p w14:paraId="15645C57" w14:textId="77777777" w:rsidR="003C26A3" w:rsidRDefault="003C26A3" w:rsidP="00A56D8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B7"/>
    <w:rsid w:val="00001826"/>
    <w:rsid w:val="00004F43"/>
    <w:rsid w:val="00027DFD"/>
    <w:rsid w:val="00030D27"/>
    <w:rsid w:val="000400D2"/>
    <w:rsid w:val="0005603B"/>
    <w:rsid w:val="000648FF"/>
    <w:rsid w:val="0007137C"/>
    <w:rsid w:val="00073E15"/>
    <w:rsid w:val="000925E6"/>
    <w:rsid w:val="000A36FD"/>
    <w:rsid w:val="000A3E24"/>
    <w:rsid w:val="000A4D3B"/>
    <w:rsid w:val="000C7457"/>
    <w:rsid w:val="000D286B"/>
    <w:rsid w:val="00101FD5"/>
    <w:rsid w:val="001071D8"/>
    <w:rsid w:val="001519B7"/>
    <w:rsid w:val="00161EE9"/>
    <w:rsid w:val="00177C71"/>
    <w:rsid w:val="00190AFC"/>
    <w:rsid w:val="001E43EA"/>
    <w:rsid w:val="002113B7"/>
    <w:rsid w:val="00231543"/>
    <w:rsid w:val="00243974"/>
    <w:rsid w:val="002D046A"/>
    <w:rsid w:val="002D5733"/>
    <w:rsid w:val="002E416D"/>
    <w:rsid w:val="002E5577"/>
    <w:rsid w:val="003265CE"/>
    <w:rsid w:val="00374880"/>
    <w:rsid w:val="00384850"/>
    <w:rsid w:val="00394808"/>
    <w:rsid w:val="003A044D"/>
    <w:rsid w:val="003B1997"/>
    <w:rsid w:val="003C26A3"/>
    <w:rsid w:val="003E4CE2"/>
    <w:rsid w:val="0044158E"/>
    <w:rsid w:val="00475479"/>
    <w:rsid w:val="00483AB7"/>
    <w:rsid w:val="00496AED"/>
    <w:rsid w:val="004A6C73"/>
    <w:rsid w:val="004D06A0"/>
    <w:rsid w:val="004F3EF6"/>
    <w:rsid w:val="004F6709"/>
    <w:rsid w:val="00503982"/>
    <w:rsid w:val="005176D7"/>
    <w:rsid w:val="00550831"/>
    <w:rsid w:val="00583876"/>
    <w:rsid w:val="0059487F"/>
    <w:rsid w:val="005C25A7"/>
    <w:rsid w:val="005C50AD"/>
    <w:rsid w:val="005E7AB7"/>
    <w:rsid w:val="005F1FDB"/>
    <w:rsid w:val="006279B0"/>
    <w:rsid w:val="00641180"/>
    <w:rsid w:val="006628C4"/>
    <w:rsid w:val="00675190"/>
    <w:rsid w:val="00676033"/>
    <w:rsid w:val="00685E6C"/>
    <w:rsid w:val="006B6F3C"/>
    <w:rsid w:val="006E0420"/>
    <w:rsid w:val="006F392E"/>
    <w:rsid w:val="0070193D"/>
    <w:rsid w:val="007367F0"/>
    <w:rsid w:val="00754896"/>
    <w:rsid w:val="00762E75"/>
    <w:rsid w:val="00803774"/>
    <w:rsid w:val="00806B70"/>
    <w:rsid w:val="00847186"/>
    <w:rsid w:val="00877323"/>
    <w:rsid w:val="008D0834"/>
    <w:rsid w:val="008D1D76"/>
    <w:rsid w:val="008D3915"/>
    <w:rsid w:val="008E680F"/>
    <w:rsid w:val="00977D66"/>
    <w:rsid w:val="00991787"/>
    <w:rsid w:val="00995FEF"/>
    <w:rsid w:val="009A56FF"/>
    <w:rsid w:val="009E4574"/>
    <w:rsid w:val="009F734E"/>
    <w:rsid w:val="00A0493B"/>
    <w:rsid w:val="00A100D6"/>
    <w:rsid w:val="00A10EC0"/>
    <w:rsid w:val="00A208AF"/>
    <w:rsid w:val="00A21068"/>
    <w:rsid w:val="00A50061"/>
    <w:rsid w:val="00A53C6D"/>
    <w:rsid w:val="00A5505E"/>
    <w:rsid w:val="00A56D82"/>
    <w:rsid w:val="00A57518"/>
    <w:rsid w:val="00A85763"/>
    <w:rsid w:val="00AB0858"/>
    <w:rsid w:val="00AB1DD2"/>
    <w:rsid w:val="00AB2366"/>
    <w:rsid w:val="00AC40E4"/>
    <w:rsid w:val="00AE6E75"/>
    <w:rsid w:val="00B14690"/>
    <w:rsid w:val="00B43552"/>
    <w:rsid w:val="00BA3F5D"/>
    <w:rsid w:val="00BC0631"/>
    <w:rsid w:val="00BD3382"/>
    <w:rsid w:val="00BD6579"/>
    <w:rsid w:val="00C6010E"/>
    <w:rsid w:val="00C66FCF"/>
    <w:rsid w:val="00C7464C"/>
    <w:rsid w:val="00C94001"/>
    <w:rsid w:val="00CA7244"/>
    <w:rsid w:val="00CB570B"/>
    <w:rsid w:val="00CD23A1"/>
    <w:rsid w:val="00CE0CA7"/>
    <w:rsid w:val="00CE5668"/>
    <w:rsid w:val="00D023EB"/>
    <w:rsid w:val="00D04D67"/>
    <w:rsid w:val="00D051E3"/>
    <w:rsid w:val="00D13143"/>
    <w:rsid w:val="00D302A7"/>
    <w:rsid w:val="00D34B7D"/>
    <w:rsid w:val="00DC51F8"/>
    <w:rsid w:val="00DD6227"/>
    <w:rsid w:val="00DE0405"/>
    <w:rsid w:val="00DF3684"/>
    <w:rsid w:val="00E46430"/>
    <w:rsid w:val="00E91C69"/>
    <w:rsid w:val="00E94661"/>
    <w:rsid w:val="00E95A53"/>
    <w:rsid w:val="00E9651D"/>
    <w:rsid w:val="00E97B2A"/>
    <w:rsid w:val="00ED0CC3"/>
    <w:rsid w:val="00ED0D0D"/>
    <w:rsid w:val="00ED1095"/>
    <w:rsid w:val="00ED196A"/>
    <w:rsid w:val="00ED27B3"/>
    <w:rsid w:val="00ED73E9"/>
    <w:rsid w:val="00EE0799"/>
    <w:rsid w:val="00F03F03"/>
    <w:rsid w:val="00F1137A"/>
    <w:rsid w:val="00F42CD3"/>
    <w:rsid w:val="00F536C8"/>
    <w:rsid w:val="00F553AC"/>
    <w:rsid w:val="00F67FC7"/>
    <w:rsid w:val="00FC03D1"/>
    <w:rsid w:val="00FC4F75"/>
    <w:rsid w:val="00FD22F8"/>
    <w:rsid w:val="00FF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9DCB"/>
  <w15:docId w15:val="{EE0F6181-278A-4DA7-ADB8-B3D9AE95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FCF"/>
    <w:pPr>
      <w:spacing w:before="120" w:after="0" w:line="240" w:lineRule="auto"/>
      <w:jc w:val="both"/>
    </w:pPr>
    <w:rPr>
      <w:rFonts w:ascii="Times New Roman" w:hAnsi="Times New Roman" w:cs="Times New Roman"/>
      <w:color w:val="000000"/>
      <w:sz w:val="20"/>
      <w:szCs w:val="24"/>
    </w:rPr>
  </w:style>
  <w:style w:type="paragraph" w:styleId="Heading1">
    <w:name w:val="heading 1"/>
    <w:basedOn w:val="Normal"/>
    <w:next w:val="Normal"/>
    <w:link w:val="Heading1Char"/>
    <w:uiPriority w:val="9"/>
    <w:qFormat/>
    <w:rsid w:val="00CA7244"/>
    <w:pPr>
      <w:keepNext/>
      <w:keepLines/>
      <w:spacing w:before="480"/>
      <w:outlineLvl w:val="0"/>
    </w:pPr>
    <w:rPr>
      <w:rFonts w:eastAsiaTheme="majorEastAsia"/>
      <w:b/>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244"/>
    <w:rPr>
      <w:rFonts w:ascii="Times New Roman" w:eastAsiaTheme="majorEastAsia" w:hAnsi="Times New Roman" w:cs="Times New Roman"/>
      <w:b/>
      <w:bCs/>
      <w:sz w:val="24"/>
      <w:szCs w:val="20"/>
    </w:rPr>
  </w:style>
  <w:style w:type="paragraph" w:styleId="BalloonText">
    <w:name w:val="Balloon Text"/>
    <w:basedOn w:val="Normal"/>
    <w:link w:val="BalloonTextChar"/>
    <w:uiPriority w:val="99"/>
    <w:semiHidden/>
    <w:unhideWhenUsed/>
    <w:rsid w:val="002E55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77"/>
    <w:rPr>
      <w:rFonts w:ascii="Segoe UI" w:hAnsi="Segoe UI" w:cs="Segoe UI"/>
      <w:color w:val="000000"/>
      <w:sz w:val="18"/>
      <w:szCs w:val="18"/>
    </w:rPr>
  </w:style>
  <w:style w:type="paragraph" w:styleId="Header">
    <w:name w:val="header"/>
    <w:basedOn w:val="Normal"/>
    <w:link w:val="HeaderChar"/>
    <w:uiPriority w:val="99"/>
    <w:unhideWhenUsed/>
    <w:rsid w:val="00A56D82"/>
    <w:pPr>
      <w:tabs>
        <w:tab w:val="center" w:pos="4513"/>
        <w:tab w:val="right" w:pos="9026"/>
      </w:tabs>
      <w:spacing w:before="0"/>
    </w:pPr>
  </w:style>
  <w:style w:type="character" w:customStyle="1" w:styleId="HeaderChar">
    <w:name w:val="Header Char"/>
    <w:basedOn w:val="DefaultParagraphFont"/>
    <w:link w:val="Header"/>
    <w:uiPriority w:val="99"/>
    <w:rsid w:val="00A56D82"/>
    <w:rPr>
      <w:rFonts w:cs="Times New Roman"/>
      <w:color w:val="000000"/>
      <w:szCs w:val="24"/>
    </w:rPr>
  </w:style>
  <w:style w:type="paragraph" w:styleId="Footer">
    <w:name w:val="footer"/>
    <w:basedOn w:val="Normal"/>
    <w:link w:val="FooterChar"/>
    <w:uiPriority w:val="99"/>
    <w:unhideWhenUsed/>
    <w:rsid w:val="00A56D82"/>
    <w:pPr>
      <w:tabs>
        <w:tab w:val="center" w:pos="4513"/>
        <w:tab w:val="right" w:pos="9026"/>
      </w:tabs>
      <w:spacing w:before="0"/>
    </w:pPr>
  </w:style>
  <w:style w:type="character" w:customStyle="1" w:styleId="FooterChar">
    <w:name w:val="Footer Char"/>
    <w:basedOn w:val="DefaultParagraphFont"/>
    <w:link w:val="Footer"/>
    <w:uiPriority w:val="99"/>
    <w:rsid w:val="00A56D82"/>
    <w:rPr>
      <w:rFonts w:cs="Times New Roman"/>
      <w:color w:val="000000"/>
      <w:szCs w:val="24"/>
    </w:rPr>
  </w:style>
  <w:style w:type="character" w:styleId="CommentReference">
    <w:name w:val="annotation reference"/>
    <w:basedOn w:val="DefaultParagraphFont"/>
    <w:uiPriority w:val="99"/>
    <w:semiHidden/>
    <w:unhideWhenUsed/>
    <w:rsid w:val="00D04D67"/>
    <w:rPr>
      <w:sz w:val="16"/>
      <w:szCs w:val="16"/>
    </w:rPr>
  </w:style>
  <w:style w:type="paragraph" w:styleId="CommentText">
    <w:name w:val="annotation text"/>
    <w:basedOn w:val="Normal"/>
    <w:link w:val="CommentTextChar"/>
    <w:uiPriority w:val="99"/>
    <w:semiHidden/>
    <w:unhideWhenUsed/>
    <w:rsid w:val="00D04D67"/>
    <w:rPr>
      <w:szCs w:val="20"/>
    </w:rPr>
  </w:style>
  <w:style w:type="character" w:customStyle="1" w:styleId="CommentTextChar">
    <w:name w:val="Comment Text Char"/>
    <w:basedOn w:val="DefaultParagraphFont"/>
    <w:link w:val="CommentText"/>
    <w:uiPriority w:val="99"/>
    <w:semiHidden/>
    <w:rsid w:val="00D04D67"/>
    <w:rPr>
      <w:rFont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4D67"/>
    <w:rPr>
      <w:b/>
      <w:bCs/>
    </w:rPr>
  </w:style>
  <w:style w:type="character" w:customStyle="1" w:styleId="CommentSubjectChar">
    <w:name w:val="Comment Subject Char"/>
    <w:basedOn w:val="CommentTextChar"/>
    <w:link w:val="CommentSubject"/>
    <w:uiPriority w:val="99"/>
    <w:semiHidden/>
    <w:rsid w:val="00D04D67"/>
    <w:rPr>
      <w:rFonts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13035">
      <w:bodyDiv w:val="1"/>
      <w:marLeft w:val="0"/>
      <w:marRight w:val="0"/>
      <w:marTop w:val="0"/>
      <w:marBottom w:val="0"/>
      <w:divBdr>
        <w:top w:val="none" w:sz="0" w:space="0" w:color="auto"/>
        <w:left w:val="none" w:sz="0" w:space="0" w:color="auto"/>
        <w:bottom w:val="none" w:sz="0" w:space="0" w:color="auto"/>
        <w:right w:val="none" w:sz="0" w:space="0" w:color="auto"/>
      </w:divBdr>
    </w:div>
    <w:div w:id="17032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DA03-60C9-6940-95BB-54F77525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10243</Words>
  <Characters>58387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James, Sarah</cp:lastModifiedBy>
  <cp:revision>7</cp:revision>
  <cp:lastPrinted>2017-09-13T09:20:00Z</cp:lastPrinted>
  <dcterms:created xsi:type="dcterms:W3CDTF">2019-03-14T12:35:00Z</dcterms:created>
  <dcterms:modified xsi:type="dcterms:W3CDTF">2019-05-03T18:45:00Z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http://www.zotero.org/styles/american-journal-of-epidemiology</vt:lpwstr>
  </property>
  <property fmtid="{D5CDD505-2E9C-101B-9397-08002B2CF9AE}" pid="3" name="Mendeley Recent Style Name 0_1">
    <vt:lpwstr>American Journal of Epidemiology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http://www.zotero.org/styles/biological-psychiatry</vt:lpwstr>
  </property>
  <property fmtid="{D5CDD505-2E9C-101B-9397-08002B2CF9AE}" pid="9" name="Mendeley Recent Style Name 3_1">
    <vt:lpwstr>Biological Psychiatry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http://www.zotero.org/styles/journal-of-psychiatric-research</vt:lpwstr>
  </property>
  <property fmtid="{D5CDD505-2E9C-101B-9397-08002B2CF9AE}" pid="17" name="Mendeley Recent Style Name 7_1">
    <vt:lpwstr>Journal of Psychiatric Research</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http://www.zotero.org/styles/psychological-medicine</vt:lpwstr>
  </property>
  <property fmtid="{D5CDD505-2E9C-101B-9397-08002B2CF9AE}" pid="21" name="Mendeley Recent Style Name 9_1">
    <vt:lpwstr>Psychological Medicine</vt:lpwstr>
  </property>
  <property fmtid="{D5CDD505-2E9C-101B-9397-08002B2CF9AE}" pid="22" name="Mendeley Document_1">
    <vt:lpwstr>True</vt:lpwstr>
  </property>
  <property fmtid="{D5CDD505-2E9C-101B-9397-08002B2CF9AE}" pid="23" name="Mendeley Unique User Id_1">
    <vt:lpwstr>c715d99a-0f96-3ab5-b123-9ecac0847356</vt:lpwstr>
  </property>
  <property fmtid="{D5CDD505-2E9C-101B-9397-08002B2CF9AE}" pid="24" name="Mendeley Citation Style_1">
    <vt:lpwstr>http://www.zotero.org/styles/american-journal-of-epidemiology</vt:lpwstr>
  </property>
</Properties>
</file>