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C2" w:rsidRPr="00167BB3" w:rsidRDefault="00BD5AC2" w:rsidP="00BD5AC2">
      <w:pPr>
        <w:pStyle w:val="Default"/>
        <w:rPr>
          <w:color w:val="auto"/>
        </w:rPr>
      </w:pPr>
    </w:p>
    <w:p w:rsidR="00BD5AC2" w:rsidRPr="00167BB3" w:rsidRDefault="00BD5AC2" w:rsidP="00BD5AC2">
      <w:pPr>
        <w:spacing w:line="360" w:lineRule="auto"/>
        <w:ind w:left="284"/>
        <w:jc w:val="center"/>
      </w:pPr>
      <w:r w:rsidRPr="00167BB3">
        <w:t>Supplementary Material</w:t>
      </w:r>
    </w:p>
    <w:p w:rsidR="00BD5AC2" w:rsidRPr="00167BB3" w:rsidRDefault="00BD5AC2" w:rsidP="00BD5AC2">
      <w:pPr>
        <w:spacing w:line="360" w:lineRule="auto"/>
        <w:ind w:left="284"/>
        <w:jc w:val="center"/>
      </w:pPr>
      <w:r w:rsidRPr="00167BB3">
        <w:t>Sexual Orientation and Mental Health over the Life Course in a Birth Cohort.</w:t>
      </w:r>
    </w:p>
    <w:p w:rsidR="00BD5AC2" w:rsidRPr="00167BB3" w:rsidRDefault="00BD5AC2" w:rsidP="00BD5AC2">
      <w:pPr>
        <w:spacing w:line="360" w:lineRule="auto"/>
        <w:ind w:left="284"/>
      </w:pPr>
    </w:p>
    <w:p w:rsidR="00BD5AC2" w:rsidRPr="00167BB3" w:rsidRDefault="00BD5AC2" w:rsidP="00BD5AC2">
      <w:pPr>
        <w:spacing w:line="360" w:lineRule="auto"/>
        <w:ind w:left="284"/>
      </w:pPr>
    </w:p>
    <w:p w:rsidR="00BD5AC2" w:rsidRPr="00167BB3" w:rsidRDefault="00BD5AC2" w:rsidP="00BD5AC2">
      <w:pPr>
        <w:spacing w:line="360" w:lineRule="auto"/>
        <w:ind w:left="284"/>
        <w:jc w:val="center"/>
      </w:pPr>
      <w:r w:rsidRPr="00167BB3">
        <w:t xml:space="preserve">Spittlehouse JK </w:t>
      </w:r>
      <w:r w:rsidRPr="00167BB3">
        <w:rPr>
          <w:vertAlign w:val="superscript"/>
        </w:rPr>
        <w:t>1</w:t>
      </w:r>
    </w:p>
    <w:p w:rsidR="00BD5AC2" w:rsidRPr="00167BB3" w:rsidRDefault="00BD5AC2" w:rsidP="00BD5AC2">
      <w:pPr>
        <w:spacing w:line="360" w:lineRule="auto"/>
        <w:ind w:left="284"/>
        <w:jc w:val="center"/>
      </w:pPr>
      <w:r w:rsidRPr="00167BB3">
        <w:t xml:space="preserve">Boden JM </w:t>
      </w:r>
      <w:r w:rsidRPr="00167BB3">
        <w:rPr>
          <w:vertAlign w:val="superscript"/>
        </w:rPr>
        <w:t>1</w:t>
      </w:r>
    </w:p>
    <w:p w:rsidR="00BD5AC2" w:rsidRPr="00167BB3" w:rsidRDefault="00BD5AC2" w:rsidP="00BD5AC2">
      <w:pPr>
        <w:spacing w:line="360" w:lineRule="auto"/>
        <w:ind w:left="284"/>
        <w:jc w:val="center"/>
      </w:pPr>
      <w:r w:rsidRPr="00167BB3">
        <w:t xml:space="preserve">Horwood LJ </w:t>
      </w:r>
      <w:r w:rsidRPr="00167BB3">
        <w:rPr>
          <w:vertAlign w:val="superscript"/>
        </w:rPr>
        <w:t>1</w:t>
      </w:r>
    </w:p>
    <w:p w:rsidR="00BD5AC2" w:rsidRPr="00167BB3" w:rsidRDefault="00BD5AC2" w:rsidP="00BD5AC2">
      <w:pPr>
        <w:spacing w:line="360" w:lineRule="auto"/>
        <w:ind w:left="284"/>
        <w:rPr>
          <w:b/>
          <w:u w:val="single"/>
        </w:rPr>
      </w:pPr>
    </w:p>
    <w:p w:rsidR="00BD5AC2" w:rsidRPr="00167BB3" w:rsidRDefault="00BD5AC2" w:rsidP="00BD5AC2">
      <w:pPr>
        <w:tabs>
          <w:tab w:val="left" w:pos="284"/>
        </w:tabs>
        <w:spacing w:line="360" w:lineRule="auto"/>
        <w:ind w:left="284" w:hanging="284"/>
      </w:pPr>
      <w:r w:rsidRPr="00167BB3">
        <w:rPr>
          <w:vertAlign w:val="superscript"/>
        </w:rPr>
        <w:t>1</w:t>
      </w:r>
      <w:r w:rsidRPr="00167BB3">
        <w:tab/>
        <w:t>Christchurch Health and</w:t>
      </w:r>
      <w:r w:rsidRPr="00167BB3">
        <w:rPr>
          <w:vertAlign w:val="superscript"/>
        </w:rPr>
        <w:t xml:space="preserve"> </w:t>
      </w:r>
      <w:r w:rsidRPr="00167BB3">
        <w:t>Development Study, Department of Psychological Medicine, University of Otago, Christchurch, PO Box 4345, Christchurch, New Zealand</w:t>
      </w:r>
    </w:p>
    <w:p w:rsidR="00BD5AC2" w:rsidRPr="00167BB3" w:rsidRDefault="00BD5AC2" w:rsidP="00BD5AC2">
      <w:pPr>
        <w:spacing w:line="360" w:lineRule="auto"/>
        <w:ind w:left="284" w:hanging="284"/>
      </w:pPr>
    </w:p>
    <w:p w:rsidR="00BD5AC2" w:rsidRPr="00167BB3" w:rsidRDefault="00BD5AC2" w:rsidP="00BD5AC2">
      <w:pPr>
        <w:tabs>
          <w:tab w:val="left" w:pos="2835"/>
        </w:tabs>
        <w:spacing w:line="360" w:lineRule="auto"/>
        <w:ind w:left="284"/>
      </w:pPr>
      <w:r w:rsidRPr="00167BB3">
        <w:t>Corresponding author</w:t>
      </w:r>
      <w:r w:rsidRPr="00167BB3">
        <w:rPr>
          <w:b/>
        </w:rPr>
        <w:t>:</w:t>
      </w:r>
      <w:r w:rsidRPr="00167BB3">
        <w:rPr>
          <w:b/>
        </w:rPr>
        <w:tab/>
      </w:r>
      <w:r w:rsidRPr="00167BB3">
        <w:t>Christchurch Health and</w:t>
      </w:r>
      <w:r w:rsidRPr="00167BB3">
        <w:rPr>
          <w:vertAlign w:val="superscript"/>
        </w:rPr>
        <w:t xml:space="preserve"> </w:t>
      </w:r>
      <w:r w:rsidRPr="00167BB3">
        <w:t xml:space="preserve">Development Study </w:t>
      </w:r>
    </w:p>
    <w:p w:rsidR="00BD5AC2" w:rsidRPr="00167BB3" w:rsidRDefault="00BD5AC2" w:rsidP="00BD5AC2">
      <w:pPr>
        <w:tabs>
          <w:tab w:val="left" w:pos="2835"/>
        </w:tabs>
        <w:spacing w:line="360" w:lineRule="auto"/>
        <w:ind w:left="284"/>
        <w:rPr>
          <w:b/>
        </w:rPr>
      </w:pPr>
      <w:r w:rsidRPr="00167BB3">
        <w:tab/>
        <w:t>Department of Psychological Medicine</w:t>
      </w:r>
    </w:p>
    <w:p w:rsidR="00BD5AC2" w:rsidRPr="00167BB3" w:rsidRDefault="00BD5AC2" w:rsidP="00BD5AC2">
      <w:pPr>
        <w:tabs>
          <w:tab w:val="left" w:pos="2835"/>
        </w:tabs>
        <w:spacing w:line="360" w:lineRule="auto"/>
        <w:ind w:left="284"/>
        <w:rPr>
          <w:b/>
        </w:rPr>
      </w:pPr>
      <w:r w:rsidRPr="00167BB3">
        <w:tab/>
      </w:r>
      <w:smartTag w:uri="urn:schemas-microsoft-com:office:smarttags" w:element="PlaceType">
        <w:r w:rsidRPr="00167BB3">
          <w:t>University</w:t>
        </w:r>
      </w:smartTag>
      <w:r w:rsidRPr="00167BB3">
        <w:t xml:space="preserve"> of </w:t>
      </w:r>
      <w:smartTag w:uri="urn:schemas-microsoft-com:office:smarttags" w:element="PlaceName">
        <w:r w:rsidRPr="00167BB3">
          <w:t>Otago</w:t>
        </w:r>
      </w:smartTag>
      <w:r w:rsidRPr="00167BB3">
        <w:t xml:space="preserve">, </w:t>
      </w:r>
      <w:smartTag w:uri="urn:schemas-microsoft-com:office:smarttags" w:element="place">
        <w:smartTag w:uri="urn:schemas-microsoft-com:office:smarttags" w:element="City">
          <w:r w:rsidRPr="00167BB3">
            <w:t>Christchurch</w:t>
          </w:r>
        </w:smartTag>
      </w:smartTag>
    </w:p>
    <w:p w:rsidR="00BD5AC2" w:rsidRPr="00167BB3" w:rsidRDefault="00BD5AC2" w:rsidP="00BD5AC2">
      <w:pPr>
        <w:tabs>
          <w:tab w:val="left" w:pos="2835"/>
        </w:tabs>
        <w:spacing w:line="360" w:lineRule="auto"/>
        <w:ind w:left="284"/>
        <w:rPr>
          <w:b/>
        </w:rPr>
      </w:pPr>
      <w:r w:rsidRPr="00167BB3">
        <w:tab/>
      </w:r>
      <w:smartTag w:uri="urn:schemas-microsoft-com:office:smarttags" w:element="address">
        <w:smartTag w:uri="urn:schemas-microsoft-com:office:smarttags" w:element="Street">
          <w:r w:rsidRPr="00167BB3">
            <w:t>PO Box</w:t>
          </w:r>
        </w:smartTag>
        <w:r w:rsidRPr="00167BB3">
          <w:t xml:space="preserve"> 4345</w:t>
        </w:r>
      </w:smartTag>
    </w:p>
    <w:p w:rsidR="00BD5AC2" w:rsidRPr="00167BB3" w:rsidRDefault="00BD5AC2" w:rsidP="00BD5AC2">
      <w:pPr>
        <w:tabs>
          <w:tab w:val="left" w:pos="2835"/>
        </w:tabs>
        <w:spacing w:line="360" w:lineRule="auto"/>
        <w:ind w:left="284"/>
        <w:rPr>
          <w:b/>
        </w:rPr>
      </w:pPr>
      <w:r w:rsidRPr="00167BB3">
        <w:tab/>
      </w:r>
      <w:smartTag w:uri="urn:schemas-microsoft-com:office:smarttags" w:element="place">
        <w:smartTag w:uri="urn:schemas-microsoft-com:office:smarttags" w:element="City">
          <w:r w:rsidRPr="00167BB3">
            <w:t>Christchurch</w:t>
          </w:r>
        </w:smartTag>
      </w:smartTag>
    </w:p>
    <w:p w:rsidR="00BD5AC2" w:rsidRPr="00167BB3" w:rsidRDefault="00BD5AC2" w:rsidP="00BD5AC2">
      <w:pPr>
        <w:tabs>
          <w:tab w:val="left" w:pos="2835"/>
        </w:tabs>
        <w:spacing w:line="360" w:lineRule="auto"/>
        <w:ind w:left="284"/>
        <w:rPr>
          <w:b/>
        </w:rPr>
      </w:pPr>
      <w:r w:rsidRPr="00167BB3">
        <w:tab/>
      </w:r>
      <w:smartTag w:uri="urn:schemas-microsoft-com:office:smarttags" w:element="place">
        <w:smartTag w:uri="urn:schemas-microsoft-com:office:smarttags" w:element="country-region">
          <w:r w:rsidRPr="00167BB3">
            <w:t>New Zealand</w:t>
          </w:r>
        </w:smartTag>
      </w:smartTag>
    </w:p>
    <w:p w:rsidR="00BD5AC2" w:rsidRPr="00167BB3" w:rsidRDefault="00BD5AC2" w:rsidP="00BD5AC2">
      <w:pPr>
        <w:tabs>
          <w:tab w:val="left" w:pos="2835"/>
          <w:tab w:val="left" w:pos="3686"/>
        </w:tabs>
        <w:spacing w:line="360" w:lineRule="auto"/>
        <w:ind w:left="284"/>
        <w:rPr>
          <w:b/>
        </w:rPr>
      </w:pPr>
      <w:r w:rsidRPr="00167BB3">
        <w:tab/>
        <w:t>Tel:</w:t>
      </w:r>
      <w:r w:rsidRPr="00167BB3">
        <w:tab/>
        <w:t>++ 64 3 372 6768</w:t>
      </w:r>
    </w:p>
    <w:p w:rsidR="00BD5AC2" w:rsidRPr="00167BB3" w:rsidRDefault="00BD5AC2" w:rsidP="00BD5AC2">
      <w:pPr>
        <w:tabs>
          <w:tab w:val="left" w:pos="2835"/>
          <w:tab w:val="left" w:pos="3686"/>
        </w:tabs>
        <w:spacing w:line="360" w:lineRule="auto"/>
        <w:ind w:left="284"/>
        <w:rPr>
          <w:b/>
        </w:rPr>
      </w:pPr>
      <w:r w:rsidRPr="00167BB3">
        <w:tab/>
        <w:t>Fax:</w:t>
      </w:r>
      <w:r w:rsidRPr="00167BB3">
        <w:tab/>
        <w:t>++64 3 372 0407</w:t>
      </w:r>
    </w:p>
    <w:p w:rsidR="00BD5AC2" w:rsidRPr="00167BB3" w:rsidRDefault="00BD5AC2" w:rsidP="00BD5AC2">
      <w:pPr>
        <w:tabs>
          <w:tab w:val="left" w:pos="2835"/>
          <w:tab w:val="left" w:pos="3686"/>
        </w:tabs>
        <w:spacing w:line="360" w:lineRule="auto"/>
        <w:ind w:left="284"/>
      </w:pPr>
      <w:r w:rsidRPr="00167BB3">
        <w:tab/>
        <w:t>E-mail:</w:t>
      </w:r>
      <w:r w:rsidRPr="00167BB3">
        <w:tab/>
        <w:t>janet.spittlehouse@otago.ac.nz</w:t>
      </w:r>
    </w:p>
    <w:p w:rsidR="00BD5AC2" w:rsidRPr="00167BB3" w:rsidRDefault="00BD5AC2" w:rsidP="00BD5AC2">
      <w:pPr>
        <w:pStyle w:val="Default"/>
        <w:rPr>
          <w:color w:val="auto"/>
        </w:rPr>
      </w:pPr>
    </w:p>
    <w:p w:rsidR="00BD5AC2" w:rsidRPr="00167BB3" w:rsidRDefault="00BD5AC2" w:rsidP="00BD5AC2">
      <w:pPr>
        <w:pStyle w:val="Default"/>
        <w:jc w:val="center"/>
        <w:rPr>
          <w:i/>
          <w:color w:val="auto"/>
        </w:rPr>
      </w:pPr>
      <w:r w:rsidRPr="00167BB3">
        <w:rPr>
          <w:color w:val="auto"/>
          <w:sz w:val="22"/>
          <w:szCs w:val="22"/>
        </w:rPr>
        <w:t>This material supplements, but does not replace, the peer-reviewed article</w:t>
      </w:r>
      <w:r w:rsidRPr="00167BB3">
        <w:rPr>
          <w:i/>
          <w:color w:val="auto"/>
        </w:rPr>
        <w:t>.</w:t>
      </w:r>
    </w:p>
    <w:p w:rsidR="00BD5AC2" w:rsidRPr="00167BB3" w:rsidRDefault="00BD5AC2" w:rsidP="00BD5AC2">
      <w:pPr>
        <w:rPr>
          <w:i/>
        </w:rPr>
      </w:pPr>
      <w:r w:rsidRPr="00167BB3">
        <w:rPr>
          <w:i/>
        </w:rPr>
        <w:br w:type="page"/>
      </w:r>
    </w:p>
    <w:p w:rsidR="00BD5AC2" w:rsidRPr="00167BB3" w:rsidRDefault="00BD5AC2" w:rsidP="00BD5AC2">
      <w:pPr>
        <w:spacing w:line="360" w:lineRule="auto"/>
        <w:ind w:left="284"/>
      </w:pPr>
      <w:r w:rsidRPr="00167BB3">
        <w:lastRenderedPageBreak/>
        <w:t>Supplement:</w:t>
      </w:r>
    </w:p>
    <w:p w:rsidR="00BD5AC2" w:rsidRPr="00167BB3" w:rsidRDefault="00BD5AC2" w:rsidP="00BD5AC2">
      <w:pPr>
        <w:spacing w:line="360" w:lineRule="auto"/>
        <w:ind w:left="284"/>
      </w:pPr>
      <w:r w:rsidRPr="00167BB3">
        <w:t>Confounding factors</w:t>
      </w:r>
    </w:p>
    <w:p w:rsidR="00BD5AC2" w:rsidRPr="00167BB3" w:rsidRDefault="00BD5AC2" w:rsidP="00BD5AC2">
      <w:pPr>
        <w:spacing w:line="360" w:lineRule="auto"/>
        <w:ind w:left="284"/>
      </w:pPr>
      <w:r w:rsidRPr="00167BB3">
        <w:t xml:space="preserve">In order to examine the extent to which the associations between the latent class measure of sexual orientation and mental health/substance use outcomes may have been confounded by childhood/adolescent background and family factors, a series of potential confounding factors were drawn from the study database. A wide range of confounding factors were considered, spanning socio-economic, family and individual factors as well as family violence and child abuse (see Supplementary Table 3). The selection of potential confounding factors was guided by previous research on sexuality done with this cohort </w:t>
      </w:r>
      <w:r>
        <w:fldChar w:fldCharType="begin"/>
      </w:r>
      <w:r>
        <w:instrText xml:space="preserve"> ADDIN EN.CITE &lt;EndNote&gt;&lt;Cite&gt;&lt;Author&gt;Fergusson&lt;/Author&gt;&lt;Year&gt;1999&lt;/Year&gt;&lt;RecNum&gt;3&lt;/RecNum&gt;&lt;DisplayText&gt;(Fergusson&lt;style face="italic"&gt; et al.&lt;/style&gt;, 1999, Fergusson&lt;style face="italic"&gt; et al.&lt;/style&gt;, 2005)&lt;/DisplayText&gt;&lt;record&gt;&lt;rec-number&gt;3&lt;/rec-number&gt;&lt;foreign-keys&gt;&lt;key app="EN" db-id="zwdaweefrw52sgefxe35avvq0r2pvvdz50wa" timestamp="1493855170"&gt;3&lt;/key&gt;&lt;/foreign-keys&gt;&lt;ref-type name="Journal Article"&gt;17&lt;/ref-type&gt;&lt;contributors&gt;&lt;authors&gt;&lt;author&gt;Fergusson, David M&lt;/author&gt;&lt;author&gt;Horwood, L John&lt;/author&gt;&lt;author&gt;Beautrais, Annette L&lt;/author&gt;&lt;/authors&gt;&lt;/contributors&gt;&lt;titles&gt;&lt;title&gt;Is sexual orientation related to mental health problems and suicidality in young people?&lt;/title&gt;&lt;secondary-title&gt;Archives of general psychiatry&lt;/secondary-title&gt;&lt;/titles&gt;&lt;periodical&gt;&lt;full-title&gt;Archives of general psychiatry&lt;/full-title&gt;&lt;/periodical&gt;&lt;pages&gt;876-880&lt;/pages&gt;&lt;volume&gt;56&lt;/volume&gt;&lt;number&gt;10&lt;/number&gt;&lt;dates&gt;&lt;year&gt;1999&lt;/year&gt;&lt;/dates&gt;&lt;isbn&gt;0003-990X&lt;/isbn&gt;&lt;urls&gt;&lt;/urls&gt;&lt;/record&gt;&lt;/Cite&gt;&lt;Cite&gt;&lt;Author&gt;Fergusson&lt;/Author&gt;&lt;Year&gt;2005&lt;/Year&gt;&lt;RecNum&gt;4&lt;/RecNum&gt;&lt;record&gt;&lt;rec-number&gt;4&lt;/rec-number&gt;&lt;foreign-keys&gt;&lt;key app="EN" db-id="zwdaweefrw52sgefxe35avvq0r2pvvdz50wa" timestamp="1493855207"&gt;4&lt;/key&gt;&lt;/foreign-keys&gt;&lt;ref-type name="Journal Article"&gt;17&lt;/ref-type&gt;&lt;contributors&gt;&lt;authors&gt;&lt;author&gt;Fergusson, David M&lt;/author&gt;&lt;author&gt;Horwood, L John&lt;/author&gt;&lt;author&gt;Ridder, Elizabeth M&lt;/author&gt;&lt;author&gt;Beautrais, Annette L&lt;/author&gt;&lt;/authors&gt;&lt;/contributors&gt;&lt;titles&gt;&lt;title&gt;Sexual orientation and mental health in a birth cohort of young adults&lt;/title&gt;&lt;secondary-title&gt;Psychological medicine&lt;/secondary-title&gt;&lt;/titles&gt;&lt;periodical&gt;&lt;full-title&gt;Psychological medicine&lt;/full-title&gt;&lt;/periodical&gt;&lt;pages&gt;971-981&lt;/pages&gt;&lt;volume&gt;35&lt;/volume&gt;&lt;number&gt;07&lt;/number&gt;&lt;dates&gt;&lt;year&gt;2005&lt;/year&gt;&lt;/dates&gt;&lt;isbn&gt;1469-8978&lt;/isbn&gt;&lt;urls&gt;&lt;/urls&gt;&lt;/record&gt;&lt;/Cite&gt;&lt;/EndNote&gt;</w:instrText>
      </w:r>
      <w:r>
        <w:fldChar w:fldCharType="separate"/>
      </w:r>
      <w:r>
        <w:rPr>
          <w:noProof/>
        </w:rPr>
        <w:t>(Fergusson</w:t>
      </w:r>
      <w:r w:rsidRPr="00BD5AC2">
        <w:rPr>
          <w:i/>
          <w:noProof/>
        </w:rPr>
        <w:t xml:space="preserve"> et al.</w:t>
      </w:r>
      <w:r>
        <w:rPr>
          <w:noProof/>
        </w:rPr>
        <w:t>, 1999, Fergusson</w:t>
      </w:r>
      <w:r w:rsidRPr="00BD5AC2">
        <w:rPr>
          <w:i/>
          <w:noProof/>
        </w:rPr>
        <w:t xml:space="preserve"> et al.</w:t>
      </w:r>
      <w:r>
        <w:rPr>
          <w:noProof/>
        </w:rPr>
        <w:t>, 2005)</w:t>
      </w:r>
      <w:r>
        <w:fldChar w:fldCharType="end"/>
      </w:r>
      <w:r w:rsidRPr="00167BB3">
        <w:t>. Preliminary analysis identified 1</w:t>
      </w:r>
      <w:r w:rsidR="00186F0F">
        <w:t>4</w:t>
      </w:r>
      <w:r w:rsidRPr="00167BB3">
        <w:t xml:space="preserve"> factors for inclusion as covariates. </w:t>
      </w:r>
      <w:r w:rsidR="00186F0F">
        <w:t>T</w:t>
      </w:r>
      <w:r w:rsidR="007821A8">
        <w:t>he</w:t>
      </w:r>
      <w:r w:rsidRPr="00167BB3">
        <w:t xml:space="preserve"> 1</w:t>
      </w:r>
      <w:r w:rsidR="00186F0F">
        <w:t>4</w:t>
      </w:r>
      <w:r w:rsidRPr="00167BB3">
        <w:t xml:space="preserve"> factors</w:t>
      </w:r>
      <w:r w:rsidR="007821A8">
        <w:t xml:space="preserve"> were</w:t>
      </w:r>
      <w:r w:rsidRPr="00167BB3">
        <w:t>:</w:t>
      </w:r>
    </w:p>
    <w:p w:rsidR="00BD5AC2" w:rsidRPr="00167BB3" w:rsidRDefault="00BD5AC2" w:rsidP="00BD5AC2"/>
    <w:p w:rsidR="00BD5AC2" w:rsidRPr="00167BB3" w:rsidRDefault="00BD5AC2" w:rsidP="00BD5AC2">
      <w:pPr>
        <w:spacing w:line="360" w:lineRule="auto"/>
        <w:ind w:left="284"/>
        <w:rPr>
          <w:i/>
        </w:rPr>
      </w:pPr>
      <w:r w:rsidRPr="00167BB3">
        <w:rPr>
          <w:i/>
        </w:rPr>
        <w:t>Sex</w:t>
      </w:r>
    </w:p>
    <w:p w:rsidR="00BD5AC2" w:rsidRPr="00167BB3" w:rsidRDefault="00BD5AC2" w:rsidP="00BD5AC2">
      <w:pPr>
        <w:spacing w:line="360" w:lineRule="auto"/>
        <w:ind w:left="284"/>
      </w:pPr>
      <w:r w:rsidRPr="00167BB3">
        <w:t xml:space="preserve">Cohort members’ sex was recorded at birth. There were no known cases of changes in sex or gender identity amongst the CHDS cohort to age 35 years. </w:t>
      </w:r>
    </w:p>
    <w:p w:rsidR="00BD5AC2" w:rsidRPr="00167BB3" w:rsidRDefault="00BD5AC2" w:rsidP="00BD5AC2">
      <w:pPr>
        <w:spacing w:line="360" w:lineRule="auto"/>
        <w:ind w:left="284"/>
        <w:rPr>
          <w:i/>
        </w:rPr>
      </w:pPr>
      <w:r w:rsidRPr="00167BB3">
        <w:rPr>
          <w:i/>
        </w:rPr>
        <w:t>Socio-economic status (birth)</w:t>
      </w:r>
    </w:p>
    <w:p w:rsidR="00BD5AC2" w:rsidRPr="00167BB3" w:rsidRDefault="00BD5AC2" w:rsidP="00BD5AC2">
      <w:pPr>
        <w:spacing w:line="360" w:lineRule="auto"/>
        <w:ind w:left="284"/>
      </w:pPr>
      <w:r w:rsidRPr="00167BB3">
        <w:rPr>
          <w:lang w:val="en-US"/>
        </w:rPr>
        <w:t xml:space="preserve">Family SES was assessed at the time of the survey child’s birth using the </w:t>
      </w:r>
      <w:proofErr w:type="spellStart"/>
      <w:r w:rsidRPr="00167BB3">
        <w:rPr>
          <w:lang w:val="en-US"/>
        </w:rPr>
        <w:t>Elley</w:t>
      </w:r>
      <w:proofErr w:type="spellEnd"/>
      <w:r w:rsidRPr="00167BB3">
        <w:rPr>
          <w:lang w:val="en-US"/>
        </w:rPr>
        <w:t xml:space="preserve">-Irving scale of socio-economic status for New Zealand </w:t>
      </w:r>
      <w:r>
        <w:rPr>
          <w:lang w:val="en-US"/>
        </w:rPr>
        <w:fldChar w:fldCharType="begin"/>
      </w:r>
      <w:r>
        <w:rPr>
          <w:lang w:val="en-US"/>
        </w:rPr>
        <w:instrText xml:space="preserve"> ADDIN EN.CITE &lt;EndNote&gt;&lt;Cite&gt;&lt;Author&gt;Elley&lt;/Author&gt;&lt;Year&gt;1976&lt;/Year&gt;&lt;RecNum&gt;186&lt;/RecNum&gt;&lt;DisplayText&gt;(Elley and Irving, 1976)&lt;/DisplayText&gt;&lt;record&gt;&lt;rec-number&gt;186&lt;/rec-number&gt;&lt;foreign-keys&gt;&lt;key app="EN" db-id="zwdaweefrw52sgefxe35avvq0r2pvvdz50wa" timestamp="1543787856"&gt;186&lt;/key&gt;&lt;/foreign-keys&gt;&lt;ref-type name="Journal Article"&gt;17&lt;/ref-type&gt;&lt;contributors&gt;&lt;authors&gt;&lt;author&gt;Elley, Warwick B.&lt;/author&gt;&lt;author&gt;Irving, John C.&lt;/author&gt;&lt;/authors&gt;&lt;/contributors&gt;&lt;titles&gt;&lt;title&gt;Revised socio-economic index for New Zealand&lt;/title&gt;&lt;secondary-title&gt;New Zealand Journal of Educational Studies&lt;/secondary-title&gt;&lt;/titles&gt;&lt;periodical&gt;&lt;full-title&gt;New Zealand Journal of Educational Studies&lt;/full-title&gt;&lt;/periodical&gt;&lt;pages&gt;25-36&lt;/pages&gt;&lt;volume&gt;11&lt;/volume&gt;&lt;number&gt;1&lt;/number&gt;&lt;dates&gt;&lt;year&gt;1976&lt;/year&gt;&lt;/dates&gt;&lt;urls&gt;&lt;/urls&gt;&lt;/record&gt;&lt;/Cite&gt;&lt;/EndNote&gt;</w:instrText>
      </w:r>
      <w:r>
        <w:rPr>
          <w:lang w:val="en-US"/>
        </w:rPr>
        <w:fldChar w:fldCharType="separate"/>
      </w:r>
      <w:r>
        <w:rPr>
          <w:noProof/>
          <w:lang w:val="en-US"/>
        </w:rPr>
        <w:t>(Elley and Irving, 1976)</w:t>
      </w:r>
      <w:r>
        <w:rPr>
          <w:lang w:val="en-US"/>
        </w:rPr>
        <w:fldChar w:fldCharType="end"/>
      </w:r>
      <w:r w:rsidRPr="00167BB3">
        <w:rPr>
          <w:lang w:val="en-US"/>
        </w:rPr>
        <w:t xml:space="preserve">. Scale scores ranged from 1 (“Professional”) to 6 (“semi/unskilled </w:t>
      </w:r>
      <w:proofErr w:type="spellStart"/>
      <w:r w:rsidRPr="00167BB3">
        <w:rPr>
          <w:lang w:val="en-US"/>
        </w:rPr>
        <w:t>labour</w:t>
      </w:r>
      <w:proofErr w:type="spellEnd"/>
      <w:r w:rsidRPr="00167BB3">
        <w:rPr>
          <w:lang w:val="en-US"/>
        </w:rPr>
        <w:t>”) based on the nature of the employment of the child’s parent (usually the father).</w:t>
      </w:r>
    </w:p>
    <w:p w:rsidR="00BD5AC2" w:rsidRPr="00167BB3" w:rsidRDefault="00BD5AC2" w:rsidP="00BD5AC2">
      <w:pPr>
        <w:spacing w:line="360" w:lineRule="auto"/>
        <w:ind w:left="284"/>
        <w:rPr>
          <w:i/>
        </w:rPr>
      </w:pPr>
      <w:r w:rsidRPr="00167BB3">
        <w:rPr>
          <w:i/>
        </w:rPr>
        <w:t>Parental educational achievement</w:t>
      </w:r>
    </w:p>
    <w:p w:rsidR="00BD5AC2" w:rsidRPr="00167BB3" w:rsidRDefault="00BD5AC2" w:rsidP="00BD5AC2">
      <w:pPr>
        <w:spacing w:line="360" w:lineRule="auto"/>
        <w:ind w:left="284"/>
      </w:pPr>
      <w:r w:rsidRPr="00167BB3">
        <w:t>Information about parental educational qualifications were collected at the time of birth of the cohort member. Parental education was assessed on a three point scale of: lacked educational qualifications, gained secondary (high school) qualifications, or gained tertiary qualifications. A dichotomous variable was created reflecting those whose mother and father lacked formal educational qualifications.</w:t>
      </w:r>
    </w:p>
    <w:p w:rsidR="00BD5AC2" w:rsidRPr="00167BB3" w:rsidRDefault="00BD5AC2" w:rsidP="00BD5AC2">
      <w:pPr>
        <w:spacing w:line="360" w:lineRule="auto"/>
        <w:ind w:left="284"/>
        <w:rPr>
          <w:i/>
        </w:rPr>
      </w:pPr>
      <w:r w:rsidRPr="00167BB3">
        <w:rPr>
          <w:i/>
        </w:rPr>
        <w:t>Changes of Parents (0-15 years)</w:t>
      </w:r>
    </w:p>
    <w:p w:rsidR="00BD5AC2" w:rsidRPr="00167BB3" w:rsidRDefault="00BD5AC2" w:rsidP="00BD5AC2">
      <w:pPr>
        <w:spacing w:line="360" w:lineRule="auto"/>
        <w:ind w:left="284"/>
      </w:pPr>
      <w:r w:rsidRPr="00167BB3">
        <w:t>Data concerning changes of parents were collected at annual intervals throughout childhood. Any change of parents from separation, divorce, parental death, remarriage and other change of parents, such as fostering, were included. The variable was constructed by counting the number of changes of parents from birth to age 15.</w:t>
      </w:r>
    </w:p>
    <w:p w:rsidR="00BD5AC2" w:rsidRPr="00167BB3" w:rsidRDefault="00BD5AC2" w:rsidP="00BD5AC2">
      <w:pPr>
        <w:spacing w:line="360" w:lineRule="auto"/>
        <w:ind w:left="284"/>
        <w:rPr>
          <w:i/>
        </w:rPr>
      </w:pPr>
      <w:r w:rsidRPr="00167BB3">
        <w:rPr>
          <w:i/>
        </w:rPr>
        <w:t xml:space="preserve">Exposure to Childhood Sexual Abuse (0-16 years) </w:t>
      </w:r>
    </w:p>
    <w:p w:rsidR="00BD5AC2" w:rsidRPr="00167BB3" w:rsidRDefault="00BD5AC2" w:rsidP="00BD5AC2">
      <w:pPr>
        <w:spacing w:line="360" w:lineRule="auto"/>
        <w:ind w:left="284"/>
      </w:pPr>
      <w:r w:rsidRPr="00167BB3">
        <w:lastRenderedPageBreak/>
        <w:t xml:space="preserve">Participants were retrospectively questioned about childhood sexual abuse (before age 16 years) at ages 18 and 21 </w:t>
      </w:r>
      <w:r>
        <w:fldChar w:fldCharType="begin"/>
      </w:r>
      <w:r>
        <w:instrText xml:space="preserve"> ADDIN EN.CITE &lt;EndNote&gt;&lt;Cite&gt;&lt;Author&gt;Fergusson&lt;/Author&gt;&lt;Year&gt;1996&lt;/Year&gt;&lt;RecNum&gt;138&lt;/RecNum&gt;&lt;DisplayText&gt;(Fergusson&lt;style face="italic"&gt; et al.&lt;/style&gt;, 1996)&lt;/DisplayText&gt;&lt;record&gt;&lt;rec-number&gt;138&lt;/rec-number&gt;&lt;foreign-keys&gt;&lt;key app="EN" db-id="zwdaweefrw52sgefxe35avvq0r2pvvdz50wa" timestamp="1535502604"&gt;138&lt;/key&gt;&lt;/foreign-keys&gt;&lt;ref-type name="Journal Article"&gt;17&lt;/ref-type&gt;&lt;contributors&gt;&lt;authors&gt;&lt;author&gt;Fergusson, David M&lt;/author&gt;&lt;author&gt;Lynskey, Michael T&lt;/author&gt;&lt;author&gt;Horwood, L John&lt;/author&gt;&lt;/authors&gt;&lt;/contributors&gt;&lt;titles&gt;&lt;title&gt;Childhood sexual abuse and psychiatric disorder in young adulthood: I. Prevalence of sexual abuse and factors associated with sexual abuse&lt;/title&gt;&lt;secondary-title&gt;Journal of the American Academy of Child &amp;amp; Adolescent Psychiatry&lt;/secondary-title&gt;&lt;/titles&gt;&lt;periodical&gt;&lt;full-title&gt;Journal of the American Academy of Child &amp;amp; Adolescent Psychiatry&lt;/full-title&gt;&lt;/periodical&gt;&lt;pages&gt;1355-1364&lt;/pages&gt;&lt;volume&gt;35&lt;/volume&gt;&lt;number&gt;10&lt;/number&gt;&lt;dates&gt;&lt;year&gt;1996&lt;/year&gt;&lt;/dates&gt;&lt;isbn&gt;0890-8567&lt;/isbn&gt;&lt;urls&gt;&lt;related-urls&gt;&lt;url&gt;&lt;style face="underline" font="default" size="100%"&gt;https://ac.els-cdn.com/S089085670963639X/1-s2.0-S089085670963639X-main.pdf?_tid=3f9cf741-4ce0-49b8-9fd9-7d453abccb86&amp;amp;acdnat=1535502798_1355c25cddee784463db500549f0259d&lt;/style&gt;&lt;/url&gt;&lt;/related-urls&gt;&lt;/urls&gt;&lt;/record&gt;&lt;/Cite&gt;&lt;/EndNote&gt;</w:instrText>
      </w:r>
      <w:r>
        <w:fldChar w:fldCharType="separate"/>
      </w:r>
      <w:r>
        <w:rPr>
          <w:noProof/>
        </w:rPr>
        <w:t>(Fergusson</w:t>
      </w:r>
      <w:r w:rsidRPr="00BD5AC2">
        <w:rPr>
          <w:i/>
          <w:noProof/>
        </w:rPr>
        <w:t xml:space="preserve"> et al.</w:t>
      </w:r>
      <w:r>
        <w:rPr>
          <w:noProof/>
        </w:rPr>
        <w:t>, 1996)</w:t>
      </w:r>
      <w:r>
        <w:fldChar w:fldCharType="end"/>
      </w:r>
      <w:r w:rsidRPr="00167BB3">
        <w:t>. Exposure to childhood sexual abuse experiences were measured by multiple questions that assessed whether the abuse was non-contact (e.g. indecent exposure, exposure to sexual images) or contact abuse. Contact sexual abuse was further classified into contact with the perpetrator (such as inappropriate touching, fondling) or attempted or completed oral, anal or vaginal intercourse. Participants were considered to have experienced contact sexual abuse if they reported it at age 18 or 21 years. Overall 11.6% of the cohort reported sexual abuse involving contact.</w:t>
      </w:r>
    </w:p>
    <w:p w:rsidR="00BD5AC2" w:rsidRPr="00167BB3" w:rsidRDefault="00BD5AC2" w:rsidP="00BD5AC2">
      <w:pPr>
        <w:spacing w:line="360" w:lineRule="auto"/>
        <w:ind w:left="284"/>
        <w:rPr>
          <w:i/>
        </w:rPr>
      </w:pPr>
      <w:r w:rsidRPr="00167BB3">
        <w:rPr>
          <w:i/>
        </w:rPr>
        <w:t>Parental Intimate Partner Violence (0-16 years)</w:t>
      </w:r>
    </w:p>
    <w:p w:rsidR="00BD5AC2" w:rsidRPr="00167BB3" w:rsidRDefault="00BD5AC2" w:rsidP="00BD5AC2">
      <w:pPr>
        <w:spacing w:line="360" w:lineRule="auto"/>
        <w:ind w:left="284"/>
      </w:pPr>
      <w:r w:rsidRPr="00167BB3">
        <w:t xml:space="preserve">At age 18, sample members were questioned concerning their experience of parental intimate partner violence during their childhood (prior to age 16 years). The questioning was based on a series of eight items derived from the Conflict Tactics Scale </w:t>
      </w:r>
      <w:r>
        <w:fldChar w:fldCharType="begin"/>
      </w:r>
      <w:r>
        <w:instrText xml:space="preserve"> ADDIN EN.CITE &lt;EndNote&gt;&lt;Cite&gt;&lt;Author&gt;Straus&lt;/Author&gt;&lt;Year&gt;1979&lt;/Year&gt;&lt;RecNum&gt;166&lt;/RecNum&gt;&lt;Prefix&gt;CTS: &lt;/Prefix&gt;&lt;DisplayText&gt;(CTS: Straus, 1979)&lt;/DisplayText&gt;&lt;record&gt;&lt;rec-number&gt;166&lt;/rec-number&gt;&lt;foreign-keys&gt;&lt;key app="EN" db-id="zwdaweefrw52sgefxe35avvq0r2pvvdz50wa" timestamp="1537239274"&gt;166&lt;/key&gt;&lt;/foreign-keys&gt;&lt;ref-type name="Journal Article"&gt;17&lt;/ref-type&gt;&lt;contributors&gt;&lt;authors&gt;&lt;author&gt;Straus, MA&lt;/author&gt;&lt;/authors&gt;&lt;/contributors&gt;&lt;titles&gt;&lt;title&gt;Measuring intramarital conflict and violence: The Conflict Tactics Scale&lt;/title&gt;&lt;secondary-title&gt;Journal of Marriage and the Family&lt;/secondary-title&gt;&lt;/titles&gt;&lt;periodical&gt;&lt;full-title&gt;Journal of Marriage and the Family&lt;/full-title&gt;&lt;/periodical&gt;&lt;pages&gt;75-88&lt;/pages&gt;&lt;volume&gt;41&lt;/volume&gt;&lt;number&gt;7&lt;/number&gt;&lt;dates&gt;&lt;year&gt;1979&lt;/year&gt;&lt;/dates&gt;&lt;urls&gt;&lt;/urls&gt;&lt;/record&gt;&lt;/Cite&gt;&lt;/EndNote&gt;</w:instrText>
      </w:r>
      <w:r>
        <w:fldChar w:fldCharType="separate"/>
      </w:r>
      <w:r>
        <w:rPr>
          <w:noProof/>
        </w:rPr>
        <w:t>(CTS: Straus, 1979)</w:t>
      </w:r>
      <w:r>
        <w:fldChar w:fldCharType="end"/>
      </w:r>
      <w:r w:rsidRPr="00167BB3">
        <w:t xml:space="preserve">. The items were chosen on the basis that the behaviours could have been readily observed and reported on by the participant, and also to span the potential range of violent behaviour from verbal abuse to physical assault. Separate questioning was conducted for violence initiated by the father against the mother and for violence initiated by the mother against the father, and scale items were combined into a single scale score representing overall exposure across both parents </w:t>
      </w:r>
      <w:r>
        <w:fldChar w:fldCharType="begin"/>
      </w:r>
      <w:r>
        <w:instrText xml:space="preserve"> ADDIN EN.CITE &lt;EndNote&gt;&lt;Cite&gt;&lt;Author&gt;Fergusson&lt;/Author&gt;&lt;Year&gt;1998&lt;/Year&gt;&lt;RecNum&gt;168&lt;/RecNum&gt;&lt;DisplayText&gt;(Fergusson and Horwood, 1998)&lt;/DisplayText&gt;&lt;record&gt;&lt;rec-number&gt;168&lt;/rec-number&gt;&lt;foreign-keys&gt;&lt;key app="EN" db-id="zwdaweefrw52sgefxe35avvq0r2pvvdz50wa" timestamp="1537239959"&gt;168&lt;/key&gt;&lt;/foreign-keys&gt;&lt;ref-type name="Journal Article"&gt;17&lt;/ref-type&gt;&lt;contributors&gt;&lt;authors&gt;&lt;author&gt;Fergusson, David M&lt;/author&gt;&lt;author&gt;Horwood, L John&lt;/author&gt;&lt;/authors&gt;&lt;/contributors&gt;&lt;titles&gt;&lt;title&gt;Exposure to Interparental Violence in Childhood and Psychosocial Adjustment in Young Adulthood 1&lt;/title&gt;&lt;secondary-title&gt;Child abuse &amp;amp; neglect&lt;/secondary-title&gt;&lt;/titles&gt;&lt;periodical&gt;&lt;full-title&gt;Child abuse &amp;amp; neglect&lt;/full-title&gt;&lt;/periodical&gt;&lt;pages&gt;339-357&lt;/pages&gt;&lt;volume&gt;22&lt;/volume&gt;&lt;number&gt;5&lt;/number&gt;&lt;dates&gt;&lt;year&gt;1998&lt;/year&gt;&lt;/dates&gt;&lt;isbn&gt;0145-2134&lt;/isbn&gt;&lt;urls&gt;&lt;related-urls&gt;&lt;url&gt;https://ac.els-cdn.com/S0145213498000040/1-s2.0-S0145213498000040-main.pdf?_tid=c6a0e03e-b14e-4d18-90b5-3a686176502a&amp;amp;acdnat=1555365966_1899df3aad062775e69dbe2460627864&lt;/url&gt;&lt;/related-urls&gt;&lt;/urls&gt;&lt;/record&gt;&lt;/Cite&gt;&lt;/EndNote&gt;</w:instrText>
      </w:r>
      <w:r>
        <w:fldChar w:fldCharType="separate"/>
      </w:r>
      <w:r>
        <w:rPr>
          <w:noProof/>
        </w:rPr>
        <w:t>(Fergusson and Horwood, 1998)</w:t>
      </w:r>
      <w:r>
        <w:fldChar w:fldCharType="end"/>
      </w:r>
      <w:r w:rsidRPr="00167BB3">
        <w:t>. The resulting scale had good reliability (α = 0.88).</w:t>
      </w:r>
    </w:p>
    <w:p w:rsidR="00BD5AC2" w:rsidRPr="00167BB3" w:rsidRDefault="00BD5AC2" w:rsidP="00BD5AC2">
      <w:pPr>
        <w:spacing w:line="360" w:lineRule="auto"/>
        <w:ind w:left="284"/>
        <w:rPr>
          <w:i/>
        </w:rPr>
      </w:pPr>
      <w:r w:rsidRPr="00167BB3">
        <w:rPr>
          <w:i/>
        </w:rPr>
        <w:t>Conduct Problems, Internalising Symptoms and Attention Problems (ages 7-9)</w:t>
      </w:r>
    </w:p>
    <w:p w:rsidR="00BD5AC2" w:rsidRPr="00167BB3" w:rsidRDefault="00BD5AC2" w:rsidP="00BD5AC2">
      <w:pPr>
        <w:spacing w:line="360" w:lineRule="auto"/>
        <w:ind w:left="284"/>
      </w:pPr>
      <w:r w:rsidRPr="00167BB3">
        <w:t xml:space="preserve">At ages 7, 8, and 9 years, information on child behaviour problems was obtained from parental and teacher report. Parental reports were obtained from an interview with the child’s mother using a behaviour questionnaire that combined items from the Rutter, Tizard, and Whitmore </w:t>
      </w:r>
      <w:r>
        <w:fldChar w:fldCharType="begin"/>
      </w:r>
      <w:r>
        <w:instrText xml:space="preserve"> ADDIN EN.CITE &lt;EndNote&gt;&lt;Cite ExcludeAuth="1"&gt;&lt;Author&gt;Rutter&lt;/Author&gt;&lt;Year&gt;1970&lt;/Year&gt;&lt;RecNum&gt;132&lt;/RecNum&gt;&lt;DisplayText&gt;(1970)&lt;/DisplayText&gt;&lt;record&gt;&lt;rec-number&gt;132&lt;/rec-number&gt;&lt;foreign-keys&gt;&lt;key app="EN" db-id="zwdaweefrw52sgefxe35avvq0r2pvvdz50wa" timestamp="1535498993"&gt;132&lt;/key&gt;&lt;/foreign-keys&gt;&lt;ref-type name="Book"&gt;6&lt;/ref-type&gt;&lt;contributors&gt;&lt;authors&gt;&lt;author&gt;Rutter, Michael&lt;/author&gt;&lt;author&gt;Tizard, Jack&lt;/author&gt;&lt;author&gt;Whitmore, Kingsley&lt;/author&gt;&lt;/authors&gt;&lt;/contributors&gt;&lt;titles&gt;&lt;title&gt;Education, health and behaviour&lt;/title&gt;&lt;/titles&gt;&lt;dates&gt;&lt;year&gt;1970&lt;/year&gt;&lt;/dates&gt;&lt;pub-location&gt;London&lt;/pub-location&gt;&lt;publisher&gt;Longman Publishing Group&lt;/publisher&gt;&lt;isbn&gt;0582320984&lt;/isbn&gt;&lt;urls&gt;&lt;/urls&gt;&lt;/record&gt;&lt;/Cite&gt;&lt;/EndNote&gt;</w:instrText>
      </w:r>
      <w:r>
        <w:fldChar w:fldCharType="separate"/>
      </w:r>
      <w:r>
        <w:rPr>
          <w:noProof/>
        </w:rPr>
        <w:t>(1970)</w:t>
      </w:r>
      <w:r>
        <w:fldChar w:fldCharType="end"/>
      </w:r>
      <w:r w:rsidRPr="00167BB3">
        <w:t xml:space="preserve"> and </w:t>
      </w:r>
      <w:proofErr w:type="spellStart"/>
      <w:r w:rsidRPr="00167BB3">
        <w:t>Conners</w:t>
      </w:r>
      <w:proofErr w:type="spellEnd"/>
      <w:r w:rsidRPr="00167BB3">
        <w:t xml:space="preserve"> </w:t>
      </w:r>
      <w:r>
        <w:fldChar w:fldCharType="begin"/>
      </w:r>
      <w:r>
        <w:instrText xml:space="preserve"> ADDIN EN.CITE &lt;EndNote&gt;&lt;Cite ExcludeAuth="1"&gt;&lt;Author&gt;Conners&lt;/Author&gt;&lt;Year&gt;1970&lt;/Year&gt;&lt;RecNum&gt;134&lt;/RecNum&gt;&lt;DisplayText&gt;(1970)&lt;/DisplayText&gt;&lt;record&gt;&lt;rec-number&gt;134&lt;/rec-number&gt;&lt;foreign-keys&gt;&lt;key app="EN" db-id="zwdaweefrw52sgefxe35avvq0r2pvvdz50wa" timestamp="1535499104"&gt;134&lt;/key&gt;&lt;/foreign-keys&gt;&lt;ref-type name="Journal Article"&gt;17&lt;/ref-type&gt;&lt;contributors&gt;&lt;authors&gt;&lt;author&gt;Conners, C Keith&lt;/author&gt;&lt;/authors&gt;&lt;/contributors&gt;&lt;titles&gt;&lt;title&gt;Symptom patterns in hyperkinetic, neurotic, and normal children&lt;/title&gt;&lt;secondary-title&gt;Child development&lt;/secondary-title&gt;&lt;/titles&gt;&lt;periodical&gt;&lt;full-title&gt;Child development&lt;/full-title&gt;&lt;/periodical&gt;&lt;pages&gt;667-682&lt;/pages&gt;&lt;volume&gt;41&lt;/volume&gt;&lt;number&gt;3&lt;/number&gt;&lt;dates&gt;&lt;year&gt;1970&lt;/year&gt;&lt;/dates&gt;&lt;isbn&gt;0009-3920&lt;/isbn&gt;&lt;urls&gt;&lt;/urls&gt;&lt;/record&gt;&lt;/Cite&gt;&lt;/EndNote&gt;</w:instrText>
      </w:r>
      <w:r>
        <w:fldChar w:fldCharType="separate"/>
      </w:r>
      <w:r>
        <w:rPr>
          <w:noProof/>
        </w:rPr>
        <w:t>(1970)</w:t>
      </w:r>
      <w:r>
        <w:fldChar w:fldCharType="end"/>
      </w:r>
      <w:r w:rsidRPr="00167BB3">
        <w:t xml:space="preserve"> parental questionnaires. Parallel to the maternal report, the child’s class teacher was asked to complete a combined version of the Rutter et al. </w:t>
      </w:r>
      <w:r>
        <w:fldChar w:fldCharType="begin"/>
      </w:r>
      <w:r>
        <w:instrText xml:space="preserve"> ADDIN EN.CITE &lt;EndNote&gt;&lt;Cite ExcludeAuth="1"&gt;&lt;Author&gt;Rutter&lt;/Author&gt;&lt;Year&gt;1970&lt;/Year&gt;&lt;RecNum&gt;132&lt;/RecNum&gt;&lt;DisplayText&gt;(1970)&lt;/DisplayText&gt;&lt;record&gt;&lt;rec-number&gt;132&lt;/rec-number&gt;&lt;foreign-keys&gt;&lt;key app="EN" db-id="zwdaweefrw52sgefxe35avvq0r2pvvdz50wa" timestamp="1535498993"&gt;132&lt;/key&gt;&lt;/foreign-keys&gt;&lt;ref-type name="Book"&gt;6&lt;/ref-type&gt;&lt;contributors&gt;&lt;authors&gt;&lt;author&gt;Rutter, Michael&lt;/author&gt;&lt;author&gt;Tizard, Jack&lt;/author&gt;&lt;author&gt;Whitmore, Kingsley&lt;/author&gt;&lt;/authors&gt;&lt;/contributors&gt;&lt;titles&gt;&lt;title&gt;Education, health and behaviour&lt;/title&gt;&lt;/titles&gt;&lt;dates&gt;&lt;year&gt;1970&lt;/year&gt;&lt;/dates&gt;&lt;pub-location&gt;London&lt;/pub-location&gt;&lt;publisher&gt;Longman Publishing Group&lt;/publisher&gt;&lt;isbn&gt;0582320984&lt;/isbn&gt;&lt;urls&gt;&lt;/urls&gt;&lt;/record&gt;&lt;/Cite&gt;&lt;/EndNote&gt;</w:instrText>
      </w:r>
      <w:r>
        <w:fldChar w:fldCharType="separate"/>
      </w:r>
      <w:r>
        <w:rPr>
          <w:noProof/>
        </w:rPr>
        <w:t>(1970)</w:t>
      </w:r>
      <w:r>
        <w:fldChar w:fldCharType="end"/>
      </w:r>
      <w:r w:rsidRPr="00167BB3">
        <w:t xml:space="preserve"> and </w:t>
      </w:r>
      <w:proofErr w:type="spellStart"/>
      <w:r w:rsidRPr="00167BB3">
        <w:t>Conners</w:t>
      </w:r>
      <w:proofErr w:type="spellEnd"/>
      <w:r w:rsidRPr="00167BB3">
        <w:t xml:space="preserve"> </w:t>
      </w:r>
      <w:r>
        <w:fldChar w:fldCharType="begin"/>
      </w:r>
      <w:r>
        <w:instrText xml:space="preserve"> ADDIN EN.CITE &lt;EndNote&gt;&lt;Cite ExcludeAuth="1"&gt;&lt;Author&gt;Conners&lt;/Author&gt;&lt;Year&gt;1969&lt;/Year&gt;&lt;RecNum&gt;133&lt;/RecNum&gt;&lt;DisplayText&gt;(1969)&lt;/DisplayText&gt;&lt;record&gt;&lt;rec-number&gt;133&lt;/rec-number&gt;&lt;foreign-keys&gt;&lt;key app="EN" db-id="zwdaweefrw52sgefxe35avvq0r2pvvdz50wa" timestamp="1535499068"&gt;133&lt;/key&gt;&lt;/foreign-keys&gt;&lt;ref-type name="Journal Article"&gt;17&lt;/ref-type&gt;&lt;contributors&gt;&lt;authors&gt;&lt;author&gt;Conners, C Keith&lt;/author&gt;&lt;/authors&gt;&lt;/contributors&gt;&lt;titles&gt;&lt;title&gt;A teacher rating scale for use in drug studies with children&lt;/title&gt;&lt;secondary-title&gt;American journal of Psychiatry&lt;/secondary-title&gt;&lt;/titles&gt;&lt;periodical&gt;&lt;full-title&gt;American journal of Psychiatry&lt;/full-title&gt;&lt;/periodical&gt;&lt;pages&gt;884-888&lt;/pages&gt;&lt;volume&gt;126&lt;/volume&gt;&lt;number&gt;6&lt;/number&gt;&lt;dates&gt;&lt;year&gt;1969&lt;/year&gt;&lt;/dates&gt;&lt;isbn&gt;0002-953X&lt;/isbn&gt;&lt;urls&gt;&lt;/urls&gt;&lt;/record&gt;&lt;/Cite&gt;&lt;/EndNote&gt;</w:instrText>
      </w:r>
      <w:r>
        <w:fldChar w:fldCharType="separate"/>
      </w:r>
      <w:r>
        <w:rPr>
          <w:noProof/>
        </w:rPr>
        <w:t>(1969)</w:t>
      </w:r>
      <w:r>
        <w:fldChar w:fldCharType="end"/>
      </w:r>
      <w:r w:rsidRPr="00167BB3">
        <w:t xml:space="preserve"> teacher questionnaires. Factor analysis of the item-level report data showed that it was possible to select items from these reports that formed </w:t>
      </w:r>
      <w:proofErr w:type="spellStart"/>
      <w:r w:rsidRPr="00167BB3">
        <w:t>uni</w:t>
      </w:r>
      <w:proofErr w:type="spellEnd"/>
      <w:r w:rsidRPr="00167BB3">
        <w:t xml:space="preserve">-dimensional scales reflecting the extent of parent-reported and teacher reported conduct disordered behaviour, attention problems and anxious/withdrawn behaviour. For the purposes of the present analysis, the parent and teacher reports were summed and the resulting scores averaged over the three year period to produce scale score measures reflecting the extent of the child’s tendencies to conduct problems, anxious/withdrawn behaviour and attention problems at ages 7-9 </w:t>
      </w:r>
      <w:r>
        <w:rPr>
          <w:lang w:val="en-US"/>
        </w:rPr>
        <w:fldChar w:fldCharType="begin"/>
      </w:r>
      <w:r>
        <w:rPr>
          <w:lang w:val="en-US"/>
        </w:rPr>
        <w:instrText xml:space="preserve"> ADDIN EN.CITE &lt;EndNote&gt;&lt;Cite&gt;&lt;Author&gt;Fergusson&lt;/Author&gt;&lt;Year&gt;1993&lt;/Year&gt;&lt;RecNum&gt;185&lt;/RecNum&gt;&lt;Prefix&gt;α = 0.93`; 0.91`; 0.97`, &lt;/Prefix&gt;&lt;DisplayText&gt;(α = 0.93; 0.91; 0.97, Fergusson and Horwood, 1993)&lt;/DisplayText&gt;&lt;record&gt;&lt;rec-number&gt;185&lt;/rec-number&gt;&lt;foreign-keys&gt;&lt;key app="EN" db-id="zwdaweefrw52sgefxe35avvq0r2pvvdz50wa" timestamp="1541035410"&gt;185&lt;/key&gt;&lt;/foreign-keys&gt;&lt;ref-type name="Journal Article"&gt;17&lt;/ref-type&gt;&lt;contributors&gt;&lt;authors&gt;&lt;author&gt;Fergusson, David M&lt;/author&gt;&lt;author&gt;Horwood, L John&lt;/author&gt;&lt;/authors&gt;&lt;/contributors&gt;&lt;titles&gt;&lt;title&gt;The structure, stability and correlations of the trait components of conduct disorder, attention deficit and anxiety/withdrawal reports&lt;/title&gt;&lt;secondary-title&gt;Journal of Child Psychology and Psychiatry&lt;/secondary-title&gt;&lt;/titles&gt;&lt;periodical&gt;&lt;full-title&gt;Journal of Child Psychology and Psychiatry&lt;/full-title&gt;&lt;/periodical&gt;&lt;pages&gt;749-766&lt;/pages&gt;&lt;volume&gt;34&lt;/volume&gt;&lt;number&gt;5&lt;/number&gt;&lt;dates&gt;&lt;year&gt;1993&lt;/year&gt;&lt;/dates&gt;&lt;isbn&gt;0021-9630&lt;/isbn&gt;&lt;urls&gt;&lt;related-urls&gt;&lt;url&gt;https://onlinelibrary.wiley.com/doi/pdf/10.1111/j.1469-7610.1993.tb01069.x&lt;/url&gt;&lt;/related-urls&gt;&lt;/urls&gt;&lt;/record&gt;&lt;/Cite&gt;&lt;/EndNote&gt;</w:instrText>
      </w:r>
      <w:r>
        <w:rPr>
          <w:lang w:val="en-US"/>
        </w:rPr>
        <w:fldChar w:fldCharType="separate"/>
      </w:r>
      <w:r>
        <w:rPr>
          <w:noProof/>
          <w:lang w:val="en-US"/>
        </w:rPr>
        <w:t>(α = 0.93; 0.91; 0.97, Fergusson and Horwood, 1993)</w:t>
      </w:r>
      <w:r>
        <w:rPr>
          <w:lang w:val="en-US"/>
        </w:rPr>
        <w:fldChar w:fldCharType="end"/>
      </w:r>
      <w:r w:rsidRPr="00167BB3">
        <w:rPr>
          <w:lang w:val="en-US"/>
        </w:rPr>
        <w:t>.</w:t>
      </w:r>
      <w:r w:rsidRPr="00167BB3">
        <w:t> </w:t>
      </w:r>
    </w:p>
    <w:p w:rsidR="00BD5AC2" w:rsidRPr="00167BB3" w:rsidRDefault="00BD5AC2" w:rsidP="00BD5AC2">
      <w:pPr>
        <w:spacing w:line="360" w:lineRule="auto"/>
        <w:ind w:left="284"/>
        <w:rPr>
          <w:i/>
        </w:rPr>
      </w:pPr>
      <w:r w:rsidRPr="00167BB3">
        <w:rPr>
          <w:i/>
        </w:rPr>
        <w:t>Neuroticism (age 14)</w:t>
      </w:r>
    </w:p>
    <w:p w:rsidR="00BD5AC2" w:rsidRPr="00167BB3" w:rsidRDefault="00BD5AC2" w:rsidP="00BD5AC2">
      <w:pPr>
        <w:spacing w:line="360" w:lineRule="auto"/>
        <w:ind w:left="284"/>
      </w:pPr>
      <w:r w:rsidRPr="00167BB3">
        <w:lastRenderedPageBreak/>
        <w:t xml:space="preserve">Neuroticism was assessed at age 14 using the short form of the Eysenck Personality Inventory </w:t>
      </w:r>
      <w:r>
        <w:fldChar w:fldCharType="begin"/>
      </w:r>
      <w:r>
        <w:instrText xml:space="preserve"> ADDIN EN.CITE &lt;EndNote&gt;&lt;Cite&gt;&lt;Author&gt;Eysenck&lt;/Author&gt;&lt;Year&gt;1964&lt;/Year&gt;&lt;RecNum&gt;130&lt;/RecNum&gt;&lt;DisplayText&gt;(Eysenck and Eysenck, 1964)&lt;/DisplayText&gt;&lt;record&gt;&lt;rec-number&gt;130&lt;/rec-number&gt;&lt;foreign-keys&gt;&lt;key app="EN" db-id="zwdaweefrw52sgefxe35avvq0r2pvvdz50wa" timestamp="1535496474"&gt;130&lt;/key&gt;&lt;/foreign-keys&gt;&lt;ref-type name="Book"&gt;6&lt;/ref-type&gt;&lt;contributors&gt;&lt;authors&gt;&lt;author&gt;Eysenck, HJ&lt;/author&gt;&lt;author&gt;Eysenck, SBG&lt;/author&gt;&lt;/authors&gt;&lt;/contributors&gt;&lt;titles&gt;&lt;title&gt;Manual of the Eysenck Personality Inventory&lt;/title&gt;&lt;/titles&gt;&lt;dates&gt;&lt;year&gt;1964&lt;/year&gt;&lt;/dates&gt;&lt;pub-location&gt;London&lt;/pub-location&gt;&lt;publisher&gt;England London University Press&lt;/publisher&gt;&lt;urls&gt;&lt;/urls&gt;&lt;/record&gt;&lt;/Cite&gt;&lt;/EndNote&gt;</w:instrText>
      </w:r>
      <w:r>
        <w:fldChar w:fldCharType="separate"/>
      </w:r>
      <w:r>
        <w:rPr>
          <w:noProof/>
        </w:rPr>
        <w:t>(Eysenck and Eysenck, 1964)</w:t>
      </w:r>
      <w:r>
        <w:fldChar w:fldCharType="end"/>
      </w:r>
      <w:r w:rsidRPr="00167BB3">
        <w:t>. The Cronbach’s Alpha coefficient for this scale was 0.89.</w:t>
      </w:r>
    </w:p>
    <w:p w:rsidR="00BD5AC2" w:rsidRPr="00167BB3" w:rsidRDefault="00BD5AC2" w:rsidP="00BD5AC2">
      <w:pPr>
        <w:spacing w:line="360" w:lineRule="auto"/>
        <w:ind w:left="284"/>
        <w:rPr>
          <w:i/>
        </w:rPr>
      </w:pPr>
      <w:r w:rsidRPr="00167BB3">
        <w:rPr>
          <w:i/>
        </w:rPr>
        <w:t>Novelty seeking (age 16)</w:t>
      </w:r>
    </w:p>
    <w:p w:rsidR="00BD5AC2" w:rsidRPr="00167BB3" w:rsidRDefault="00BD5AC2" w:rsidP="00BD5AC2">
      <w:pPr>
        <w:spacing w:line="360" w:lineRule="auto"/>
        <w:ind w:left="284"/>
        <w:rPr>
          <w:lang w:val="en-US"/>
        </w:rPr>
      </w:pPr>
      <w:r w:rsidRPr="00167BB3">
        <w:rPr>
          <w:lang w:val="en-US"/>
        </w:rPr>
        <w:t xml:space="preserve">When sample members were aged 16 years they were administered the novelty seeking items of the Tridimensional Personality Questionnaire </w:t>
      </w:r>
      <w:r>
        <w:rPr>
          <w:lang w:val="en-US"/>
        </w:rPr>
        <w:fldChar w:fldCharType="begin"/>
      </w:r>
      <w:r>
        <w:rPr>
          <w:lang w:val="en-US"/>
        </w:rPr>
        <w:instrText xml:space="preserve"> ADDIN EN.CITE &lt;EndNote&gt;&lt;Cite&gt;&lt;Author&gt;Cloninger&lt;/Author&gt;&lt;Year&gt;1987&lt;/Year&gt;&lt;RecNum&gt;189&lt;/RecNum&gt;&lt;DisplayText&gt;(Cloninger, 1987)&lt;/DisplayText&gt;&lt;record&gt;&lt;rec-number&gt;189&lt;/rec-number&gt;&lt;foreign-keys&gt;&lt;key app="EN" db-id="zwdaweefrw52sgefxe35avvq0r2pvvdz50wa" timestamp="1543791452"&gt;189&lt;/key&gt;&lt;/foreign-keys&gt;&lt;ref-type name="Journal Article"&gt;17&lt;/ref-type&gt;&lt;contributors&gt;&lt;authors&gt;&lt;author&gt;Cloninger, C. R.&lt;/author&gt;&lt;/authors&gt;&lt;/contributors&gt;&lt;titles&gt;&lt;title&gt;A systematic method for clinical description and classification of personality variants: A proposal&lt;/title&gt;&lt;secondary-title&gt;Archives of general psychiatry&lt;/secondary-title&gt;&lt;/titles&gt;&lt;periodical&gt;&lt;full-title&gt;Archives of general psychiatry&lt;/full-title&gt;&lt;/periodical&gt;&lt;pages&gt;573-588&lt;/pages&gt;&lt;volume&gt;44&lt;/volume&gt;&lt;number&gt;6&lt;/number&gt;&lt;dates&gt;&lt;year&gt;1987&lt;/year&gt;&lt;/dates&gt;&lt;isbn&gt;0003-990X&lt;/isbn&gt;&lt;urls&gt;&lt;/urls&gt;&lt;/record&gt;&lt;/Cite&gt;&lt;/EndNote&gt;</w:instrText>
      </w:r>
      <w:r>
        <w:rPr>
          <w:lang w:val="en-US"/>
        </w:rPr>
        <w:fldChar w:fldCharType="separate"/>
      </w:r>
      <w:r>
        <w:rPr>
          <w:noProof/>
          <w:lang w:val="en-US"/>
        </w:rPr>
        <w:t>(Cloninger, 1987)</w:t>
      </w:r>
      <w:r>
        <w:rPr>
          <w:lang w:val="en-US"/>
        </w:rPr>
        <w:fldChar w:fldCharType="end"/>
      </w:r>
      <w:r w:rsidRPr="00167BB3">
        <w:rPr>
          <w:lang w:val="en-US"/>
        </w:rPr>
        <w:t xml:space="preserve">. Thirty-one relevant items assess the extent to which the individual is "impulsive, exploratory, fickle, excitable, quick-tempered, extravagant and disorderly" </w:t>
      </w:r>
      <w:r>
        <w:rPr>
          <w:lang w:val="en-US"/>
        </w:rPr>
        <w:fldChar w:fldCharType="begin"/>
      </w:r>
      <w:r>
        <w:rPr>
          <w:lang w:val="en-US"/>
        </w:rPr>
        <w:instrText xml:space="preserve"> ADDIN EN.CITE &lt;EndNote&gt;&lt;Cite&gt;&lt;Author&gt;Cloninger&lt;/Author&gt;&lt;Year&gt;1987&lt;/Year&gt;&lt;RecNum&gt;189&lt;/RecNum&gt;&lt;Suffix&gt;`; p. 575&lt;/Suffix&gt;&lt;DisplayText&gt;(Cloninger, 1987; p. 575)&lt;/DisplayText&gt;&lt;record&gt;&lt;rec-number&gt;189&lt;/rec-number&gt;&lt;foreign-keys&gt;&lt;key app="EN" db-id="zwdaweefrw52sgefxe35avvq0r2pvvdz50wa" timestamp="1543791452"&gt;189&lt;/key&gt;&lt;/foreign-keys&gt;&lt;ref-type name="Journal Article"&gt;17&lt;/ref-type&gt;&lt;contributors&gt;&lt;authors&gt;&lt;author&gt;Cloninger, C. R.&lt;/author&gt;&lt;/authors&gt;&lt;/contributors&gt;&lt;titles&gt;&lt;title&gt;A systematic method for clinical description and classification of personality variants: A proposal&lt;/title&gt;&lt;secondary-title&gt;Archives of general psychiatry&lt;/secondary-title&gt;&lt;/titles&gt;&lt;periodical&gt;&lt;full-title&gt;Archives of general psychiatry&lt;/full-title&gt;&lt;/periodical&gt;&lt;pages&gt;573-588&lt;/pages&gt;&lt;volume&gt;44&lt;/volume&gt;&lt;number&gt;6&lt;/number&gt;&lt;dates&gt;&lt;year&gt;1987&lt;/year&gt;&lt;/dates&gt;&lt;isbn&gt;0003-990X&lt;/isbn&gt;&lt;urls&gt;&lt;/urls&gt;&lt;/record&gt;&lt;/Cite&gt;&lt;/EndNote&gt;</w:instrText>
      </w:r>
      <w:r>
        <w:rPr>
          <w:lang w:val="en-US"/>
        </w:rPr>
        <w:fldChar w:fldCharType="separate"/>
      </w:r>
      <w:r>
        <w:rPr>
          <w:noProof/>
          <w:lang w:val="en-US"/>
        </w:rPr>
        <w:t>(Cloninger, 1987; p. 575)</w:t>
      </w:r>
      <w:r>
        <w:rPr>
          <w:lang w:val="en-US"/>
        </w:rPr>
        <w:fldChar w:fldCharType="end"/>
      </w:r>
      <w:r w:rsidRPr="00167BB3">
        <w:rPr>
          <w:lang w:val="en-US"/>
        </w:rPr>
        <w:t>. These items were summed to produce an overall novelty seeking measure (α</w:t>
      </w:r>
      <w:r w:rsidRPr="00167BB3">
        <w:rPr>
          <w:b/>
          <w:bCs/>
          <w:lang w:val="en-US"/>
        </w:rPr>
        <w:t xml:space="preserve"> </w:t>
      </w:r>
      <w:r w:rsidRPr="00167BB3">
        <w:rPr>
          <w:lang w:val="en-US"/>
        </w:rPr>
        <w:t>= 0.76).</w:t>
      </w:r>
    </w:p>
    <w:p w:rsidR="00BD5AC2" w:rsidRPr="00167BB3" w:rsidRDefault="00BD5AC2" w:rsidP="00BD5AC2">
      <w:pPr>
        <w:spacing w:line="360" w:lineRule="auto"/>
        <w:ind w:left="284"/>
        <w:rPr>
          <w:i/>
        </w:rPr>
      </w:pPr>
      <w:r w:rsidRPr="00167BB3">
        <w:rPr>
          <w:i/>
        </w:rPr>
        <w:t xml:space="preserve">IQ (8-9 years) </w:t>
      </w:r>
    </w:p>
    <w:p w:rsidR="00BD5AC2" w:rsidRPr="00167BB3" w:rsidRDefault="00BD5AC2" w:rsidP="00BD5AC2">
      <w:pPr>
        <w:spacing w:line="360" w:lineRule="auto"/>
        <w:ind w:left="284"/>
      </w:pPr>
      <w:r w:rsidRPr="00167BB3">
        <w:t xml:space="preserve">Intellectual ability was assessed at ages eight and nine using the Revised Wechsler Intelligence Scale for Children </w:t>
      </w:r>
      <w:r>
        <w:fldChar w:fldCharType="begin"/>
      </w:r>
      <w:r>
        <w:instrText xml:space="preserve"> ADDIN EN.CITE &lt;EndNote&gt;&lt;Cite&gt;&lt;Author&gt;Wechsler&lt;/Author&gt;&lt;Year&gt;1974&lt;/Year&gt;&lt;RecNum&gt;131&lt;/RecNum&gt;&lt;Prefix&gt;WISC-R`, &lt;/Prefix&gt;&lt;DisplayText&gt;(WISC-R, Wechsler, 1974)&lt;/DisplayText&gt;&lt;record&gt;&lt;rec-number&gt;131&lt;/rec-number&gt;&lt;foreign-keys&gt;&lt;key app="EN" db-id="zwdaweefrw52sgefxe35avvq0r2pvvdz50wa" timestamp="1535497164"&gt;131&lt;/key&gt;&lt;/foreign-keys&gt;&lt;ref-type name="Book"&gt;6&lt;/ref-type&gt;&lt;contributors&gt;&lt;authors&gt;&lt;author&gt;Wechsler, David&lt;/author&gt;&lt;/authors&gt;&lt;/contributors&gt;&lt;titles&gt;&lt;title&gt;Manual for the Wechsler intelligence scale for children, revised&lt;/title&gt;&lt;/titles&gt;&lt;dates&gt;&lt;year&gt;1974&lt;/year&gt;&lt;/dates&gt;&lt;pub-location&gt;New York&lt;/pub-location&gt;&lt;publisher&gt;Psychological Corporation&lt;/publisher&gt;&lt;urls&gt;&lt;/urls&gt;&lt;/record&gt;&lt;/Cite&gt;&lt;/EndNote&gt;</w:instrText>
      </w:r>
      <w:r>
        <w:fldChar w:fldCharType="separate"/>
      </w:r>
      <w:r>
        <w:rPr>
          <w:noProof/>
        </w:rPr>
        <w:t>(WISC-R, Wechsler, 1974)</w:t>
      </w:r>
      <w:r>
        <w:fldChar w:fldCharType="end"/>
      </w:r>
      <w:r w:rsidRPr="00167BB3">
        <w:t>. The measure used in this analysis is the average of the total IQ score across the two assessments. The reliability of this scale, assessed by split half methods, was 0.93.</w:t>
      </w:r>
    </w:p>
    <w:p w:rsidR="00BD5AC2" w:rsidRPr="00167BB3" w:rsidRDefault="00BD5AC2" w:rsidP="00BD5AC2">
      <w:pPr>
        <w:spacing w:line="360" w:lineRule="auto"/>
        <w:ind w:left="284"/>
        <w:rPr>
          <w:i/>
        </w:rPr>
      </w:pPr>
      <w:r w:rsidRPr="00167BB3">
        <w:rPr>
          <w:i/>
        </w:rPr>
        <w:t>GPA (11-13 years)</w:t>
      </w:r>
    </w:p>
    <w:p w:rsidR="00BD5AC2" w:rsidRPr="00167BB3" w:rsidRDefault="00BD5AC2" w:rsidP="00BD5AC2">
      <w:pPr>
        <w:spacing w:line="360" w:lineRule="auto"/>
        <w:ind w:left="284"/>
      </w:pPr>
      <w:r w:rsidRPr="00167BB3">
        <w:t>School performance was assessed via teachers’ ratings in each of five areas of the curriculum (reading, handwriting, written expression, spelling, mathematics) using a 5-point scale ranging from very good to very poor. To provide a global measure of the child’s educational achievement over the interval from 11-13 years, the teacher ratings were summed across years and curriculum areas and then averaged to provide a teacher rating grade point average for each child.</w:t>
      </w:r>
    </w:p>
    <w:p w:rsidR="00BD5AC2" w:rsidRPr="00167BB3" w:rsidRDefault="00BD5AC2" w:rsidP="00BD5AC2">
      <w:pPr>
        <w:spacing w:line="360" w:lineRule="auto"/>
        <w:ind w:left="284"/>
        <w:rPr>
          <w:i/>
        </w:rPr>
      </w:pPr>
      <w:r w:rsidRPr="00167BB3">
        <w:rPr>
          <w:i/>
        </w:rPr>
        <w:t>Self-esteem (age 15)</w:t>
      </w:r>
    </w:p>
    <w:p w:rsidR="00BD5AC2" w:rsidRPr="00167BB3" w:rsidRDefault="00BD5AC2" w:rsidP="00BD5AC2">
      <w:pPr>
        <w:spacing w:line="360" w:lineRule="auto"/>
        <w:ind w:left="284"/>
      </w:pPr>
      <w:r w:rsidRPr="00167BB3">
        <w:t xml:space="preserve">Self-esteem was assessed at age 15 using the global measure from the </w:t>
      </w:r>
      <w:proofErr w:type="spellStart"/>
      <w:r w:rsidRPr="00167BB3">
        <w:t>Coopersmith</w:t>
      </w:r>
      <w:proofErr w:type="spellEnd"/>
      <w:r w:rsidRPr="00167BB3">
        <w:t xml:space="preserve"> Self Esteem Inventory </w:t>
      </w:r>
      <w:r>
        <w:fldChar w:fldCharType="begin"/>
      </w:r>
      <w:r>
        <w:instrText xml:space="preserve"> ADDIN EN.CITE &lt;EndNote&gt;&lt;Cite ExcludeAuth="1"&gt;&lt;Author&gt;Coopersmith&lt;/Author&gt;&lt;Year&gt;1981&lt;/Year&gt;&lt;RecNum&gt;188&lt;/RecNum&gt;&lt;DisplayText&gt;(1981)&lt;/DisplayText&gt;&lt;record&gt;&lt;rec-number&gt;188&lt;/rec-number&gt;&lt;foreign-keys&gt;&lt;key app="EN" db-id="zwdaweefrw52sgefxe35avvq0r2pvvdz50wa" timestamp="1543790023"&gt;188&lt;/key&gt;&lt;/foreign-keys&gt;&lt;ref-type name="Book"&gt;6&lt;/ref-type&gt;&lt;contributors&gt;&lt;authors&gt;&lt;author&gt;Coopersmith, Stanley&lt;/author&gt;&lt;/authors&gt;&lt;/contributors&gt;&lt;titles&gt;&lt;title&gt;Self-esteem inventories&lt;/title&gt;&lt;/titles&gt;&lt;dates&gt;&lt;year&gt;1981&lt;/year&gt;&lt;/dates&gt;&lt;pub-location&gt;New York&lt;/pub-location&gt;&lt;publisher&gt;WH freeman&lt;/publisher&gt;&lt;urls&gt;&lt;/urls&gt;&lt;/record&gt;&lt;/Cite&gt;&lt;/EndNote&gt;</w:instrText>
      </w:r>
      <w:r>
        <w:fldChar w:fldCharType="separate"/>
      </w:r>
      <w:r>
        <w:rPr>
          <w:noProof/>
        </w:rPr>
        <w:t>(1981)</w:t>
      </w:r>
      <w:r>
        <w:fldChar w:fldCharType="end"/>
      </w:r>
      <w:r w:rsidRPr="00167BB3">
        <w:t>. The overall measure of self-esteem was generated by summing of the four subscale scores (general, academic, social, and home). The full scale score used in these analyses was found to be internally consistent (a = 0.87).</w:t>
      </w:r>
    </w:p>
    <w:p w:rsidR="00BD5AC2" w:rsidRPr="00167BB3" w:rsidRDefault="00BD5AC2" w:rsidP="00BD5AC2">
      <w:pPr>
        <w:spacing w:line="360" w:lineRule="auto"/>
        <w:ind w:left="284"/>
      </w:pPr>
    </w:p>
    <w:p w:rsidR="00BD5AC2" w:rsidRPr="00167BB3" w:rsidRDefault="00BD5AC2" w:rsidP="00BD5AC2">
      <w:pPr>
        <w:spacing w:line="360" w:lineRule="auto"/>
        <w:ind w:left="284"/>
      </w:pPr>
      <w:r w:rsidRPr="00167BB3">
        <w:t>Supplement:</w:t>
      </w:r>
    </w:p>
    <w:p w:rsidR="00BD5AC2" w:rsidRPr="00167BB3" w:rsidRDefault="00BD5AC2" w:rsidP="00BD5AC2">
      <w:pPr>
        <w:spacing w:line="360" w:lineRule="auto"/>
        <w:ind w:left="284"/>
      </w:pPr>
      <w:r w:rsidRPr="00167BB3">
        <w:t>Derivation of the Latent Class Model of Sexuality</w:t>
      </w:r>
    </w:p>
    <w:p w:rsidR="00BD5AC2" w:rsidRPr="00167BB3" w:rsidRDefault="00BD5AC2" w:rsidP="00BD5AC2">
      <w:pPr>
        <w:spacing w:line="360" w:lineRule="auto"/>
        <w:ind w:left="284"/>
      </w:pPr>
      <w:r w:rsidRPr="00167BB3">
        <w:t xml:space="preserve">This supplement describes the process of model fitting used to derive the four-class model of sexuality analysed in the main paper and described in the supplementary tables.  </w:t>
      </w:r>
    </w:p>
    <w:p w:rsidR="00BD5AC2" w:rsidRPr="00167BB3" w:rsidRDefault="00BD5AC2" w:rsidP="00BD5AC2">
      <w:pPr>
        <w:spacing w:line="360" w:lineRule="auto"/>
        <w:ind w:left="284"/>
      </w:pPr>
      <w:r w:rsidRPr="00167BB3">
        <w:t>Data reduction</w:t>
      </w:r>
    </w:p>
    <w:p w:rsidR="00BD5AC2" w:rsidRPr="00167BB3" w:rsidRDefault="00BD5AC2" w:rsidP="00BD5AC2">
      <w:pPr>
        <w:spacing w:line="360" w:lineRule="auto"/>
        <w:ind w:left="284"/>
      </w:pPr>
      <w:r w:rsidRPr="00167BB3">
        <w:lastRenderedPageBreak/>
        <w:t>Given the large number of observed measures of sexual identity, attraction, fantasy and same-sex behaviour available to the study and the relative sparseness in some response categories (see Supplementary Table 2), an initial data reduction was conducted to reduce the dimensionality of the data. Specifically:</w:t>
      </w:r>
    </w:p>
    <w:p w:rsidR="00BD5AC2" w:rsidRPr="00167BB3" w:rsidRDefault="00BD5AC2" w:rsidP="00BD5AC2">
      <w:pPr>
        <w:spacing w:line="360" w:lineRule="auto"/>
        <w:ind w:left="284"/>
      </w:pPr>
      <w:r w:rsidRPr="00167BB3">
        <w:t>1.</w:t>
      </w:r>
      <w:r w:rsidRPr="00167BB3">
        <w:tab/>
        <w:t>The observed reports of sexual identity and attraction at ages 25, 30 and 35 were reduced from five categories to three by combining the categories of bisexual, mostly homosexual and homosexual onto one group.</w:t>
      </w:r>
    </w:p>
    <w:p w:rsidR="00BD5AC2" w:rsidRPr="00167BB3" w:rsidRDefault="00BD5AC2" w:rsidP="00BD5AC2">
      <w:pPr>
        <w:spacing w:line="360" w:lineRule="auto"/>
        <w:ind w:left="284"/>
      </w:pPr>
      <w:r w:rsidRPr="00167BB3">
        <w:t>2.</w:t>
      </w:r>
      <w:r w:rsidRPr="00167BB3">
        <w:tab/>
        <w:t>The observed reports of same-sex experience and same-sex relationships were combined over all ages from age 18 to 35 to provide two summary measures of lifetime ever same-sex experience and lifetime ever same-sex relationship.</w:t>
      </w:r>
    </w:p>
    <w:p w:rsidR="00BD5AC2" w:rsidRPr="00167BB3" w:rsidRDefault="00BD5AC2" w:rsidP="00BD5AC2">
      <w:pPr>
        <w:spacing w:line="360" w:lineRule="auto"/>
        <w:ind w:left="284"/>
      </w:pPr>
      <w:r w:rsidRPr="00167BB3">
        <w:t>With these changes the resulting data set comprised a total of 12 measures: four measures of sexual identity (at ages 21, 25, 30 and 35) each with three response categories; three measures of same-sex attraction (at ages 25, 30 and 35) each with three response categories; three measures of sexual fantasy (at ages 25, 30 and 35) each with three response categories; and two dichotomous measures of lifetime same-sex experience and lifetime same-sex relationships.</w:t>
      </w:r>
    </w:p>
    <w:p w:rsidR="00BD5AC2" w:rsidRPr="00167BB3" w:rsidRDefault="00BD5AC2" w:rsidP="00BD5AC2">
      <w:pPr>
        <w:spacing w:line="360" w:lineRule="auto"/>
        <w:ind w:left="284"/>
      </w:pPr>
      <w:r w:rsidRPr="00167BB3">
        <w:t>Determining the number of classes</w:t>
      </w:r>
    </w:p>
    <w:p w:rsidR="00BD5AC2" w:rsidRPr="00167BB3" w:rsidRDefault="00BD5AC2" w:rsidP="00BD5AC2">
      <w:pPr>
        <w:spacing w:line="360" w:lineRule="auto"/>
        <w:ind w:left="284"/>
      </w:pPr>
      <w:r w:rsidRPr="00167BB3">
        <w:t xml:space="preserve">A series of latent class models were fitted to the observed response patterns on the measures of sexuality for a sample of 1040 participants who gave reports on measures of sexuality on at least two occasions from age 18-35 years. Model fitting was conducted using </w:t>
      </w:r>
      <w:proofErr w:type="spellStart"/>
      <w:r w:rsidRPr="00167BB3">
        <w:t>Mplus</w:t>
      </w:r>
      <w:proofErr w:type="spellEnd"/>
      <w:r w:rsidRPr="00167BB3">
        <w:t xml:space="preserve"> version 7.11 </w:t>
      </w:r>
      <w:r>
        <w:fldChar w:fldCharType="begin"/>
      </w:r>
      <w:r>
        <w:instrText xml:space="preserve"> ADDIN EN.CITE &lt;EndNote&gt;&lt;Cite&gt;&lt;Author&gt;Muthén&lt;/Author&gt;&lt;Year&gt;2013&lt;/Year&gt;&lt;RecNum&gt;184&lt;/RecNum&gt;&lt;DisplayText&gt;(Muthén and Muthén, 2013)&lt;/DisplayText&gt;&lt;record&gt;&lt;rec-number&gt;184&lt;/rec-number&gt;&lt;foreign-keys&gt;&lt;key app="EN" db-id="zwdaweefrw52sgefxe35avvq0r2pvvdz50wa" timestamp="1541028035"&gt;184&lt;/key&gt;&lt;/foreign-keys&gt;&lt;ref-type name="Book"&gt;6&lt;/ref-type&gt;&lt;contributors&gt;&lt;authors&gt;&lt;author&gt;Muthén, Linda K&lt;/author&gt;&lt;author&gt;Muthén, Bengt O&lt;/author&gt;&lt;/authors&gt;&lt;/contributors&gt;&lt;titles&gt;&lt;title&gt;Mplus 7.11&lt;/title&gt;&lt;/titles&gt;&lt;dates&gt;&lt;year&gt;2013&lt;/year&gt;&lt;/dates&gt;&lt;pub-location&gt;Los Angeles, CA&lt;/pub-location&gt;&lt;publisher&gt;Muthén &amp;amp; Muthén&lt;/publisher&gt;&lt;urls&gt;&lt;/urls&gt;&lt;/record&gt;&lt;/Cite&gt;&lt;/EndNote&gt;</w:instrText>
      </w:r>
      <w:r>
        <w:fldChar w:fldCharType="separate"/>
      </w:r>
      <w:r>
        <w:rPr>
          <w:noProof/>
        </w:rPr>
        <w:t>(Muthén and Muthén, 2013)</w:t>
      </w:r>
      <w:r>
        <w:fldChar w:fldCharType="end"/>
      </w:r>
      <w:r w:rsidRPr="00167BB3">
        <w:t xml:space="preserve"> using full information maximum likelihood estimation methods that were robust to missing data under the assumption that data were missing at random. </w:t>
      </w:r>
    </w:p>
    <w:p w:rsidR="00BD5AC2" w:rsidRPr="00167BB3" w:rsidRDefault="00BD5AC2" w:rsidP="00BD5AC2">
      <w:pPr>
        <w:spacing w:line="360" w:lineRule="auto"/>
        <w:ind w:left="284"/>
      </w:pPr>
      <w:r w:rsidRPr="00167BB3">
        <w:t xml:space="preserve">Initially two-class through five-class models were fitted to the data with participant sex fitted as a known class. These models permitted the probability of latent class membership to vary with participant sex, while at the same time constraining the response probabilities on the observed item data to be the same for males and females. The relative fit of the models was assessed using the Bayesian Information Criterion (BIC) supplemented by inspection of model parameters and model residuals. Values of BIC for the four models were respectively 7197 (two-class), 6784 (three-class), 6770 (four-class), 6787 (five-class). This analysis identified the four-class model as the preferred model on the basis that it had the lowest BIC. Further inspection suggested that both the model parameters and residuals were well-behaved for this model. </w:t>
      </w:r>
    </w:p>
    <w:p w:rsidR="00BD5AC2" w:rsidRPr="00167BB3" w:rsidRDefault="00BD5AC2" w:rsidP="00BD5AC2">
      <w:pPr>
        <w:spacing w:line="360" w:lineRule="auto"/>
        <w:ind w:left="284"/>
      </w:pPr>
      <w:r w:rsidRPr="00167BB3">
        <w:t xml:space="preserve">The four-class model was then compared against an alternative unconstrained model that permitted the item response probabilities to vary between males and females. Again comparison of the BIC for </w:t>
      </w:r>
      <w:r w:rsidRPr="00167BB3">
        <w:lastRenderedPageBreak/>
        <w:t xml:space="preserve">each model suggested that the constrained model provided a more parsimonious representation of the data than the unconstrained model (constrained model BIC=6770, unconstrained model BIC=7266). </w:t>
      </w:r>
    </w:p>
    <w:p w:rsidR="00BD5AC2" w:rsidRPr="00167BB3" w:rsidRDefault="00BD5AC2" w:rsidP="00BD5AC2">
      <w:pPr>
        <w:spacing w:line="360" w:lineRule="auto"/>
        <w:ind w:left="284"/>
      </w:pPr>
      <w:r w:rsidRPr="00167BB3">
        <w:t>On the basis of this analysis the four-class model with response probabilities constrained equal for males and females was selected as the preferred model.</w:t>
      </w:r>
    </w:p>
    <w:p w:rsidR="00BD5AC2" w:rsidRPr="00167BB3" w:rsidRDefault="00BD5AC2" w:rsidP="00BD5AC2">
      <w:pPr>
        <w:spacing w:line="360" w:lineRule="auto"/>
        <w:ind w:left="284"/>
      </w:pPr>
    </w:p>
    <w:p w:rsidR="00BD5AC2" w:rsidRPr="00167BB3" w:rsidRDefault="00BD5AC2" w:rsidP="00BD5AC2">
      <w:pPr>
        <w:spacing w:line="360" w:lineRule="auto"/>
        <w:ind w:left="284"/>
      </w:pPr>
      <w:r w:rsidRPr="00167BB3">
        <w:t>Describing the properties of the best fitting model</w:t>
      </w:r>
    </w:p>
    <w:p w:rsidR="00BD5AC2" w:rsidRPr="00167BB3" w:rsidRDefault="00BD5AC2" w:rsidP="00BD5AC2">
      <w:pPr>
        <w:spacing w:line="360" w:lineRule="auto"/>
        <w:ind w:left="284"/>
      </w:pPr>
      <w:r w:rsidRPr="00167BB3">
        <w:t>Supplementary Table 4 shows the fitted model parameters for the final four-class model. Examination of the table shows that the four classes could be characterised in the following manner:</w:t>
      </w:r>
    </w:p>
    <w:p w:rsidR="00BD5AC2" w:rsidRPr="00167BB3" w:rsidRDefault="00BD5AC2" w:rsidP="00BD5AC2">
      <w:pPr>
        <w:spacing w:line="360" w:lineRule="auto"/>
        <w:ind w:left="284"/>
      </w:pPr>
      <w:r w:rsidRPr="00167BB3">
        <w:t>Class 1 (Heterose</w:t>
      </w:r>
      <w:r>
        <w:t>xual): This class comprised 82.0</w:t>
      </w:r>
      <w:r w:rsidRPr="00167BB3">
        <w:t>% of t</w:t>
      </w:r>
      <w:r>
        <w:t>he sample (91.0% of males and 73.4</w:t>
      </w:r>
      <w:r w:rsidRPr="00167BB3">
        <w:t>% of females). Participants in this class were characterised by a response pattern reflecting exclusively heterosexual identity, attraction, fantasy and behaviour, with response probabilities for the exclusively heterosexual response options ranging from 0.975 to 1.00.</w:t>
      </w:r>
    </w:p>
    <w:p w:rsidR="00BD5AC2" w:rsidRPr="00167BB3" w:rsidRDefault="00BD5AC2" w:rsidP="00BD5AC2">
      <w:pPr>
        <w:spacing w:line="360" w:lineRule="auto"/>
        <w:ind w:left="284"/>
      </w:pPr>
      <w:r w:rsidRPr="00167BB3">
        <w:t>Class 2 (Mostly heterosexual): This class co</w:t>
      </w:r>
      <w:r>
        <w:t>mprised 12.6% of the sample (5.7% of males 19.3</w:t>
      </w:r>
      <w:r w:rsidRPr="00167BB3">
        <w:t>% of females). The response probabilities for this class show a mixed pattern reflecting a predominantly heterosexual pattern of response on measures of identity, attraction and fantasy (response probabilities 0.629 to 0.966) but with a substantial minority of responses reflecting a mostly heterosexual or bisexual response pattern from age 25 onwards. Over half of this group reported lifetime same-sex experience (0.527) but only a minority reported a same-sex relationship (0.133).</w:t>
      </w:r>
    </w:p>
    <w:p w:rsidR="00BD5AC2" w:rsidRPr="00167BB3" w:rsidRDefault="00BD5AC2" w:rsidP="00BD5AC2">
      <w:pPr>
        <w:spacing w:line="360" w:lineRule="auto"/>
        <w:ind w:left="284"/>
      </w:pPr>
      <w:r w:rsidRPr="00167BB3">
        <w:t>Class 3 (Bisexual): This class comprised 3.5% of the sample (2.0% males and 4.9% of females). This group strongly endorsed mostly heter</w:t>
      </w:r>
      <w:r>
        <w:t>osexual identity (0.555 to 0.741</w:t>
      </w:r>
      <w:r w:rsidRPr="00167BB3">
        <w:t xml:space="preserve">); strong attraction </w:t>
      </w:r>
      <w:proofErr w:type="gramStart"/>
      <w:r w:rsidRPr="00167BB3">
        <w:t>to</w:t>
      </w:r>
      <w:proofErr w:type="gramEnd"/>
      <w:r w:rsidRPr="00167BB3">
        <w:t xml:space="preserve"> the opposite sex (0.639 to 0.792); and both sexes sexual fantasy (0.480 to 0.572). Nearly all reported a same-sex experience (0.928) and the majority a same-sex relationship (0.627). </w:t>
      </w:r>
    </w:p>
    <w:p w:rsidR="00BD5AC2" w:rsidRPr="00167BB3" w:rsidRDefault="00BD5AC2" w:rsidP="00BD5AC2">
      <w:pPr>
        <w:spacing w:line="360" w:lineRule="auto"/>
        <w:ind w:left="284"/>
      </w:pPr>
      <w:r w:rsidRPr="00167BB3">
        <w:t xml:space="preserve">Class 4 (Gay/lesbian): This class comprised 1.9% of the sample (1.4% of males and 2.5% of females). With the exception of sexual identity at age 21, this group consistently described their identity, attraction and fantasy as bisexual or homosexual (0.500 to 1.00). All of this group reported having engaged in a same-sex relationship. </w:t>
      </w:r>
    </w:p>
    <w:p w:rsidR="00BD5AC2" w:rsidRPr="00167BB3" w:rsidRDefault="00BD5AC2" w:rsidP="00BD5AC2">
      <w:pPr>
        <w:spacing w:line="360" w:lineRule="auto"/>
        <w:ind w:left="284"/>
      </w:pPr>
      <w:r w:rsidRPr="00167BB3">
        <w:t>Overall entropy for the final model was 0.96, indicating very strong discrimination of the latent classes.</w:t>
      </w:r>
    </w:p>
    <w:p w:rsidR="00BD5AC2" w:rsidRPr="00167BB3" w:rsidRDefault="00BD5AC2" w:rsidP="00BD5AC2">
      <w:pPr>
        <w:spacing w:line="360" w:lineRule="auto"/>
        <w:ind w:left="284"/>
      </w:pPr>
    </w:p>
    <w:p w:rsidR="00BD5AC2" w:rsidRPr="00167BB3" w:rsidRDefault="00BD5AC2" w:rsidP="00BD5AC2">
      <w:pPr>
        <w:spacing w:line="360" w:lineRule="auto"/>
        <w:ind w:left="284"/>
      </w:pPr>
      <w:r w:rsidRPr="00167BB3">
        <w:t>Assignment to latent classes</w:t>
      </w:r>
    </w:p>
    <w:p w:rsidR="00BD5AC2" w:rsidRPr="00167BB3" w:rsidRDefault="00BD5AC2" w:rsidP="00BD5AC2">
      <w:pPr>
        <w:spacing w:line="360" w:lineRule="auto"/>
        <w:ind w:left="284"/>
      </w:pPr>
      <w:r w:rsidRPr="00167BB3">
        <w:lastRenderedPageBreak/>
        <w:t xml:space="preserve">To facilitate further analysis of the linkages between sexuality and mental health, participants were assigned to latent classes on the basis of the posterior probabilities of latent class membership conditional on the fitted model parameters. Participants were assigned to the class with the highest posterior probability of membership. The assigned membership probabilities varied only very slightly from the model prevalence estimates described above. </w:t>
      </w:r>
    </w:p>
    <w:p w:rsidR="00BD5AC2" w:rsidRPr="00167BB3" w:rsidRDefault="00BD5AC2" w:rsidP="00BD5AC2">
      <w:pPr>
        <w:spacing w:line="360" w:lineRule="auto"/>
        <w:ind w:left="284"/>
      </w:pPr>
    </w:p>
    <w:p w:rsidR="00BD5AC2" w:rsidRPr="00167BB3" w:rsidRDefault="00BD5AC2" w:rsidP="00BD5AC2">
      <w:pPr>
        <w:spacing w:line="360" w:lineRule="auto"/>
        <w:ind w:left="284"/>
      </w:pPr>
      <w:r w:rsidRPr="00167BB3">
        <w:t>Supplement:</w:t>
      </w:r>
    </w:p>
    <w:p w:rsidR="00BD5AC2" w:rsidRPr="00167BB3" w:rsidRDefault="00BD5AC2" w:rsidP="00BD5AC2">
      <w:pPr>
        <w:spacing w:line="360" w:lineRule="auto"/>
        <w:ind w:left="284"/>
        <w:rPr>
          <w:lang w:val="en-US"/>
        </w:rPr>
      </w:pPr>
      <w:r w:rsidRPr="00167BB3">
        <w:t>Sexual Fluidity</w:t>
      </w:r>
    </w:p>
    <w:p w:rsidR="00BD5AC2" w:rsidRPr="00167BB3" w:rsidRDefault="00BD5AC2" w:rsidP="00BD5AC2">
      <w:pPr>
        <w:spacing w:line="360" w:lineRule="auto"/>
        <w:ind w:left="284"/>
        <w:rPr>
          <w:lang w:val="en-US"/>
        </w:rPr>
      </w:pPr>
      <w:r w:rsidRPr="00167BB3">
        <w:rPr>
          <w:lang w:val="en-US"/>
        </w:rPr>
        <w:t>A limitation of the latent class analysis is that it does address the issue of fluidity or change in sexuality over time. Changes in the reporting of sexuality are reflected in the response probabilities of the latent class model rather than directly in the classification of latent class membership over time. Problems of data sparseness precluded in-depth analysis of sexual fluidity within the latent class framework. However, it was possible to conduct limited exploration of this issue using the observed report data on sexual identity, attraction and fantasy at ages 25, 30 and 35 to examine: (a) factors associated with fluidity in reports of sexuality; and (b) whether fluidity in reporting was related to experience of mental disorder. For the purposes of this analysis fluidity was defined as a two point shift of category in sexual identity or attraction, or a one point shift in sexual fantasy, between the assessments at ages 25 to 30 and 30 to 35.</w:t>
      </w:r>
    </w:p>
    <w:p w:rsidR="00BD5AC2" w:rsidRPr="00167BB3" w:rsidRDefault="00BD5AC2" w:rsidP="00BD5AC2">
      <w:pPr>
        <w:spacing w:line="360" w:lineRule="auto"/>
        <w:ind w:left="284"/>
        <w:rPr>
          <w:lang w:val="en-US"/>
        </w:rPr>
      </w:pPr>
      <w:r w:rsidRPr="00167BB3">
        <w:rPr>
          <w:lang w:val="en-US"/>
        </w:rPr>
        <w:t>Overall 12% of the sample were classified as giving fluid responses to sexuality questions and 76% of those giving fluid responses were female; 46% of those classified into sexual minority classes gave fluid responses compared to 4% in the heterosexual class. On logistic regression three factors were identified as significant (p&lt;</w:t>
      </w:r>
      <w:r w:rsidR="00DB1D68">
        <w:rPr>
          <w:lang w:val="en-US"/>
        </w:rPr>
        <w:t>0</w:t>
      </w:r>
      <w:r w:rsidRPr="00167BB3">
        <w:rPr>
          <w:lang w:val="en-US"/>
        </w:rPr>
        <w:t>.05) predictors of fluidity: sex, history of sexual abuse and maternal overprotection in childhood. Spe</w:t>
      </w:r>
      <w:bookmarkStart w:id="0" w:name="_GoBack"/>
      <w:bookmarkEnd w:id="0"/>
      <w:r w:rsidRPr="00167BB3">
        <w:rPr>
          <w:lang w:val="en-US"/>
        </w:rPr>
        <w:t xml:space="preserve">cifically women, those who had been exposed to more severe sexual abuse and those whose mothers adopted a more over-controlling parenting style were more likely to be fluid in their reporting of sexuality. </w:t>
      </w:r>
    </w:p>
    <w:p w:rsidR="00BD5AC2" w:rsidRPr="00167BB3" w:rsidRDefault="00BD5AC2" w:rsidP="00BD5AC2">
      <w:pPr>
        <w:spacing w:line="360" w:lineRule="auto"/>
        <w:ind w:left="284"/>
        <w:rPr>
          <w:lang w:val="en-US"/>
        </w:rPr>
      </w:pPr>
      <w:r w:rsidRPr="00167BB3">
        <w:rPr>
          <w:lang w:val="en-US"/>
        </w:rPr>
        <w:t xml:space="preserve">Supplementary Table 6 shows rates of mental health problems in each latent class cross-classified by fluidity of reporting. For the purposes of data display the bisexual and gay/lesbian classes have been combined to reduce problems of data sparseness. Examination of the table provides little evidence to suggest that fluidity was systematically related to the experience of mental health problems. Those who were fluid in their reporting had higher rates of some disorders at some time points and lower rates at other times. These observations were confirmed by extending the fitted regression models linking sexuality latent class to mental health outcomes to include fluidity, and test for statistical interactions </w:t>
      </w:r>
      <w:r w:rsidRPr="00167BB3">
        <w:rPr>
          <w:lang w:val="en-US"/>
        </w:rPr>
        <w:lastRenderedPageBreak/>
        <w:t>with the fluidity measure. This analysis showed no evidence of statistically significant main effects for fluidity, or interactions of fluidity with time or sexuality latent class.</w:t>
      </w:r>
    </w:p>
    <w:p w:rsidR="00BD5AC2" w:rsidRPr="00167BB3" w:rsidRDefault="00BD5AC2" w:rsidP="00BD5AC2">
      <w:pPr>
        <w:rPr>
          <w:lang w:val="en-US"/>
        </w:rPr>
      </w:pPr>
      <w:r w:rsidRPr="00167BB3">
        <w:rPr>
          <w:lang w:val="en-US"/>
        </w:rPr>
        <w:br w:type="page"/>
      </w:r>
    </w:p>
    <w:p w:rsidR="00BD5AC2" w:rsidRDefault="00BD5AC2">
      <w:r>
        <w:lastRenderedPageBreak/>
        <w:t>References</w:t>
      </w:r>
    </w:p>
    <w:p w:rsidR="00BD5AC2" w:rsidRPr="00BD5AC2" w:rsidRDefault="00BD5AC2" w:rsidP="00BD5AC2">
      <w:pPr>
        <w:pStyle w:val="EndNoteBibliography"/>
        <w:spacing w:after="0"/>
      </w:pPr>
      <w:r>
        <w:fldChar w:fldCharType="begin"/>
      </w:r>
      <w:r>
        <w:instrText xml:space="preserve"> ADDIN EN.REFLIST </w:instrText>
      </w:r>
      <w:r>
        <w:fldChar w:fldCharType="separate"/>
      </w:r>
      <w:r w:rsidRPr="00BD5AC2">
        <w:rPr>
          <w:b/>
        </w:rPr>
        <w:t xml:space="preserve">Cloninger, C. R. </w:t>
      </w:r>
      <w:r w:rsidRPr="00BD5AC2">
        <w:t xml:space="preserve">(1987). A systematic method for clinical description and classification of personality variants: A proposal. </w:t>
      </w:r>
      <w:r w:rsidRPr="00BD5AC2">
        <w:rPr>
          <w:i/>
        </w:rPr>
        <w:t>Archives of general psychiatry</w:t>
      </w:r>
      <w:r w:rsidRPr="00BD5AC2">
        <w:t xml:space="preserve"> </w:t>
      </w:r>
      <w:r w:rsidRPr="00BD5AC2">
        <w:rPr>
          <w:b/>
        </w:rPr>
        <w:t>44</w:t>
      </w:r>
      <w:r w:rsidRPr="00BD5AC2">
        <w:t>, 573-588.</w:t>
      </w:r>
    </w:p>
    <w:p w:rsidR="00BD5AC2" w:rsidRPr="00BD5AC2" w:rsidRDefault="00BD5AC2" w:rsidP="00BD5AC2">
      <w:pPr>
        <w:pStyle w:val="EndNoteBibliography"/>
        <w:spacing w:after="0"/>
      </w:pPr>
      <w:r w:rsidRPr="00BD5AC2">
        <w:rPr>
          <w:b/>
        </w:rPr>
        <w:t xml:space="preserve">Conners, C. K. </w:t>
      </w:r>
      <w:r w:rsidRPr="00BD5AC2">
        <w:t xml:space="preserve">(1969). A teacher rating scale for use in drug studies with children. </w:t>
      </w:r>
      <w:r w:rsidRPr="00BD5AC2">
        <w:rPr>
          <w:i/>
        </w:rPr>
        <w:t>American journal of Psychiatry</w:t>
      </w:r>
      <w:r w:rsidRPr="00BD5AC2">
        <w:t xml:space="preserve"> </w:t>
      </w:r>
      <w:r w:rsidRPr="00BD5AC2">
        <w:rPr>
          <w:b/>
        </w:rPr>
        <w:t>126</w:t>
      </w:r>
      <w:r w:rsidRPr="00BD5AC2">
        <w:t>, 884-888.</w:t>
      </w:r>
    </w:p>
    <w:p w:rsidR="00BD5AC2" w:rsidRPr="00BD5AC2" w:rsidRDefault="00BD5AC2" w:rsidP="00BD5AC2">
      <w:pPr>
        <w:pStyle w:val="EndNoteBibliography"/>
        <w:spacing w:after="0"/>
      </w:pPr>
      <w:r w:rsidRPr="00BD5AC2">
        <w:rPr>
          <w:b/>
        </w:rPr>
        <w:t xml:space="preserve">Conners, C. K. </w:t>
      </w:r>
      <w:r w:rsidRPr="00BD5AC2">
        <w:t xml:space="preserve">(1970). Symptom patterns in hyperkinetic, neurotic, and normal children. </w:t>
      </w:r>
      <w:r w:rsidRPr="00BD5AC2">
        <w:rPr>
          <w:i/>
        </w:rPr>
        <w:t>Child development</w:t>
      </w:r>
      <w:r w:rsidRPr="00BD5AC2">
        <w:t xml:space="preserve"> </w:t>
      </w:r>
      <w:r w:rsidRPr="00BD5AC2">
        <w:rPr>
          <w:b/>
        </w:rPr>
        <w:t>41</w:t>
      </w:r>
      <w:r w:rsidRPr="00BD5AC2">
        <w:t>, 667-682.</w:t>
      </w:r>
    </w:p>
    <w:p w:rsidR="00BD5AC2" w:rsidRPr="00BD5AC2" w:rsidRDefault="00BD5AC2" w:rsidP="00BD5AC2">
      <w:pPr>
        <w:pStyle w:val="EndNoteBibliography"/>
        <w:spacing w:after="0"/>
      </w:pPr>
      <w:r w:rsidRPr="00BD5AC2">
        <w:rPr>
          <w:b/>
        </w:rPr>
        <w:t xml:space="preserve">Coopersmith, S. </w:t>
      </w:r>
      <w:r w:rsidRPr="00BD5AC2">
        <w:t xml:space="preserve">(1981). </w:t>
      </w:r>
      <w:r w:rsidRPr="00BD5AC2">
        <w:rPr>
          <w:i/>
        </w:rPr>
        <w:t>Self-esteem inventories</w:t>
      </w:r>
      <w:r w:rsidRPr="00BD5AC2">
        <w:t>. WH freeman: New York.</w:t>
      </w:r>
    </w:p>
    <w:p w:rsidR="00BD5AC2" w:rsidRPr="00BD5AC2" w:rsidRDefault="00BD5AC2" w:rsidP="00BD5AC2">
      <w:pPr>
        <w:pStyle w:val="EndNoteBibliography"/>
        <w:spacing w:after="0"/>
      </w:pPr>
      <w:r w:rsidRPr="00BD5AC2">
        <w:rPr>
          <w:b/>
        </w:rPr>
        <w:t xml:space="preserve">Elley, W. B. &amp; Irving, J. C. </w:t>
      </w:r>
      <w:r w:rsidRPr="00BD5AC2">
        <w:t xml:space="preserve">(1976). Revised socio-economic index for New Zealand. </w:t>
      </w:r>
      <w:r w:rsidRPr="00BD5AC2">
        <w:rPr>
          <w:i/>
        </w:rPr>
        <w:t>New Zealand Journal of Educational Studies</w:t>
      </w:r>
      <w:r w:rsidRPr="00BD5AC2">
        <w:t xml:space="preserve"> </w:t>
      </w:r>
      <w:r w:rsidRPr="00BD5AC2">
        <w:rPr>
          <w:b/>
        </w:rPr>
        <w:t>11</w:t>
      </w:r>
      <w:r w:rsidRPr="00BD5AC2">
        <w:t>, 25-36.</w:t>
      </w:r>
    </w:p>
    <w:p w:rsidR="00BD5AC2" w:rsidRPr="00BD5AC2" w:rsidRDefault="00BD5AC2" w:rsidP="00BD5AC2">
      <w:pPr>
        <w:pStyle w:val="EndNoteBibliography"/>
        <w:spacing w:after="0"/>
      </w:pPr>
      <w:r w:rsidRPr="00BD5AC2">
        <w:rPr>
          <w:b/>
        </w:rPr>
        <w:t xml:space="preserve">Eysenck, H. &amp; Eysenck, S. </w:t>
      </w:r>
      <w:r w:rsidRPr="00BD5AC2">
        <w:t xml:space="preserve">(1964). </w:t>
      </w:r>
      <w:r w:rsidRPr="00BD5AC2">
        <w:rPr>
          <w:i/>
        </w:rPr>
        <w:t>Manual of the Eysenck Personality Inventory</w:t>
      </w:r>
      <w:r w:rsidRPr="00BD5AC2">
        <w:t>. England London University Press: London.</w:t>
      </w:r>
    </w:p>
    <w:p w:rsidR="00BD5AC2" w:rsidRPr="00BD5AC2" w:rsidRDefault="00BD5AC2" w:rsidP="00BD5AC2">
      <w:pPr>
        <w:pStyle w:val="EndNoteBibliography"/>
        <w:spacing w:after="0"/>
      </w:pPr>
      <w:r w:rsidRPr="00BD5AC2">
        <w:rPr>
          <w:b/>
        </w:rPr>
        <w:t xml:space="preserve">Fergusson, D. M. &amp; Horwood, L. J. </w:t>
      </w:r>
      <w:r w:rsidRPr="00BD5AC2">
        <w:t xml:space="preserve">(1993). The structure, stability and correlations of the trait components of conduct disorder, attention deficit and anxiety/withdrawal reports. </w:t>
      </w:r>
      <w:r w:rsidRPr="00BD5AC2">
        <w:rPr>
          <w:i/>
        </w:rPr>
        <w:t>Journal of Child Psychology and Psychiatry</w:t>
      </w:r>
      <w:r w:rsidRPr="00BD5AC2">
        <w:t xml:space="preserve"> </w:t>
      </w:r>
      <w:r w:rsidRPr="00BD5AC2">
        <w:rPr>
          <w:b/>
        </w:rPr>
        <w:t>34</w:t>
      </w:r>
      <w:r w:rsidRPr="00BD5AC2">
        <w:t>, 749-766.</w:t>
      </w:r>
    </w:p>
    <w:p w:rsidR="00BD5AC2" w:rsidRPr="00BD5AC2" w:rsidRDefault="00BD5AC2" w:rsidP="00BD5AC2">
      <w:pPr>
        <w:pStyle w:val="EndNoteBibliography"/>
        <w:spacing w:after="0"/>
      </w:pPr>
      <w:r w:rsidRPr="00BD5AC2">
        <w:rPr>
          <w:b/>
        </w:rPr>
        <w:t xml:space="preserve">Fergusson, D. M. &amp; Horwood, L. J. </w:t>
      </w:r>
      <w:r w:rsidRPr="00BD5AC2">
        <w:t xml:space="preserve">(1998). Exposure to Interparental Violence in Childhood and Psychosocial Adjustment in Young Adulthood 1. </w:t>
      </w:r>
      <w:r w:rsidRPr="00BD5AC2">
        <w:rPr>
          <w:i/>
        </w:rPr>
        <w:t>Child abuse &amp; neglect</w:t>
      </w:r>
      <w:r w:rsidRPr="00BD5AC2">
        <w:t xml:space="preserve"> </w:t>
      </w:r>
      <w:r w:rsidRPr="00BD5AC2">
        <w:rPr>
          <w:b/>
        </w:rPr>
        <w:t>22</w:t>
      </w:r>
      <w:r w:rsidRPr="00BD5AC2">
        <w:t>, 339-357.</w:t>
      </w:r>
    </w:p>
    <w:p w:rsidR="00BD5AC2" w:rsidRPr="00BD5AC2" w:rsidRDefault="00BD5AC2" w:rsidP="00BD5AC2">
      <w:pPr>
        <w:pStyle w:val="EndNoteBibliography"/>
        <w:spacing w:after="0"/>
      </w:pPr>
      <w:r w:rsidRPr="00BD5AC2">
        <w:rPr>
          <w:b/>
        </w:rPr>
        <w:t xml:space="preserve">Fergusson, D. M., Horwood, L. J. &amp; Beautrais, A. L. </w:t>
      </w:r>
      <w:r w:rsidRPr="00BD5AC2">
        <w:t xml:space="preserve">(1999). Is sexual orientation related to mental health problems and suicidality in young people? </w:t>
      </w:r>
      <w:r w:rsidRPr="00BD5AC2">
        <w:rPr>
          <w:i/>
        </w:rPr>
        <w:t>Archives of general psychiatry</w:t>
      </w:r>
      <w:r w:rsidRPr="00BD5AC2">
        <w:t xml:space="preserve"> </w:t>
      </w:r>
      <w:r w:rsidRPr="00BD5AC2">
        <w:rPr>
          <w:b/>
        </w:rPr>
        <w:t>56</w:t>
      </w:r>
      <w:r w:rsidRPr="00BD5AC2">
        <w:t>, 876-880.</w:t>
      </w:r>
    </w:p>
    <w:p w:rsidR="00BD5AC2" w:rsidRPr="00BD5AC2" w:rsidRDefault="00BD5AC2" w:rsidP="00BD5AC2">
      <w:pPr>
        <w:pStyle w:val="EndNoteBibliography"/>
        <w:spacing w:after="0"/>
      </w:pPr>
      <w:r w:rsidRPr="00BD5AC2">
        <w:rPr>
          <w:b/>
        </w:rPr>
        <w:t xml:space="preserve">Fergusson, D. M., Horwood, L. J., Ridder, E. M. &amp; Beautrais, A. L. </w:t>
      </w:r>
      <w:r w:rsidRPr="00BD5AC2">
        <w:t xml:space="preserve">(2005). Sexual orientation and mental health in a birth cohort of young adults. </w:t>
      </w:r>
      <w:r w:rsidRPr="00BD5AC2">
        <w:rPr>
          <w:i/>
        </w:rPr>
        <w:t>Psychological medicine</w:t>
      </w:r>
      <w:r w:rsidRPr="00BD5AC2">
        <w:t xml:space="preserve"> </w:t>
      </w:r>
      <w:r w:rsidRPr="00BD5AC2">
        <w:rPr>
          <w:b/>
        </w:rPr>
        <w:t>35</w:t>
      </w:r>
      <w:r w:rsidRPr="00BD5AC2">
        <w:t>, 971-981.</w:t>
      </w:r>
    </w:p>
    <w:p w:rsidR="00BD5AC2" w:rsidRPr="00BD5AC2" w:rsidRDefault="00BD5AC2" w:rsidP="00BD5AC2">
      <w:pPr>
        <w:pStyle w:val="EndNoteBibliography"/>
        <w:spacing w:after="0"/>
      </w:pPr>
      <w:r w:rsidRPr="00BD5AC2">
        <w:rPr>
          <w:b/>
        </w:rPr>
        <w:t xml:space="preserve">Fergusson, D. M., Lynskey, M. T. &amp; Horwood, L. J. </w:t>
      </w:r>
      <w:r w:rsidRPr="00BD5AC2">
        <w:t xml:space="preserve">(1996). Childhood sexual abuse and psychiatric disorder in young adulthood: I. Prevalence of sexual abuse and factors associated with sexual abuse. </w:t>
      </w:r>
      <w:r w:rsidRPr="00BD5AC2">
        <w:rPr>
          <w:i/>
        </w:rPr>
        <w:t>Journal of the American Academy of Child &amp; Adolescent Psychiatry</w:t>
      </w:r>
      <w:r w:rsidRPr="00BD5AC2">
        <w:t xml:space="preserve"> </w:t>
      </w:r>
      <w:r w:rsidRPr="00BD5AC2">
        <w:rPr>
          <w:b/>
        </w:rPr>
        <w:t>35</w:t>
      </w:r>
      <w:r w:rsidRPr="00BD5AC2">
        <w:t>, 1355-1364.</w:t>
      </w:r>
    </w:p>
    <w:p w:rsidR="00BD5AC2" w:rsidRPr="00BD5AC2" w:rsidRDefault="00BD5AC2" w:rsidP="00BD5AC2">
      <w:pPr>
        <w:pStyle w:val="EndNoteBibliography"/>
        <w:spacing w:after="0"/>
      </w:pPr>
      <w:r w:rsidRPr="00BD5AC2">
        <w:rPr>
          <w:b/>
        </w:rPr>
        <w:t xml:space="preserve">Muthén, L. K. &amp; Muthén, B. O. </w:t>
      </w:r>
      <w:r w:rsidRPr="00BD5AC2">
        <w:t xml:space="preserve">(2013). </w:t>
      </w:r>
      <w:r w:rsidRPr="00BD5AC2">
        <w:rPr>
          <w:i/>
        </w:rPr>
        <w:t>Mplus 7.11</w:t>
      </w:r>
      <w:r w:rsidRPr="00BD5AC2">
        <w:t>. Muthén &amp; Muthén: Los Angeles, CA.</w:t>
      </w:r>
    </w:p>
    <w:p w:rsidR="00BD5AC2" w:rsidRPr="00BD5AC2" w:rsidRDefault="00BD5AC2" w:rsidP="00BD5AC2">
      <w:pPr>
        <w:pStyle w:val="EndNoteBibliography"/>
        <w:spacing w:after="0"/>
      </w:pPr>
      <w:r w:rsidRPr="00BD5AC2">
        <w:rPr>
          <w:b/>
        </w:rPr>
        <w:t xml:space="preserve">Rutter, M., Tizard, J. &amp; Whitmore, K. </w:t>
      </w:r>
      <w:r w:rsidRPr="00BD5AC2">
        <w:t xml:space="preserve">(1970). </w:t>
      </w:r>
      <w:r w:rsidRPr="00BD5AC2">
        <w:rPr>
          <w:i/>
        </w:rPr>
        <w:t>Education, health and behaviour</w:t>
      </w:r>
      <w:r w:rsidRPr="00BD5AC2">
        <w:t>. Longman Publishing Group: London.</w:t>
      </w:r>
    </w:p>
    <w:p w:rsidR="00BD5AC2" w:rsidRPr="00BD5AC2" w:rsidRDefault="00BD5AC2" w:rsidP="00BD5AC2">
      <w:pPr>
        <w:pStyle w:val="EndNoteBibliography"/>
        <w:spacing w:after="0"/>
      </w:pPr>
      <w:r w:rsidRPr="00BD5AC2">
        <w:rPr>
          <w:b/>
        </w:rPr>
        <w:t xml:space="preserve">Straus, M. </w:t>
      </w:r>
      <w:r w:rsidRPr="00BD5AC2">
        <w:t xml:space="preserve">(1979). Measuring intramarital conflict and violence: The Conflict Tactics Scale. </w:t>
      </w:r>
      <w:r w:rsidRPr="00BD5AC2">
        <w:rPr>
          <w:i/>
        </w:rPr>
        <w:t>Journal of Marriage and the Family</w:t>
      </w:r>
      <w:r w:rsidRPr="00BD5AC2">
        <w:t xml:space="preserve"> </w:t>
      </w:r>
      <w:r w:rsidRPr="00BD5AC2">
        <w:rPr>
          <w:b/>
        </w:rPr>
        <w:t>41</w:t>
      </w:r>
      <w:r w:rsidRPr="00BD5AC2">
        <w:t>, 75-88.</w:t>
      </w:r>
    </w:p>
    <w:p w:rsidR="00BD5AC2" w:rsidRPr="00BD5AC2" w:rsidRDefault="00BD5AC2" w:rsidP="00BD5AC2">
      <w:pPr>
        <w:pStyle w:val="EndNoteBibliography"/>
      </w:pPr>
      <w:r w:rsidRPr="00BD5AC2">
        <w:rPr>
          <w:b/>
        </w:rPr>
        <w:t xml:space="preserve">Wechsler, D. </w:t>
      </w:r>
      <w:r w:rsidRPr="00BD5AC2">
        <w:t xml:space="preserve">(1974). </w:t>
      </w:r>
      <w:r w:rsidRPr="00BD5AC2">
        <w:rPr>
          <w:i/>
        </w:rPr>
        <w:t>Manual for the Wechsler intelligence scale for children, revised</w:t>
      </w:r>
      <w:r w:rsidRPr="00BD5AC2">
        <w:t>. Psychological Corporation: New York.</w:t>
      </w:r>
    </w:p>
    <w:p w:rsidR="00BD5AC2" w:rsidRDefault="00BD5AC2">
      <w:r>
        <w:fldChar w:fldCharType="end"/>
      </w:r>
    </w:p>
    <w:p w:rsidR="00BD5AC2" w:rsidRDefault="00BD5AC2">
      <w:r>
        <w:br w:type="page"/>
      </w:r>
    </w:p>
    <w:p w:rsidR="00BD5AC2" w:rsidRPr="00167BB3" w:rsidRDefault="00BD5AC2" w:rsidP="00BD5AC2">
      <w:pPr>
        <w:spacing w:after="0" w:line="240" w:lineRule="auto"/>
      </w:pPr>
      <w:r w:rsidRPr="00167BB3">
        <w:lastRenderedPageBreak/>
        <w:t>Supplementary Table 1: Sexuality questions asked of CHDS participants between the ages of 18-35 years</w:t>
      </w:r>
    </w:p>
    <w:tbl>
      <w:tblPr>
        <w:tblW w:w="10400" w:type="dxa"/>
        <w:tblLook w:val="04A0" w:firstRow="1" w:lastRow="0" w:firstColumn="1" w:lastColumn="0" w:noHBand="0" w:noVBand="1"/>
      </w:tblPr>
      <w:tblGrid>
        <w:gridCol w:w="7600"/>
        <w:gridCol w:w="560"/>
        <w:gridCol w:w="560"/>
        <w:gridCol w:w="560"/>
        <w:gridCol w:w="560"/>
        <w:gridCol w:w="560"/>
      </w:tblGrid>
      <w:tr w:rsidR="00BD5AC2" w:rsidRPr="00167BB3" w:rsidTr="004E2C4E">
        <w:trPr>
          <w:trHeight w:val="300"/>
        </w:trPr>
        <w:tc>
          <w:tcPr>
            <w:tcW w:w="7600" w:type="dxa"/>
            <w:tcBorders>
              <w:top w:val="single" w:sz="4" w:space="0" w:color="auto"/>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Sexuality questions</w:t>
            </w:r>
          </w:p>
        </w:tc>
        <w:tc>
          <w:tcPr>
            <w:tcW w:w="2800" w:type="dxa"/>
            <w:gridSpan w:val="5"/>
            <w:tcBorders>
              <w:top w:val="single" w:sz="4" w:space="0" w:color="auto"/>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Age asked</w:t>
            </w: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p>
        </w:tc>
        <w:tc>
          <w:tcPr>
            <w:tcW w:w="560"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18</w:t>
            </w:r>
          </w:p>
        </w:tc>
        <w:tc>
          <w:tcPr>
            <w:tcW w:w="560"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21</w:t>
            </w:r>
          </w:p>
        </w:tc>
        <w:tc>
          <w:tcPr>
            <w:tcW w:w="560"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25</w:t>
            </w:r>
          </w:p>
        </w:tc>
        <w:tc>
          <w:tcPr>
            <w:tcW w:w="560"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30</w:t>
            </w:r>
          </w:p>
        </w:tc>
        <w:tc>
          <w:tcPr>
            <w:tcW w:w="560"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35</w:t>
            </w:r>
          </w:p>
        </w:tc>
      </w:tr>
      <w:tr w:rsidR="00BD5AC2" w:rsidRPr="00167BB3" w:rsidTr="004E2C4E">
        <w:trPr>
          <w:trHeight w:val="300"/>
        </w:trPr>
        <w:tc>
          <w:tcPr>
            <w:tcW w:w="7600" w:type="dxa"/>
            <w:tcBorders>
              <w:top w:val="single" w:sz="4" w:space="0" w:color="auto"/>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behaviour:</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i/>
                <w:iCs/>
                <w:lang w:eastAsia="en-NZ"/>
              </w:rPr>
            </w:pPr>
            <w:r w:rsidRPr="00167BB3">
              <w:rPr>
                <w:rFonts w:ascii="Calibri" w:eastAsia="Times New Roman" w:hAnsi="Calibri" w:cs="Times New Roman"/>
                <w:i/>
                <w:iCs/>
                <w:lang w:eastAsia="en-NZ"/>
              </w:rPr>
              <w:t>Have you ever had a sexual relationship with a partner of the same-sex?</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i/>
                <w:iCs/>
                <w:lang w:eastAsia="en-NZ"/>
              </w:rPr>
            </w:pPr>
            <w:r w:rsidRPr="00167BB3">
              <w:rPr>
                <w:rFonts w:ascii="Calibri" w:eastAsia="Times New Roman" w:hAnsi="Calibri" w:cs="Times New Roman"/>
                <w:i/>
                <w:iCs/>
                <w:lang w:eastAsia="en-NZ"/>
              </w:rPr>
              <w:t>Have you ever had any kind of sexual experience with a partner of the same-sex?</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identity:</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hideMark/>
          </w:tcPr>
          <w:p w:rsidR="00BD5AC2" w:rsidRPr="00167BB3" w:rsidRDefault="00BD5AC2" w:rsidP="004E2C4E">
            <w:pPr>
              <w:spacing w:after="0" w:line="240" w:lineRule="auto"/>
              <w:rPr>
                <w:rFonts w:ascii="Calibri" w:eastAsia="Times New Roman" w:hAnsi="Calibri" w:cs="Times New Roman"/>
                <w:i/>
                <w:iCs/>
                <w:lang w:eastAsia="en-NZ"/>
              </w:rPr>
            </w:pPr>
            <w:r w:rsidRPr="00167BB3">
              <w:rPr>
                <w:rFonts w:ascii="Calibri" w:eastAsia="Times New Roman" w:hAnsi="Calibri" w:cs="Times New Roman"/>
                <w:i/>
                <w:iCs/>
                <w:lang w:eastAsia="en-NZ"/>
              </w:rPr>
              <w:t>Which of the statements best describes your sexual preference</w:t>
            </w:r>
            <w:proofErr w:type="gramStart"/>
            <w:r w:rsidRPr="00167BB3">
              <w:rPr>
                <w:rFonts w:ascii="Calibri" w:eastAsia="Times New Roman" w:hAnsi="Calibri" w:cs="Times New Roman"/>
                <w:i/>
                <w:iCs/>
                <w:lang w:eastAsia="en-NZ"/>
              </w:rPr>
              <w:t>?:</w:t>
            </w:r>
            <w:proofErr w:type="gramEnd"/>
            <w:r w:rsidRPr="00167BB3">
              <w:rPr>
                <w:rFonts w:ascii="Calibri" w:eastAsia="Times New Roman" w:hAnsi="Calibri" w:cs="Times New Roman"/>
                <w:i/>
                <w:iCs/>
                <w:lang w:eastAsia="en-NZ"/>
              </w:rPr>
              <w:t xml:space="preserve">                       </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1.  I am heterosexual and choose partners of the opposite sex</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2.  I am homosexual (gay) and choose partners of the same-sex</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3.  I am bisexual and may choose partners of either sex</w:t>
            </w:r>
          </w:p>
        </w:tc>
        <w:tc>
          <w:tcPr>
            <w:tcW w:w="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r>
      <w:tr w:rsidR="00BD5AC2" w:rsidRPr="00167BB3" w:rsidTr="004E2C4E">
        <w:trPr>
          <w:trHeight w:val="600"/>
        </w:trPr>
        <w:tc>
          <w:tcPr>
            <w:tcW w:w="7600" w:type="dxa"/>
            <w:tcBorders>
              <w:top w:val="nil"/>
              <w:left w:val="nil"/>
              <w:bottom w:val="nil"/>
              <w:right w:val="nil"/>
            </w:tcBorders>
            <w:shd w:val="clear" w:color="auto" w:fill="auto"/>
            <w:hideMark/>
          </w:tcPr>
          <w:p w:rsidR="00BD5AC2" w:rsidRPr="00167BB3" w:rsidRDefault="00BD5AC2" w:rsidP="004E2C4E">
            <w:pPr>
              <w:spacing w:after="0" w:line="240" w:lineRule="auto"/>
              <w:rPr>
                <w:rFonts w:ascii="Calibri" w:eastAsia="Times New Roman" w:hAnsi="Calibri" w:cs="Times New Roman"/>
                <w:i/>
                <w:iCs/>
                <w:lang w:eastAsia="en-NZ"/>
              </w:rPr>
            </w:pPr>
            <w:r w:rsidRPr="00167BB3">
              <w:rPr>
                <w:rFonts w:ascii="Calibri" w:eastAsia="Times New Roman" w:hAnsi="Calibri" w:cs="Times New Roman"/>
                <w:i/>
                <w:iCs/>
                <w:lang w:eastAsia="en-NZ"/>
              </w:rPr>
              <w:t>Which of the following best describes your feelings about your sexual orientation or identification at present</w:t>
            </w:r>
            <w:proofErr w:type="gramStart"/>
            <w:r w:rsidRPr="00167BB3">
              <w:rPr>
                <w:rFonts w:ascii="Calibri" w:eastAsia="Times New Roman" w:hAnsi="Calibri" w:cs="Times New Roman"/>
                <w:i/>
                <w:iCs/>
                <w:lang w:eastAsia="en-NZ"/>
              </w:rPr>
              <w:t>?:</w:t>
            </w:r>
            <w:proofErr w:type="gramEnd"/>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1.  100% heterosexual (attracted to persons of the opposite sex – straight)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2.</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Mostly heterosexual (straight)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3.  Bisexual (equally attracted to men and women)</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4.  Mostly homosexual (gay/lesbian)</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5.</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100% homosexual (gay/lesbian; attracted to persons of the same-sex)</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9.</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Not sure</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attraction:</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i/>
                <w:iCs/>
                <w:lang w:eastAsia="en-NZ"/>
              </w:rPr>
            </w:pPr>
            <w:r w:rsidRPr="00167BB3">
              <w:rPr>
                <w:rFonts w:ascii="Calibri" w:eastAsia="Times New Roman" w:hAnsi="Calibri" w:cs="Times New Roman"/>
                <w:i/>
                <w:iCs/>
                <w:lang w:eastAsia="en-NZ"/>
              </w:rPr>
              <w:t>Which of the following best describes your sexual feelings at present</w:t>
            </w:r>
            <w:proofErr w:type="gramStart"/>
            <w:r w:rsidRPr="00167BB3">
              <w:rPr>
                <w:rFonts w:ascii="Calibri" w:eastAsia="Times New Roman" w:hAnsi="Calibri" w:cs="Times New Roman"/>
                <w:i/>
                <w:iCs/>
                <w:lang w:eastAsia="en-NZ"/>
              </w:rPr>
              <w:t>?:</w:t>
            </w:r>
            <w:proofErr w:type="gramEnd"/>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r>
      <w:tr w:rsidR="00BD5AC2" w:rsidRPr="00167BB3" w:rsidTr="004E2C4E">
        <w:trPr>
          <w:trHeight w:val="600"/>
        </w:trPr>
        <w:tc>
          <w:tcPr>
            <w:tcW w:w="7600" w:type="dxa"/>
            <w:tcBorders>
              <w:top w:val="nil"/>
              <w:left w:val="nil"/>
              <w:bottom w:val="nil"/>
              <w:right w:val="nil"/>
            </w:tcBorders>
            <w:shd w:val="clear" w:color="auto" w:fill="auto"/>
            <w:vAlign w:val="center"/>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1.</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I am only attracted to people of the same-sex as me, and I will only be sexual with people of the same-sex as me</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600"/>
        </w:trPr>
        <w:tc>
          <w:tcPr>
            <w:tcW w:w="7600" w:type="dxa"/>
            <w:tcBorders>
              <w:top w:val="nil"/>
              <w:left w:val="nil"/>
              <w:bottom w:val="nil"/>
              <w:right w:val="nil"/>
            </w:tcBorders>
            <w:shd w:val="clear" w:color="auto" w:fill="auto"/>
            <w:vAlign w:val="center"/>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2.  I am strongly attracted to people of the same-sex as me, and most of my sexual experiences will be with persons of the same-sex as me</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600"/>
        </w:trPr>
        <w:tc>
          <w:tcPr>
            <w:tcW w:w="7600" w:type="dxa"/>
            <w:tcBorders>
              <w:top w:val="nil"/>
              <w:left w:val="nil"/>
              <w:bottom w:val="nil"/>
              <w:right w:val="nil"/>
            </w:tcBorders>
            <w:shd w:val="clear" w:color="auto" w:fill="auto"/>
            <w:vAlign w:val="center"/>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 xml:space="preserve">3. </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I am equally attracted to men and women and would like to be sexual with both</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600"/>
        </w:trPr>
        <w:tc>
          <w:tcPr>
            <w:tcW w:w="7600" w:type="dxa"/>
            <w:tcBorders>
              <w:top w:val="nil"/>
              <w:left w:val="nil"/>
              <w:bottom w:val="nil"/>
              <w:right w:val="nil"/>
            </w:tcBorders>
            <w:shd w:val="clear" w:color="auto" w:fill="auto"/>
            <w:vAlign w:val="center"/>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4.</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I am strongly attracted to people of the opposite sex, and most of my sexual experience will be with people of the opposite sex</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600"/>
        </w:trPr>
        <w:tc>
          <w:tcPr>
            <w:tcW w:w="7600" w:type="dxa"/>
            <w:tcBorders>
              <w:top w:val="nil"/>
              <w:left w:val="nil"/>
              <w:bottom w:val="nil"/>
              <w:right w:val="nil"/>
            </w:tcBorders>
            <w:shd w:val="clear" w:color="auto" w:fill="auto"/>
            <w:vAlign w:val="center"/>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5.  I am only attracted to people of the opposite sex, and I will only be sexual with people of the opposite sex</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fantasy:</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i/>
                <w:iCs/>
                <w:lang w:eastAsia="en-NZ"/>
              </w:rPr>
            </w:pPr>
            <w:r w:rsidRPr="00167BB3">
              <w:rPr>
                <w:rFonts w:ascii="Calibri" w:eastAsia="Times New Roman" w:hAnsi="Calibri" w:cs="Times New Roman"/>
                <w:i/>
                <w:iCs/>
                <w:lang w:eastAsia="en-NZ"/>
              </w:rPr>
              <w:t>When you think or daydream about sex, do you think about</w:t>
            </w:r>
            <w:proofErr w:type="gramStart"/>
            <w:r w:rsidRPr="00167BB3">
              <w:rPr>
                <w:rFonts w:ascii="Calibri" w:eastAsia="Times New Roman" w:hAnsi="Calibri" w:cs="Times New Roman"/>
                <w:i/>
                <w:iCs/>
                <w:lang w:eastAsia="en-NZ"/>
              </w:rPr>
              <w:t>?:</w:t>
            </w:r>
            <w:proofErr w:type="gramEnd"/>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Wingdings" w:eastAsia="Times New Roman" w:hAnsi="Wingdings" w:cs="Times New Roman"/>
                <w:lang w:eastAsia="en-NZ"/>
              </w:rPr>
            </w:pPr>
            <w:r w:rsidRPr="00167BB3">
              <w:rPr>
                <w:rFonts w:ascii="Wingdings" w:eastAsia="Times New Roman" w:hAnsi="Wingdings" w:cs="Times New Roman"/>
                <w:lang w:eastAsia="en-NZ"/>
              </w:rPr>
              <w:t></w:t>
            </w:r>
          </w:p>
        </w:tc>
      </w:tr>
      <w:tr w:rsidR="00BD5AC2" w:rsidRPr="00167BB3" w:rsidTr="004E2C4E">
        <w:trPr>
          <w:trHeight w:val="300"/>
        </w:trPr>
        <w:tc>
          <w:tcPr>
            <w:tcW w:w="7600"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1.  Males only</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 xml:space="preserve">2. </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Females only</w:t>
            </w: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560"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7600" w:type="dxa"/>
            <w:tcBorders>
              <w:top w:val="nil"/>
              <w:left w:val="nil"/>
              <w:bottom w:val="single" w:sz="4" w:space="0" w:color="auto"/>
              <w:right w:val="nil"/>
            </w:tcBorders>
            <w:shd w:val="clear" w:color="auto" w:fill="auto"/>
            <w:noWrap/>
            <w:vAlign w:val="center"/>
            <w:hideMark/>
          </w:tcPr>
          <w:p w:rsidR="00BD5AC2" w:rsidRPr="00167BB3" w:rsidRDefault="00BD5AC2" w:rsidP="004E2C4E">
            <w:pPr>
              <w:spacing w:after="0" w:line="240" w:lineRule="auto"/>
              <w:ind w:firstLineChars="200" w:firstLine="440"/>
              <w:rPr>
                <w:rFonts w:ascii="Calibri" w:eastAsia="Times New Roman" w:hAnsi="Calibri" w:cs="Times New Roman"/>
                <w:lang w:eastAsia="en-NZ"/>
              </w:rPr>
            </w:pPr>
            <w:r w:rsidRPr="00167BB3">
              <w:rPr>
                <w:rFonts w:ascii="Calibri" w:eastAsia="Times New Roman" w:hAnsi="Calibri" w:cs="Times New Roman"/>
                <w:lang w:eastAsia="en-NZ"/>
              </w:rPr>
              <w:t>3.  Both males and females</w:t>
            </w:r>
          </w:p>
        </w:tc>
        <w:tc>
          <w:tcPr>
            <w:tcW w:w="560"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w:t>
            </w:r>
          </w:p>
        </w:tc>
        <w:tc>
          <w:tcPr>
            <w:tcW w:w="560"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w:t>
            </w:r>
          </w:p>
        </w:tc>
        <w:tc>
          <w:tcPr>
            <w:tcW w:w="560"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w:t>
            </w:r>
          </w:p>
        </w:tc>
        <w:tc>
          <w:tcPr>
            <w:tcW w:w="560"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w:t>
            </w:r>
          </w:p>
        </w:tc>
        <w:tc>
          <w:tcPr>
            <w:tcW w:w="560"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w:t>
            </w:r>
          </w:p>
        </w:tc>
      </w:tr>
    </w:tbl>
    <w:p w:rsidR="00BD5AC2" w:rsidRPr="00167BB3" w:rsidRDefault="00BD5AC2" w:rsidP="00BD5AC2">
      <w:pPr>
        <w:spacing w:after="0" w:line="240" w:lineRule="auto"/>
      </w:pPr>
    </w:p>
    <w:p w:rsidR="00BD5AC2" w:rsidRPr="00167BB3" w:rsidRDefault="00BD5AC2" w:rsidP="00BD5AC2">
      <w:pPr>
        <w:spacing w:after="0" w:line="240" w:lineRule="auto"/>
      </w:pPr>
    </w:p>
    <w:p w:rsidR="00BD5AC2" w:rsidRPr="00167BB3" w:rsidRDefault="00BD5AC2" w:rsidP="00BD5AC2">
      <w:pPr>
        <w:sectPr w:rsidR="00BD5AC2" w:rsidRPr="00167BB3" w:rsidSect="009143F0">
          <w:footerReference w:type="default" r:id="rId5"/>
          <w:pgSz w:w="11906" w:h="16838"/>
          <w:pgMar w:top="1440" w:right="1440" w:bottom="1440" w:left="851" w:header="708" w:footer="708" w:gutter="0"/>
          <w:cols w:space="708"/>
          <w:docGrid w:linePitch="360"/>
        </w:sectPr>
      </w:pPr>
    </w:p>
    <w:p w:rsidR="00BD5AC2" w:rsidRPr="00167BB3" w:rsidRDefault="00BD5AC2" w:rsidP="00BD5AC2"/>
    <w:p w:rsidR="00BD5AC2" w:rsidRPr="00167BB3" w:rsidRDefault="00BD5AC2" w:rsidP="00BD5AC2">
      <w:pPr>
        <w:spacing w:after="0" w:line="240" w:lineRule="auto"/>
        <w:ind w:left="-1134"/>
      </w:pPr>
      <w:r w:rsidRPr="00167BB3">
        <w:t>Supplementary Table 2: Distribution of observed responses and sample sizes for sexuality questions by age and sex</w:t>
      </w:r>
    </w:p>
    <w:tbl>
      <w:tblPr>
        <w:tblW w:w="16527" w:type="dxa"/>
        <w:tblInd w:w="-1185" w:type="dxa"/>
        <w:tblLook w:val="04A0" w:firstRow="1" w:lastRow="0" w:firstColumn="1" w:lastColumn="0" w:noHBand="0" w:noVBand="1"/>
      </w:tblPr>
      <w:tblGrid>
        <w:gridCol w:w="2694"/>
        <w:gridCol w:w="1134"/>
        <w:gridCol w:w="1134"/>
        <w:gridCol w:w="1134"/>
        <w:gridCol w:w="1134"/>
        <w:gridCol w:w="1185"/>
        <w:gridCol w:w="1166"/>
        <w:gridCol w:w="1134"/>
        <w:gridCol w:w="1134"/>
        <w:gridCol w:w="1134"/>
        <w:gridCol w:w="1276"/>
        <w:gridCol w:w="1134"/>
        <w:gridCol w:w="1134"/>
      </w:tblGrid>
      <w:tr w:rsidR="00BD5AC2" w:rsidRPr="00167BB3" w:rsidTr="004E2C4E">
        <w:trPr>
          <w:trHeight w:val="300"/>
        </w:trPr>
        <w:tc>
          <w:tcPr>
            <w:tcW w:w="2694" w:type="dxa"/>
            <w:tcBorders>
              <w:top w:val="single" w:sz="4" w:space="0" w:color="auto"/>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 </w:t>
            </w:r>
          </w:p>
        </w:tc>
        <w:tc>
          <w:tcPr>
            <w:tcW w:w="4536" w:type="dxa"/>
            <w:gridSpan w:val="4"/>
            <w:tcBorders>
              <w:top w:val="single" w:sz="4" w:space="0" w:color="auto"/>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Total</w:t>
            </w:r>
          </w:p>
        </w:tc>
        <w:tc>
          <w:tcPr>
            <w:tcW w:w="4619" w:type="dxa"/>
            <w:gridSpan w:val="4"/>
            <w:tcBorders>
              <w:top w:val="single" w:sz="4" w:space="0" w:color="auto"/>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Males</w:t>
            </w:r>
          </w:p>
        </w:tc>
        <w:tc>
          <w:tcPr>
            <w:tcW w:w="4678" w:type="dxa"/>
            <w:gridSpan w:val="4"/>
            <w:tcBorders>
              <w:top w:val="single" w:sz="4" w:space="0" w:color="auto"/>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Females</w:t>
            </w:r>
          </w:p>
        </w:tc>
      </w:tr>
      <w:tr w:rsidR="00BD5AC2" w:rsidRPr="00167BB3" w:rsidTr="004E2C4E">
        <w:trPr>
          <w:trHeight w:val="300"/>
        </w:trPr>
        <w:tc>
          <w:tcPr>
            <w:tcW w:w="26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p>
        </w:tc>
        <w:tc>
          <w:tcPr>
            <w:tcW w:w="4536" w:type="dxa"/>
            <w:gridSpan w:val="4"/>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Age asked % (n)</w:t>
            </w:r>
          </w:p>
        </w:tc>
        <w:tc>
          <w:tcPr>
            <w:tcW w:w="4619" w:type="dxa"/>
            <w:gridSpan w:val="4"/>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Age asked % (n)</w:t>
            </w:r>
          </w:p>
        </w:tc>
        <w:tc>
          <w:tcPr>
            <w:tcW w:w="4678" w:type="dxa"/>
            <w:gridSpan w:val="4"/>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Age asked % (n)</w:t>
            </w:r>
          </w:p>
        </w:tc>
      </w:tr>
      <w:tr w:rsidR="00BD5AC2" w:rsidRPr="00167BB3" w:rsidTr="004E2C4E">
        <w:trPr>
          <w:trHeight w:val="300"/>
        </w:trPr>
        <w:tc>
          <w:tcPr>
            <w:tcW w:w="269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 </w:t>
            </w:r>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21</w:t>
            </w:r>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25</w:t>
            </w:r>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30</w:t>
            </w:r>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35</w:t>
            </w:r>
          </w:p>
        </w:tc>
        <w:tc>
          <w:tcPr>
            <w:tcW w:w="1185"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21</w:t>
            </w:r>
          </w:p>
        </w:tc>
        <w:tc>
          <w:tcPr>
            <w:tcW w:w="1166"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25</w:t>
            </w:r>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30</w:t>
            </w:r>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35</w:t>
            </w:r>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21</w:t>
            </w:r>
          </w:p>
        </w:tc>
        <w:tc>
          <w:tcPr>
            <w:tcW w:w="1276"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25</w:t>
            </w:r>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30</w:t>
            </w:r>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35</w:t>
            </w: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8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6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27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identity:</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(n=1011)</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(n=496)</w:t>
            </w:r>
          </w:p>
        </w:tc>
        <w:tc>
          <w:tcPr>
            <w:tcW w:w="116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(n=515)</w:t>
            </w:r>
          </w:p>
        </w:tc>
        <w:tc>
          <w:tcPr>
            <w:tcW w:w="127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Heterosexual</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98.0 (991)</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8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98.2 (487)</w:t>
            </w:r>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97.9 (504)</w:t>
            </w:r>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  Homosexual</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0.3 (3)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8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0.2 (1)</w:t>
            </w:r>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0.4 (2)</w:t>
            </w:r>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Bisexual</w:t>
            </w: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 (17)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8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 (8)</w:t>
            </w:r>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 (9)</w:t>
            </w:r>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r>
      <w:tr w:rsidR="00BD5AC2" w:rsidRPr="00167BB3" w:rsidTr="004E2C4E">
        <w:trPr>
          <w:trHeight w:val="300"/>
        </w:trPr>
        <w:tc>
          <w:tcPr>
            <w:tcW w:w="2694"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(n=992)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(n=983)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(n=959)</w:t>
            </w:r>
          </w:p>
        </w:tc>
        <w:tc>
          <w:tcPr>
            <w:tcW w:w="118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(n=483)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(n=477)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(n=461)</w:t>
            </w: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(n=509)</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(n=506)</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(n=498)</w:t>
            </w: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100% heterosexual</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90.0 (889)</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90.2 (887)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91.6 (878)</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93.8 (453)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94.8 (452)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94.1 (434)</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85.7 (436)</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86.0 (435)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89.2 (444)</w:t>
            </w: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Mostly heterosexual</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8.4 (83)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7.1 (70)</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6.2 (59)</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5.0 (24)</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3.6 (17)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4.3 (20)</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11.6 (59)</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10.5 (53)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7.8 (39)</w:t>
            </w: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Bisexual</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 (8)</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 (12)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 (8)</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0.2 (1)</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0.6 (3)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0.4 (2)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 (7)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 (9)</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 (6)</w:t>
            </w: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4.  Mostly homosexual</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 (8)</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0.4 (4)</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0.4 (4)</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 (4)</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0.0 (0)</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0.0 (0)</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 (4)</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 (4)</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 (4)</w:t>
            </w: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5.</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100% homosexual</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0.4 (4)</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 (10)</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 (10)</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0.2 (1)</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 (5)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 (5)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0.6 (3)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 (5)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 (5)</w:t>
            </w: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8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6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27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attraction:</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(n=997)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(n=985)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(n=960)</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(n=485)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(n=478)</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(n=462)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(n=512)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(n=507)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(n=498)</w:t>
            </w:r>
          </w:p>
        </w:tc>
      </w:tr>
      <w:tr w:rsidR="00BD5AC2" w:rsidRPr="00167BB3" w:rsidTr="004E2C4E">
        <w:trPr>
          <w:trHeight w:val="300"/>
        </w:trPr>
        <w:tc>
          <w:tcPr>
            <w:tcW w:w="2694"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Only to same-sex</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0.7 (7)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0.9 (9)</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 (11)</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0.4 (2)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 (4)</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 (5)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 (5)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 (5)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 (6)</w:t>
            </w:r>
          </w:p>
        </w:tc>
      </w:tr>
      <w:tr w:rsidR="00BD5AC2" w:rsidRPr="00167BB3" w:rsidTr="004E2C4E">
        <w:trPr>
          <w:trHeight w:val="300"/>
        </w:trPr>
        <w:tc>
          <w:tcPr>
            <w:tcW w:w="2694"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  Strongly to same-sex</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0.5 (5)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0.3 (3)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0.3 (3)</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0.6 (3)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0.2 (1)</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0.2 (1)</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0.4 (2)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0.4 (2)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0.4 (2)</w:t>
            </w:r>
          </w:p>
        </w:tc>
      </w:tr>
      <w:tr w:rsidR="00BD5AC2" w:rsidRPr="00167BB3" w:rsidTr="004E2C4E">
        <w:trPr>
          <w:trHeight w:val="300"/>
        </w:trPr>
        <w:tc>
          <w:tcPr>
            <w:tcW w:w="2694"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Equally to men/women</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 (8)</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 (13)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 (8)</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0.2 (1)</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0.6 (3)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0.2 (1)</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 (7)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 (10)</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 (7)</w:t>
            </w:r>
          </w:p>
        </w:tc>
      </w:tr>
      <w:tr w:rsidR="00BD5AC2" w:rsidRPr="00167BB3" w:rsidTr="004E2C4E">
        <w:trPr>
          <w:trHeight w:val="300"/>
        </w:trPr>
        <w:tc>
          <w:tcPr>
            <w:tcW w:w="2694"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4.</w:t>
            </w:r>
            <w:r w:rsidRPr="00167BB3">
              <w:rPr>
                <w:rFonts w:ascii="Times New Roman" w:eastAsia="Times New Roman" w:hAnsi="Times New Roman" w:cs="Times New Roman"/>
                <w:lang w:eastAsia="en-NZ"/>
              </w:rPr>
              <w:t xml:space="preserve"> S</w:t>
            </w:r>
            <w:r w:rsidRPr="00167BB3">
              <w:rPr>
                <w:rFonts w:ascii="Calibri" w:eastAsia="Times New Roman" w:hAnsi="Calibri" w:cs="Times New Roman"/>
                <w:lang w:eastAsia="en-NZ"/>
              </w:rPr>
              <w:t>trongly to opposite sex</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8.5 (85)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7.4 (73)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5.7 (55)</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4.3 (21)</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3.8 (18)</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3.5 (16)</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12.5 (64)</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10.9 (55)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7.8 (39)</w:t>
            </w:r>
          </w:p>
        </w:tc>
      </w:tr>
      <w:tr w:rsidR="00BD5AC2" w:rsidRPr="00167BB3" w:rsidTr="004E2C4E">
        <w:trPr>
          <w:trHeight w:val="300"/>
        </w:trPr>
        <w:tc>
          <w:tcPr>
            <w:tcW w:w="2694"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5.  Only to opposite sex</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89.5 (892)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90.1 (887)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92.0 (883)</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94.4 (458)</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94.6 (452)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95.0 (439)</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84.8 (434)</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85.8 (435)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89.2 (444)</w:t>
            </w: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8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6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27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fantasy:</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(n=996)</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(n=985)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(n=959)</w:t>
            </w:r>
          </w:p>
        </w:tc>
        <w:tc>
          <w:tcPr>
            <w:tcW w:w="118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(n=485)</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(n=478)</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(n=462)</w:t>
            </w: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(n=511)</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(n=507)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(n=497)</w:t>
            </w:r>
          </w:p>
        </w:tc>
      </w:tr>
      <w:tr w:rsidR="00BD5AC2" w:rsidRPr="00167BB3" w:rsidTr="004E2C4E">
        <w:trPr>
          <w:trHeight w:val="300"/>
        </w:trPr>
        <w:tc>
          <w:tcPr>
            <w:tcW w:w="2694"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Opposite sex only</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91.0 (906)</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91.8 (904)</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91.5 (877)</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96.1 (466)</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96.4 (461)</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96.5 (446)</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86.1 (440)</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87.4 (443)</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86.7 (431)</w:t>
            </w:r>
          </w:p>
        </w:tc>
      </w:tr>
      <w:tr w:rsidR="00BD5AC2" w:rsidRPr="00167BB3" w:rsidTr="004E2C4E">
        <w:trPr>
          <w:trHeight w:val="300"/>
        </w:trPr>
        <w:tc>
          <w:tcPr>
            <w:tcW w:w="2694"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 xml:space="preserve">2. </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Both-sex</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7.2 (72)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6.3 (62)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7.0 (67)</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 (10)</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 (10)</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2.2 (10)</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12.1 (62)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10.3 (52)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11.5 (57)</w:t>
            </w:r>
          </w:p>
        </w:tc>
      </w:tr>
      <w:tr w:rsidR="00BD5AC2" w:rsidRPr="00167BB3" w:rsidTr="004E2C4E">
        <w:trPr>
          <w:trHeight w:val="300"/>
        </w:trPr>
        <w:tc>
          <w:tcPr>
            <w:tcW w:w="2694"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Same-sex only</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 (18)</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 (19)</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 (15)</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 (9)</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 (7)</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 (6)</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 (9)</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 (12)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 (9)</w:t>
            </w:r>
          </w:p>
        </w:tc>
      </w:tr>
      <w:tr w:rsidR="00BD5AC2" w:rsidRPr="00167BB3" w:rsidTr="004E2C4E">
        <w:trPr>
          <w:trHeight w:val="300"/>
        </w:trPr>
        <w:tc>
          <w:tcPr>
            <w:tcW w:w="2694"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ind w:firstLineChars="200" w:firstLine="400"/>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8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6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27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behaviour:</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(n=1040)</w:t>
            </w:r>
          </w:p>
        </w:tc>
        <w:tc>
          <w:tcPr>
            <w:tcW w:w="118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16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(n=511)</w:t>
            </w: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27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(n=529)</w:t>
            </w:r>
          </w:p>
        </w:tc>
      </w:tr>
      <w:tr w:rsidR="00BD5AC2" w:rsidRPr="00167BB3" w:rsidTr="004E2C4E">
        <w:trPr>
          <w:trHeight w:val="300"/>
        </w:trPr>
        <w:tc>
          <w:tcPr>
            <w:tcW w:w="26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lastRenderedPageBreak/>
              <w:t xml:space="preserve">Ever reported a same-sex sexual </w:t>
            </w:r>
            <w:proofErr w:type="spellStart"/>
            <w:r w:rsidRPr="00167BB3">
              <w:rPr>
                <w:rFonts w:ascii="Calibri" w:eastAsia="Times New Roman" w:hAnsi="Calibri" w:cs="Times New Roman"/>
                <w:lang w:eastAsia="en-NZ"/>
              </w:rPr>
              <w:t>experience</w:t>
            </w:r>
            <w:r w:rsidRPr="00167BB3">
              <w:rPr>
                <w:rFonts w:ascii="Calibri" w:eastAsia="Times New Roman" w:hAnsi="Calibri" w:cs="Times New Roman"/>
                <w:vertAlign w:val="superscript"/>
                <w:lang w:eastAsia="en-NZ"/>
              </w:rPr>
              <w:t>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14.3 (149)</w:t>
            </w:r>
          </w:p>
        </w:tc>
        <w:tc>
          <w:tcPr>
            <w:tcW w:w="118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8.2 (42)</w:t>
            </w:r>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20.2 (107)</w:t>
            </w:r>
          </w:p>
        </w:tc>
      </w:tr>
      <w:tr w:rsidR="00BD5AC2" w:rsidRPr="00167BB3" w:rsidTr="004E2C4E">
        <w:trPr>
          <w:trHeight w:val="300"/>
        </w:trPr>
        <w:tc>
          <w:tcPr>
            <w:tcW w:w="269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 xml:space="preserve">Ever reported a same-sex sexual </w:t>
            </w:r>
            <w:proofErr w:type="spellStart"/>
            <w:r w:rsidRPr="00167BB3">
              <w:rPr>
                <w:rFonts w:ascii="Calibri" w:eastAsia="Times New Roman" w:hAnsi="Calibri" w:cs="Times New Roman"/>
                <w:lang w:eastAsia="en-NZ"/>
              </w:rPr>
              <w:t>relationship</w:t>
            </w:r>
            <w:r w:rsidRPr="00167BB3">
              <w:rPr>
                <w:rFonts w:ascii="Calibri" w:eastAsia="Times New Roman" w:hAnsi="Calibri" w:cs="Times New Roman"/>
                <w:vertAlign w:val="superscript"/>
                <w:lang w:eastAsia="en-NZ"/>
              </w:rPr>
              <w:t>b</w:t>
            </w:r>
            <w:proofErr w:type="spellEnd"/>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5.7 (62)</w:t>
            </w:r>
          </w:p>
        </w:tc>
        <w:tc>
          <w:tcPr>
            <w:tcW w:w="1185"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66"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3.3 (17)</w:t>
            </w:r>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276"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proofErr w:type="spellStart"/>
            <w:r w:rsidRPr="00167BB3">
              <w:rPr>
                <w:rFonts w:ascii="Calibri" w:eastAsia="Times New Roman" w:hAnsi="Calibri" w:cs="Times New Roman"/>
                <w:lang w:eastAsia="en-NZ"/>
              </w:rPr>
              <w:t>na</w:t>
            </w:r>
            <w:proofErr w:type="spellEnd"/>
          </w:p>
        </w:tc>
        <w:tc>
          <w:tcPr>
            <w:tcW w:w="1134"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8.5 (45)</w:t>
            </w:r>
          </w:p>
        </w:tc>
      </w:tr>
    </w:tbl>
    <w:p w:rsidR="00BD5AC2" w:rsidRPr="00167BB3" w:rsidRDefault="00BD5AC2" w:rsidP="00BD5AC2">
      <w:pPr>
        <w:spacing w:after="0" w:line="240" w:lineRule="auto"/>
        <w:ind w:left="-1134"/>
        <w:rPr>
          <w:rFonts w:ascii="Calibri" w:eastAsia="Times New Roman" w:hAnsi="Calibri" w:cs="Times New Roman"/>
          <w:lang w:eastAsia="en-NZ"/>
        </w:rPr>
      </w:pPr>
      <w:proofErr w:type="spellStart"/>
      <w:proofErr w:type="gramStart"/>
      <w:r w:rsidRPr="00167BB3">
        <w:rPr>
          <w:rFonts w:ascii="Calibri" w:eastAsia="Times New Roman" w:hAnsi="Calibri" w:cs="Times New Roman"/>
          <w:vertAlign w:val="superscript"/>
          <w:lang w:eastAsia="en-NZ"/>
        </w:rPr>
        <w:t>a</w:t>
      </w:r>
      <w:proofErr w:type="spellEnd"/>
      <w:proofErr w:type="gramEnd"/>
      <w:r w:rsidRPr="00167BB3">
        <w:rPr>
          <w:rFonts w:ascii="Calibri" w:eastAsia="Times New Roman" w:hAnsi="Calibri" w:cs="Times New Roman"/>
          <w:lang w:eastAsia="en-NZ"/>
        </w:rPr>
        <w:t xml:space="preserve"> asked at ages 25, 30 and 35</w:t>
      </w:r>
    </w:p>
    <w:p w:rsidR="00BD5AC2" w:rsidRPr="00167BB3" w:rsidRDefault="00BD5AC2" w:rsidP="00BD5AC2">
      <w:pPr>
        <w:spacing w:after="0" w:line="240" w:lineRule="auto"/>
        <w:ind w:left="-1134"/>
        <w:rPr>
          <w:rFonts w:ascii="Calibri" w:eastAsia="Times New Roman" w:hAnsi="Calibri" w:cs="Times New Roman"/>
          <w:lang w:eastAsia="en-NZ"/>
        </w:rPr>
      </w:pPr>
      <w:proofErr w:type="gramStart"/>
      <w:r w:rsidRPr="00167BB3">
        <w:rPr>
          <w:rFonts w:ascii="Calibri" w:eastAsia="Times New Roman" w:hAnsi="Calibri" w:cs="Times New Roman"/>
          <w:vertAlign w:val="superscript"/>
          <w:lang w:eastAsia="en-NZ"/>
        </w:rPr>
        <w:t>b</w:t>
      </w:r>
      <w:proofErr w:type="gramEnd"/>
      <w:r w:rsidRPr="00167BB3">
        <w:rPr>
          <w:rFonts w:ascii="Calibri" w:eastAsia="Times New Roman" w:hAnsi="Calibri" w:cs="Times New Roman"/>
          <w:lang w:eastAsia="en-NZ"/>
        </w:rPr>
        <w:t xml:space="preserve"> asked at ages 18, 21, 25, 30 and 35</w:t>
      </w:r>
    </w:p>
    <w:p w:rsidR="00BD5AC2" w:rsidRPr="00167BB3" w:rsidRDefault="00BD5AC2" w:rsidP="00BD5AC2"/>
    <w:p w:rsidR="00BD5AC2" w:rsidRPr="00167BB3" w:rsidRDefault="00BD5AC2" w:rsidP="00BD5AC2">
      <w:r w:rsidRPr="00167BB3">
        <w:br w:type="page"/>
      </w:r>
    </w:p>
    <w:p w:rsidR="00BD5AC2" w:rsidRPr="00167BB3" w:rsidRDefault="00BD5AC2" w:rsidP="00BD5AC2"/>
    <w:p w:rsidR="00BD5AC2" w:rsidRPr="00167BB3" w:rsidRDefault="00BD5AC2" w:rsidP="00BD5AC2">
      <w:pPr>
        <w:spacing w:after="0" w:line="240" w:lineRule="auto"/>
      </w:pPr>
    </w:p>
    <w:p w:rsidR="00BD5AC2" w:rsidRPr="00167BB3" w:rsidRDefault="00BD5AC2" w:rsidP="00BD5AC2">
      <w:pPr>
        <w:spacing w:after="0"/>
      </w:pPr>
      <w:r w:rsidRPr="00167BB3">
        <w:t>Supplementary Table 3: Sexuality group and covariate childhood variables</w:t>
      </w:r>
    </w:p>
    <w:tbl>
      <w:tblPr>
        <w:tblW w:w="12900" w:type="dxa"/>
        <w:tblLayout w:type="fixed"/>
        <w:tblLook w:val="04A0" w:firstRow="1" w:lastRow="0" w:firstColumn="1" w:lastColumn="0" w:noHBand="0" w:noVBand="1"/>
      </w:tblPr>
      <w:tblGrid>
        <w:gridCol w:w="5387"/>
        <w:gridCol w:w="772"/>
        <w:gridCol w:w="1447"/>
        <w:gridCol w:w="1447"/>
        <w:gridCol w:w="1447"/>
        <w:gridCol w:w="1447"/>
        <w:gridCol w:w="953"/>
      </w:tblGrid>
      <w:tr w:rsidR="00BD5AC2" w:rsidRPr="00167BB3" w:rsidTr="004E2C4E">
        <w:trPr>
          <w:trHeight w:val="945"/>
        </w:trPr>
        <w:tc>
          <w:tcPr>
            <w:tcW w:w="5387" w:type="dxa"/>
            <w:tcBorders>
              <w:top w:val="single" w:sz="4" w:space="0" w:color="auto"/>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 </w:t>
            </w:r>
          </w:p>
        </w:tc>
        <w:tc>
          <w:tcPr>
            <w:tcW w:w="772" w:type="dxa"/>
            <w:tcBorders>
              <w:top w:val="single" w:sz="4" w:space="0" w:color="auto"/>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N</w:t>
            </w:r>
          </w:p>
        </w:tc>
        <w:tc>
          <w:tcPr>
            <w:tcW w:w="1447" w:type="dxa"/>
            <w:tcBorders>
              <w:top w:val="single" w:sz="4" w:space="0" w:color="auto"/>
              <w:left w:val="nil"/>
              <w:bottom w:val="single" w:sz="4" w:space="0" w:color="auto"/>
              <w:right w:val="nil"/>
            </w:tcBorders>
            <w:shd w:val="clear" w:color="auto" w:fill="auto"/>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Heterosexual %/</w:t>
            </w:r>
          </w:p>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Mean (SD)</w:t>
            </w:r>
          </w:p>
        </w:tc>
        <w:tc>
          <w:tcPr>
            <w:tcW w:w="1447" w:type="dxa"/>
            <w:tcBorders>
              <w:top w:val="single" w:sz="4" w:space="0" w:color="auto"/>
              <w:left w:val="nil"/>
              <w:bottom w:val="single" w:sz="4" w:space="0" w:color="auto"/>
              <w:right w:val="nil"/>
            </w:tcBorders>
            <w:shd w:val="clear" w:color="auto" w:fill="auto"/>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Mostly Heterosexual %/</w:t>
            </w:r>
          </w:p>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Mean (SD)</w:t>
            </w:r>
          </w:p>
        </w:tc>
        <w:tc>
          <w:tcPr>
            <w:tcW w:w="1447" w:type="dxa"/>
            <w:tcBorders>
              <w:top w:val="single" w:sz="4" w:space="0" w:color="auto"/>
              <w:left w:val="nil"/>
              <w:bottom w:val="single" w:sz="4" w:space="0" w:color="auto"/>
              <w:right w:val="nil"/>
            </w:tcBorders>
            <w:shd w:val="clear" w:color="auto" w:fill="auto"/>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Bisexual</w:t>
            </w:r>
          </w:p>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w:t>
            </w:r>
          </w:p>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Mean (SD)</w:t>
            </w:r>
          </w:p>
        </w:tc>
        <w:tc>
          <w:tcPr>
            <w:tcW w:w="1447" w:type="dxa"/>
            <w:tcBorders>
              <w:top w:val="single" w:sz="4" w:space="0" w:color="auto"/>
              <w:left w:val="nil"/>
              <w:bottom w:val="single" w:sz="4" w:space="0" w:color="auto"/>
              <w:right w:val="nil"/>
            </w:tcBorders>
            <w:shd w:val="clear" w:color="auto" w:fill="auto"/>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Gay/lesbian %/</w:t>
            </w:r>
          </w:p>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Mean (SD)</w:t>
            </w:r>
          </w:p>
        </w:tc>
        <w:tc>
          <w:tcPr>
            <w:tcW w:w="953" w:type="dxa"/>
            <w:tcBorders>
              <w:top w:val="single" w:sz="4" w:space="0" w:color="auto"/>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i/>
                <w:iCs/>
                <w:lang w:eastAsia="en-NZ"/>
              </w:rPr>
            </w:pPr>
            <w:r w:rsidRPr="00167BB3">
              <w:rPr>
                <w:rFonts w:ascii="Calibri" w:eastAsia="Times New Roman" w:hAnsi="Calibri" w:cs="Times New Roman"/>
                <w:i/>
                <w:iCs/>
                <w:lang w:eastAsia="en-NZ"/>
              </w:rPr>
              <w:t>p</w:t>
            </w: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Socio-economic status</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953"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Low family socio-economic status at birth (%)</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1040</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24.7</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25.2</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22.2</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35.0</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0.0423</w:t>
            </w:r>
          </w:p>
        </w:tc>
      </w:tr>
      <w:tr w:rsidR="00BD5AC2" w:rsidRPr="00167BB3" w:rsidTr="004E2C4E">
        <w:trPr>
          <w:trHeight w:val="345"/>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Father lacks formal educational qualifications (%)</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1007</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49.6</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38.7</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36.1</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42.1</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0.0571</w:t>
            </w:r>
          </w:p>
        </w:tc>
      </w:tr>
      <w:tr w:rsidR="00BD5AC2" w:rsidRPr="00167BB3" w:rsidTr="004E2C4E">
        <w:trPr>
          <w:trHeight w:val="345"/>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Mother lacks formal educational qualifications (%)</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1040</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50.5</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46.6</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41.7</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45.0</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0.6037</w:t>
            </w: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Family factors</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953"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Changes of parents (to age 15) Mean (SD)</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1040</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 (2.3)</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 (1.9)</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 (3.1)</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3.1 (4.9)</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0.0011</w:t>
            </w: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Family violence and child abuse</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45"/>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Any childhood sexual abuse (to age 16) (%)</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1037</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10.1</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31.3</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33.3</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45.0</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&lt;0.0001</w:t>
            </w:r>
          </w:p>
        </w:tc>
      </w:tr>
      <w:tr w:rsidR="00BD5AC2" w:rsidRPr="00167BB3" w:rsidTr="004E2C4E">
        <w:trPr>
          <w:trHeight w:val="345"/>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P</w:t>
            </w:r>
            <w:r w:rsidRPr="00167BB3">
              <w:rPr>
                <w:rFonts w:ascii="Calibri" w:eastAsia="Times New Roman" w:hAnsi="Calibri" w:cs="Times New Roman"/>
                <w:lang w:eastAsia="en-NZ"/>
              </w:rPr>
              <w:t>arental intimate partner violence (to age 16) (% &gt; Q3)</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1009</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20.9</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26.9</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28.6</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42.1</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0.0526</w:t>
            </w: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Individual factors</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47" w:type="dxa"/>
            <w:tcBorders>
              <w:top w:val="nil"/>
              <w:left w:val="nil"/>
              <w:bottom w:val="nil"/>
              <w:right w:val="nil"/>
            </w:tcBorders>
            <w:shd w:val="clear" w:color="auto" w:fill="auto"/>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953"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A</w:t>
            </w:r>
            <w:r w:rsidRPr="00167BB3">
              <w:rPr>
                <w:rFonts w:ascii="Calibri" w:eastAsia="Times New Roman" w:hAnsi="Calibri" w:cs="Times New Roman"/>
                <w:lang w:eastAsia="en-NZ"/>
              </w:rPr>
              <w:t>ttention problems (ages 7-9) Mean (SD)</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1007</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20.2 (4.9)</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18.7 (4.4)</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20.2 (5.8)</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20.5 (6.4)</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0.0173</w:t>
            </w: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Conduct problems (ages 7-9) Mean SD)</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1007</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49.9 (7.7)</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48.5 (6.9)</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51.2 (8.5)</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52.8 (11.1)</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0.0519</w:t>
            </w: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Neuroticism (age 14) Mean (SD)</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1040</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14.1 (3.7)</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14.7 (3.8)</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15.1 (3.6)</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15.5 (3.2)</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0.0776</w:t>
            </w: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Novelty seeking (age 16) Mean (SD)</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1040</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18.1 (4.9)</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18.5 (4.8)</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20.3 (4.5)</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18.5 (4.7)</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0.0556</w:t>
            </w: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IQ (ages 8-9) Mean (SD)</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1040</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102.5 (14.2)</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106.2 (15.6)</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112.9 (15.7)</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100.7 (14.0)</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&lt;0.0001</w:t>
            </w: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GPA (ages 11-13) Mean (SD)</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1040</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2.6 (0.8)</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2.3 (0.9)</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 (0.8)</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 (0.9)</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&lt;0.0001</w:t>
            </w:r>
          </w:p>
        </w:tc>
      </w:tr>
      <w:tr w:rsidR="00BD5AC2" w:rsidRPr="00167BB3" w:rsidTr="004E2C4E">
        <w:trPr>
          <w:trHeight w:val="300"/>
        </w:trPr>
        <w:tc>
          <w:tcPr>
            <w:tcW w:w="538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Self-esteem (age 15)  Mean (SD)</w:t>
            </w:r>
          </w:p>
        </w:tc>
        <w:tc>
          <w:tcPr>
            <w:tcW w:w="77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1040</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41.3 (5.8)</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40.2 (6.4)</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40.8 (5.4)</w:t>
            </w:r>
          </w:p>
        </w:tc>
        <w:tc>
          <w:tcPr>
            <w:tcW w:w="1447"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38.9 (4.9)</w:t>
            </w:r>
          </w:p>
        </w:tc>
        <w:tc>
          <w:tcPr>
            <w:tcW w:w="953"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0.0688</w:t>
            </w:r>
          </w:p>
        </w:tc>
      </w:tr>
      <w:tr w:rsidR="00BD5AC2" w:rsidRPr="00167BB3" w:rsidTr="004E2C4E">
        <w:trPr>
          <w:trHeight w:val="300"/>
        </w:trPr>
        <w:tc>
          <w:tcPr>
            <w:tcW w:w="5387"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Internalising symptoms (ages 7-9)</w:t>
            </w:r>
          </w:p>
        </w:tc>
        <w:tc>
          <w:tcPr>
            <w:tcW w:w="772"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1007</w:t>
            </w:r>
          </w:p>
        </w:tc>
        <w:tc>
          <w:tcPr>
            <w:tcW w:w="1447"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26.0 (3.5)</w:t>
            </w:r>
          </w:p>
        </w:tc>
        <w:tc>
          <w:tcPr>
            <w:tcW w:w="1447"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25.6 (3.4)</w:t>
            </w:r>
          </w:p>
        </w:tc>
        <w:tc>
          <w:tcPr>
            <w:tcW w:w="1447"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27.1 (3.4)</w:t>
            </w:r>
          </w:p>
        </w:tc>
        <w:tc>
          <w:tcPr>
            <w:tcW w:w="1447"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28.0 (4.9)</w:t>
            </w:r>
          </w:p>
        </w:tc>
        <w:tc>
          <w:tcPr>
            <w:tcW w:w="953"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0.0097</w:t>
            </w:r>
          </w:p>
        </w:tc>
      </w:tr>
    </w:tbl>
    <w:p w:rsidR="00BD5AC2" w:rsidRPr="00167BB3" w:rsidRDefault="00BD5AC2" w:rsidP="00BD5AC2"/>
    <w:p w:rsidR="00BD5AC2" w:rsidRPr="00167BB3" w:rsidRDefault="00BD5AC2" w:rsidP="00BD5AC2">
      <w:pPr>
        <w:sectPr w:rsidR="00BD5AC2" w:rsidRPr="00167BB3" w:rsidSect="007410D2">
          <w:pgSz w:w="16838" w:h="11906" w:orient="landscape"/>
          <w:pgMar w:top="851" w:right="1440" w:bottom="1440" w:left="1440" w:header="708" w:footer="708" w:gutter="0"/>
          <w:cols w:space="708"/>
          <w:docGrid w:linePitch="360"/>
        </w:sectPr>
      </w:pPr>
    </w:p>
    <w:p w:rsidR="00BD5AC2" w:rsidRPr="00167BB3" w:rsidRDefault="00BD5AC2" w:rsidP="00BD5AC2"/>
    <w:p w:rsidR="00BD5AC2" w:rsidRPr="00167BB3" w:rsidRDefault="00BD5AC2" w:rsidP="00BD5AC2">
      <w:pPr>
        <w:spacing w:after="0" w:line="240" w:lineRule="auto"/>
        <w:ind w:left="-567"/>
      </w:pPr>
      <w:r w:rsidRPr="00167BB3">
        <w:t>Supplementary Table 4: Fitted latent class model parameters (standard errors) for 4-class model</w:t>
      </w:r>
    </w:p>
    <w:tbl>
      <w:tblPr>
        <w:tblW w:w="10207" w:type="dxa"/>
        <w:jc w:val="center"/>
        <w:tblLayout w:type="fixed"/>
        <w:tblLook w:val="04A0" w:firstRow="1" w:lastRow="0" w:firstColumn="1" w:lastColumn="0" w:noHBand="0" w:noVBand="1"/>
      </w:tblPr>
      <w:tblGrid>
        <w:gridCol w:w="3828"/>
        <w:gridCol w:w="1594"/>
        <w:gridCol w:w="1595"/>
        <w:gridCol w:w="1595"/>
        <w:gridCol w:w="1595"/>
      </w:tblGrid>
      <w:tr w:rsidR="00BD5AC2" w:rsidRPr="00167BB3" w:rsidTr="004E2C4E">
        <w:trPr>
          <w:trHeight w:val="600"/>
          <w:jc w:val="center"/>
        </w:trPr>
        <w:tc>
          <w:tcPr>
            <w:tcW w:w="3828" w:type="dxa"/>
            <w:tcBorders>
              <w:top w:val="single" w:sz="4" w:space="0" w:color="auto"/>
              <w:left w:val="nil"/>
              <w:bottom w:val="single" w:sz="4" w:space="0" w:color="auto"/>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 </w:t>
            </w:r>
          </w:p>
        </w:tc>
        <w:tc>
          <w:tcPr>
            <w:tcW w:w="1594" w:type="dxa"/>
            <w:tcBorders>
              <w:top w:val="single" w:sz="4" w:space="0" w:color="auto"/>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Heterosexual</w:t>
            </w:r>
          </w:p>
        </w:tc>
        <w:tc>
          <w:tcPr>
            <w:tcW w:w="1595" w:type="dxa"/>
            <w:tcBorders>
              <w:top w:val="single" w:sz="4" w:space="0" w:color="auto"/>
              <w:left w:val="nil"/>
              <w:bottom w:val="single" w:sz="4" w:space="0" w:color="auto"/>
              <w:right w:val="nil"/>
            </w:tcBorders>
            <w:shd w:val="clear" w:color="auto" w:fill="auto"/>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Mostly Heterosexual</w:t>
            </w:r>
          </w:p>
        </w:tc>
        <w:tc>
          <w:tcPr>
            <w:tcW w:w="1595" w:type="dxa"/>
            <w:tcBorders>
              <w:top w:val="single" w:sz="4" w:space="0" w:color="auto"/>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Bisexual</w:t>
            </w:r>
          </w:p>
        </w:tc>
        <w:tc>
          <w:tcPr>
            <w:tcW w:w="1595" w:type="dxa"/>
            <w:tcBorders>
              <w:top w:val="single" w:sz="4" w:space="0" w:color="auto"/>
              <w:left w:val="nil"/>
              <w:bottom w:val="single" w:sz="4" w:space="0" w:color="auto"/>
              <w:right w:val="nil"/>
            </w:tcBorders>
            <w:shd w:val="clear" w:color="auto" w:fill="auto"/>
            <w:noWrap/>
            <w:hideMark/>
          </w:tcPr>
          <w:p w:rsidR="00BD5AC2" w:rsidRPr="00167BB3" w:rsidRDefault="00BD5AC2" w:rsidP="004E2C4E">
            <w:pPr>
              <w:spacing w:after="0" w:line="240" w:lineRule="auto"/>
              <w:jc w:val="center"/>
              <w:rPr>
                <w:rFonts w:ascii="Calibri" w:eastAsia="Times New Roman" w:hAnsi="Calibri" w:cs="Times New Roman"/>
                <w:b/>
                <w:bCs/>
                <w:lang w:eastAsia="en-NZ"/>
              </w:rPr>
            </w:pPr>
            <w:r w:rsidRPr="00167BB3">
              <w:rPr>
                <w:rFonts w:ascii="Calibri" w:eastAsia="Times New Roman" w:hAnsi="Calibri" w:cs="Times New Roman"/>
                <w:b/>
                <w:bCs/>
                <w:lang w:eastAsia="en-NZ"/>
              </w:rPr>
              <w:t>Gay/lesbian</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Probability of latent class membership</w:t>
            </w:r>
          </w:p>
        </w:tc>
        <w:tc>
          <w:tcPr>
            <w:tcW w:w="15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0.820 (0.012)</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0.126 (0.010)</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0.035 (0.006)</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0.019 (0.004)</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p>
        </w:tc>
        <w:tc>
          <w:tcPr>
            <w:tcW w:w="15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Response probabilities</w:t>
            </w:r>
          </w:p>
        </w:tc>
        <w:tc>
          <w:tcPr>
            <w:tcW w:w="15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identity (21 years)</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Heterosexual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0.966 (0.016)</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0.704 (0.097)</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0.741 (0.098)</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  Bisexual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0.034 (0.016)</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0.296 (0.097)</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0.111 (0.072)</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Homosexual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0.148 (0.079)</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identity (25 years)</w:t>
            </w:r>
            <w:r w:rsidRPr="00167BB3">
              <w:rPr>
                <w:rFonts w:ascii="Calibri" w:eastAsia="Times New Roman" w:hAnsi="Calibri" w:cs="Times New Roman"/>
                <w:b/>
                <w:bCs/>
                <w:vertAlign w:val="superscript"/>
                <w:lang w:eastAsia="en-NZ"/>
              </w:rPr>
              <w:t>b</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100% heterosexual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0.994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0.658 (0.058)</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0.030 (0.030)</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0.150 (0.080)</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Mostly heterosexual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0.006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0.342 (0.058)</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0.853 (0.071)</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0.050 (0.049)</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Bisexual/homosexual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0.117 (0.062)</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0.800 (0.089)</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attraction (25 years)</w:t>
            </w:r>
            <w:r w:rsidRPr="00167BB3">
              <w:rPr>
                <w:rFonts w:ascii="Calibri" w:eastAsia="Times New Roman" w:hAnsi="Calibri" w:cs="Times New Roman"/>
                <w:b/>
                <w:bCs/>
                <w:vertAlign w:val="superscript"/>
                <w:lang w:eastAsia="en-NZ"/>
              </w:rPr>
              <w:t>b</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Only to opposite sex</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0.995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0.704 (0.050)</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0.094 (0.084)</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r>
      <w:tr w:rsidR="00BD5AC2" w:rsidRPr="00167BB3" w:rsidTr="004E2C4E">
        <w:trPr>
          <w:trHeight w:val="300"/>
          <w:jc w:val="center"/>
        </w:trPr>
        <w:tc>
          <w:tcPr>
            <w:tcW w:w="3828"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  Strongly to opposite sex</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0.005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0.261 (0.049)</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0.792 (0.087)</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0.105 (0.071)</w:t>
            </w:r>
          </w:p>
        </w:tc>
      </w:tr>
      <w:tr w:rsidR="00BD5AC2" w:rsidRPr="00167BB3" w:rsidTr="004E2C4E">
        <w:trPr>
          <w:trHeight w:val="600"/>
          <w:jc w:val="center"/>
        </w:trPr>
        <w:tc>
          <w:tcPr>
            <w:tcW w:w="3828"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Equally to men and women</w:t>
            </w:r>
          </w:p>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or to same-sex</w:t>
            </w:r>
          </w:p>
        </w:tc>
        <w:tc>
          <w:tcPr>
            <w:tcW w:w="15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0.036 (0.016)</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0.114 (0.061)</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0.895 (0.071)</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fantasy (25 years)</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Opposite sex only</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0.994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0.736 (0.047)</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0.369 (0.111)</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(0.017)</w:t>
            </w:r>
          </w:p>
        </w:tc>
      </w:tr>
      <w:tr w:rsidR="00BD5AC2" w:rsidRPr="00167BB3" w:rsidTr="004E2C4E">
        <w:trPr>
          <w:trHeight w:val="300"/>
          <w:jc w:val="center"/>
        </w:trPr>
        <w:tc>
          <w:tcPr>
            <w:tcW w:w="3828"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 xml:space="preserve">2. </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Both-sex</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0.006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0.264 (0.047)</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0.572 (0.107)</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(0.017)</w:t>
            </w:r>
          </w:p>
        </w:tc>
      </w:tr>
      <w:tr w:rsidR="00BD5AC2" w:rsidRPr="00167BB3" w:rsidTr="004E2C4E">
        <w:trPr>
          <w:trHeight w:val="300"/>
          <w:jc w:val="center"/>
        </w:trPr>
        <w:tc>
          <w:tcPr>
            <w:tcW w:w="3828"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Same-sex only</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0.059 (0.039)</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1.000 (-)</w:t>
            </w:r>
            <w:r w:rsidRPr="00167BB3">
              <w:rPr>
                <w:rFonts w:ascii="Calibri" w:eastAsia="Times New Roman" w:hAnsi="Calibri" w:cs="Times New Roman"/>
                <w:vertAlign w:val="superscript"/>
                <w:lang w:eastAsia="en-NZ"/>
              </w:rPr>
              <w:t>a</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identity (30 years)</w:t>
            </w:r>
            <w:r w:rsidRPr="00167BB3">
              <w:rPr>
                <w:rFonts w:ascii="Calibri" w:eastAsia="Times New Roman" w:hAnsi="Calibri" w:cs="Times New Roman"/>
                <w:b/>
                <w:bCs/>
                <w:vertAlign w:val="superscript"/>
                <w:lang w:eastAsia="en-NZ"/>
              </w:rPr>
              <w:t>b</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100% heterosexual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0.997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0.629 (0.057)</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0.200 (0.435)</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Mostly heterosexual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0.003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0.371 (0.057)</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0.883 (0.056)</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(0.447)</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Bisexual/homosexual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0.117 (0.056)</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0.800 (0.052)</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attraction (30 years)</w:t>
            </w:r>
            <w:r w:rsidRPr="00167BB3">
              <w:rPr>
                <w:rFonts w:ascii="Calibri" w:eastAsia="Times New Roman" w:hAnsi="Calibri" w:cs="Times New Roman"/>
                <w:b/>
                <w:bCs/>
                <w:vertAlign w:val="superscript"/>
                <w:lang w:eastAsia="en-NZ"/>
              </w:rPr>
              <w:t>b</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Only to opposite sex</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0.984 (0.005)</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0.733 (0.045)</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0.304 (0.093)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0.200 (0.089)</w:t>
            </w:r>
          </w:p>
        </w:tc>
      </w:tr>
      <w:tr w:rsidR="00BD5AC2" w:rsidRPr="00167BB3" w:rsidTr="004E2C4E">
        <w:trPr>
          <w:trHeight w:val="300"/>
          <w:jc w:val="center"/>
        </w:trPr>
        <w:tc>
          <w:tcPr>
            <w:tcW w:w="3828"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  Strongly to opposite sex</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0.006 (0.004)</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0.267 (0.045)</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0.696 (0.093)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0.300 (0.102)</w:t>
            </w:r>
          </w:p>
        </w:tc>
      </w:tr>
      <w:tr w:rsidR="00BD5AC2" w:rsidRPr="00167BB3" w:rsidTr="004E2C4E">
        <w:trPr>
          <w:trHeight w:val="600"/>
          <w:jc w:val="center"/>
        </w:trPr>
        <w:tc>
          <w:tcPr>
            <w:tcW w:w="3828"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Equally to men and women</w:t>
            </w:r>
          </w:p>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or to same-sex</w:t>
            </w:r>
          </w:p>
        </w:tc>
        <w:tc>
          <w:tcPr>
            <w:tcW w:w="15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0.010 (0.004)</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0.500 (0.112)</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fantasy (30 years)</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Opposite sex only</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0.994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0.680 (0.051)</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0.145 (0.086)</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r>
      <w:tr w:rsidR="00BD5AC2" w:rsidRPr="00167BB3" w:rsidTr="004E2C4E">
        <w:trPr>
          <w:trHeight w:val="300"/>
          <w:jc w:val="center"/>
        </w:trPr>
        <w:tc>
          <w:tcPr>
            <w:tcW w:w="3828"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 xml:space="preserve">2. </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Both-sex</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0.006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0.284 (0.051)</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0.741 (0.092)</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0.158 (0.084)</w:t>
            </w:r>
          </w:p>
        </w:tc>
      </w:tr>
      <w:tr w:rsidR="00BD5AC2" w:rsidRPr="00167BB3" w:rsidTr="004E2C4E">
        <w:trPr>
          <w:trHeight w:val="300"/>
          <w:jc w:val="center"/>
        </w:trPr>
        <w:tc>
          <w:tcPr>
            <w:tcW w:w="3828"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Same-sex only</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0.036 (0.016)</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0.115 (0.061)</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0.842 (0.084)</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identity (35 years)</w:t>
            </w:r>
            <w:r w:rsidRPr="00167BB3">
              <w:rPr>
                <w:rFonts w:ascii="Calibri" w:eastAsia="Times New Roman" w:hAnsi="Calibri" w:cs="Times New Roman"/>
                <w:b/>
                <w:bCs/>
                <w:vertAlign w:val="superscript"/>
                <w:lang w:eastAsia="en-NZ"/>
              </w:rPr>
              <w:t>b</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100% heterosexual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0.984 (0.005)</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0.778 (0.040)</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0.445 (0.100)</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0.100 (0.067)</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Mostly heterosexual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0.007 (0.004)</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0.209 (0.040)</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0.555 (0.100)</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0.400 (0.110)</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Bisexual/homosexual</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0.009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0.014 (0.011)</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0.500 (0.112)</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attraction (35 years)</w:t>
            </w:r>
            <w:r w:rsidRPr="00167BB3">
              <w:rPr>
                <w:rFonts w:ascii="Calibri" w:eastAsia="Times New Roman" w:hAnsi="Calibri" w:cs="Times New Roman"/>
                <w:b/>
                <w:bCs/>
                <w:vertAlign w:val="superscript"/>
                <w:lang w:eastAsia="en-NZ"/>
              </w:rPr>
              <w:t>b</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Only to opposite sex</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0.994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0.785 (0.043)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0.302 (0.109)</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r>
      <w:tr w:rsidR="00BD5AC2" w:rsidRPr="00167BB3" w:rsidTr="004E2C4E">
        <w:trPr>
          <w:trHeight w:val="300"/>
          <w:jc w:val="center"/>
        </w:trPr>
        <w:tc>
          <w:tcPr>
            <w:tcW w:w="3828"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  Strongly to opposite sex</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0.006 (0.003)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0.215 (0.043)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0.639 (0.105)</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r>
      <w:tr w:rsidR="00BD5AC2" w:rsidRPr="00167BB3" w:rsidTr="004E2C4E">
        <w:trPr>
          <w:trHeight w:val="600"/>
          <w:jc w:val="center"/>
        </w:trPr>
        <w:tc>
          <w:tcPr>
            <w:tcW w:w="3828" w:type="dxa"/>
            <w:tcBorders>
              <w:top w:val="nil"/>
              <w:left w:val="nil"/>
              <w:bottom w:val="nil"/>
              <w:right w:val="nil"/>
            </w:tcBorders>
            <w:shd w:val="clear" w:color="auto" w:fill="auto"/>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 xml:space="preserve">3.  Equally to men and women or </w:t>
            </w:r>
          </w:p>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to same-sex</w:t>
            </w:r>
          </w:p>
        </w:tc>
        <w:tc>
          <w:tcPr>
            <w:tcW w:w="15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0.059 (0.042)</w:t>
            </w: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1.000 (-)</w:t>
            </w:r>
            <w:r w:rsidRPr="00167BB3">
              <w:rPr>
                <w:rFonts w:ascii="Calibri" w:eastAsia="Times New Roman" w:hAnsi="Calibri" w:cs="Times New Roman"/>
                <w:vertAlign w:val="superscript"/>
                <w:lang w:eastAsia="en-NZ"/>
              </w:rPr>
              <w:t>a</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lastRenderedPageBreak/>
              <w:t>Sexual fantasy (35 years)</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  Opposite sex only</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0.983 (0.005)</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0.756 (0.045)</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0.520 (0.105)</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r>
      <w:tr w:rsidR="00BD5AC2" w:rsidRPr="00167BB3" w:rsidTr="004E2C4E">
        <w:trPr>
          <w:trHeight w:val="300"/>
          <w:jc w:val="center"/>
        </w:trPr>
        <w:tc>
          <w:tcPr>
            <w:tcW w:w="3828"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 xml:space="preserve">2. </w:t>
            </w:r>
            <w:r w:rsidRPr="00167BB3">
              <w:rPr>
                <w:rFonts w:ascii="Times New Roman" w:eastAsia="Times New Roman" w:hAnsi="Times New Roman" w:cs="Times New Roman"/>
                <w:lang w:eastAsia="en-NZ"/>
              </w:rPr>
              <w:t xml:space="preserve"> </w:t>
            </w:r>
            <w:r w:rsidRPr="00167BB3">
              <w:rPr>
                <w:rFonts w:ascii="Calibri" w:eastAsia="Times New Roman" w:hAnsi="Calibri" w:cs="Times New Roman"/>
                <w:lang w:eastAsia="en-NZ"/>
              </w:rPr>
              <w:t>Both-sex</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0.015 (0.005)</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0.236 (0.045)</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0.480 (0.105)</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0.400 (0.110)</w:t>
            </w:r>
          </w:p>
        </w:tc>
      </w:tr>
      <w:tr w:rsidR="00BD5AC2" w:rsidRPr="00167BB3" w:rsidTr="004E2C4E">
        <w:trPr>
          <w:trHeight w:val="300"/>
          <w:jc w:val="center"/>
        </w:trPr>
        <w:tc>
          <w:tcPr>
            <w:tcW w:w="3828" w:type="dxa"/>
            <w:tcBorders>
              <w:top w:val="nil"/>
              <w:left w:val="nil"/>
              <w:bottom w:val="nil"/>
              <w:right w:val="nil"/>
            </w:tcBorders>
            <w:shd w:val="clear" w:color="auto" w:fill="auto"/>
            <w:noWrap/>
            <w:vAlign w:val="center"/>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  Same-sex only</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0.003 (0.002)</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0.008 (0.008)</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0.600 (0.110)</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b/>
                <w:bCs/>
                <w:lang w:eastAsia="en-NZ"/>
              </w:rPr>
            </w:pPr>
            <w:r w:rsidRPr="00167BB3">
              <w:rPr>
                <w:rFonts w:ascii="Calibri" w:eastAsia="Times New Roman" w:hAnsi="Calibri" w:cs="Times New Roman"/>
                <w:b/>
                <w:bCs/>
                <w:lang w:eastAsia="en-NZ"/>
              </w:rPr>
              <w:t>Sexual behaviour</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bCs/>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 xml:space="preserve">Ever reported same-sex sexual experience </w:t>
            </w:r>
            <w:r w:rsidRPr="00167BB3">
              <w:rPr>
                <w:rFonts w:ascii="Calibri" w:eastAsia="Times New Roman" w:hAnsi="Calibri" w:cs="Times New Roman"/>
                <w:vertAlign w:val="superscript"/>
                <w:lang w:eastAsia="en-NZ"/>
              </w:rPr>
              <w:t>c</w:t>
            </w:r>
            <w:r w:rsidRPr="00167BB3">
              <w:rPr>
                <w:rFonts w:ascii="Calibri" w:eastAsia="Times New Roman" w:hAnsi="Calibri" w:cs="Times New Roman"/>
                <w:lang w:eastAsia="en-NZ"/>
              </w:rPr>
              <w:t>:</w:t>
            </w:r>
          </w:p>
        </w:tc>
        <w:tc>
          <w:tcPr>
            <w:tcW w:w="1594"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No</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0.975 (0.006)</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0.473 (0.049)</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0.072 (0.083)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Yes</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0.025 (0.006)</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0.527 (0.049)</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0.928 (0.083)</w:t>
            </w: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1.000 (-)</w:t>
            </w:r>
            <w:r w:rsidRPr="00167BB3">
              <w:rPr>
                <w:rFonts w:ascii="Calibri" w:eastAsia="Times New Roman" w:hAnsi="Calibri" w:cs="Times New Roman"/>
                <w:vertAlign w:val="superscript"/>
                <w:lang w:eastAsia="en-NZ"/>
              </w:rPr>
              <w:t>a</w:t>
            </w:r>
          </w:p>
        </w:tc>
      </w:tr>
      <w:tr w:rsidR="00BD5AC2" w:rsidRPr="00167BB3" w:rsidTr="004E2C4E">
        <w:trPr>
          <w:trHeight w:val="300"/>
          <w:jc w:val="center"/>
        </w:trPr>
        <w:tc>
          <w:tcPr>
            <w:tcW w:w="3828" w:type="dxa"/>
            <w:tcBorders>
              <w:top w:val="nil"/>
              <w:left w:val="nil"/>
              <w:bottom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 xml:space="preserve">Ever reported same-sex sexual relationship </w:t>
            </w:r>
            <w:r w:rsidRPr="00167BB3">
              <w:rPr>
                <w:rFonts w:ascii="Calibri" w:eastAsia="Times New Roman" w:hAnsi="Calibri" w:cs="Times New Roman"/>
                <w:vertAlign w:val="superscript"/>
                <w:lang w:eastAsia="en-NZ"/>
              </w:rPr>
              <w:t>d</w:t>
            </w:r>
            <w:r w:rsidRPr="00167BB3">
              <w:rPr>
                <w:rFonts w:ascii="Calibri" w:eastAsia="Times New Roman" w:hAnsi="Calibri" w:cs="Times New Roman"/>
                <w:lang w:eastAsia="en-NZ"/>
              </w:rPr>
              <w:t>:</w:t>
            </w:r>
          </w:p>
        </w:tc>
        <w:tc>
          <w:tcPr>
            <w:tcW w:w="1594"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595"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r>
      <w:tr w:rsidR="00BD5AC2" w:rsidRPr="00167BB3" w:rsidTr="004E2C4E">
        <w:trPr>
          <w:trHeight w:val="300"/>
          <w:jc w:val="center"/>
        </w:trPr>
        <w:tc>
          <w:tcPr>
            <w:tcW w:w="3828" w:type="dxa"/>
            <w:tcBorders>
              <w:top w:val="nil"/>
              <w:left w:val="nil"/>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No</w:t>
            </w:r>
          </w:p>
        </w:tc>
        <w:tc>
          <w:tcPr>
            <w:tcW w:w="1594" w:type="dxa"/>
            <w:tcBorders>
              <w:top w:val="nil"/>
              <w:left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1.000 (-)</w:t>
            </w:r>
            <w:r w:rsidRPr="00167BB3">
              <w:rPr>
                <w:rFonts w:ascii="Calibri" w:eastAsia="Times New Roman" w:hAnsi="Calibri" w:cs="Times New Roman"/>
                <w:vertAlign w:val="superscript"/>
                <w:lang w:eastAsia="en-NZ"/>
              </w:rPr>
              <w:t>a</w:t>
            </w:r>
          </w:p>
        </w:tc>
        <w:tc>
          <w:tcPr>
            <w:tcW w:w="1595" w:type="dxa"/>
            <w:tcBorders>
              <w:top w:val="nil"/>
              <w:left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0.867 (0.030)</w:t>
            </w:r>
          </w:p>
        </w:tc>
        <w:tc>
          <w:tcPr>
            <w:tcW w:w="1595" w:type="dxa"/>
            <w:tcBorders>
              <w:top w:val="nil"/>
              <w:left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0.373 (0.126)</w:t>
            </w:r>
          </w:p>
        </w:tc>
        <w:tc>
          <w:tcPr>
            <w:tcW w:w="1595" w:type="dxa"/>
            <w:tcBorders>
              <w:top w:val="nil"/>
              <w:left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r>
      <w:tr w:rsidR="00BD5AC2" w:rsidRPr="00167BB3" w:rsidTr="004E2C4E">
        <w:trPr>
          <w:trHeight w:val="300"/>
          <w:jc w:val="center"/>
        </w:trPr>
        <w:tc>
          <w:tcPr>
            <w:tcW w:w="3828" w:type="dxa"/>
            <w:tcBorders>
              <w:top w:val="nil"/>
              <w:left w:val="nil"/>
              <w:bottom w:val="single" w:sz="4" w:space="0" w:color="auto"/>
              <w:right w:val="nil"/>
            </w:tcBorders>
            <w:shd w:val="clear" w:color="auto" w:fill="auto"/>
            <w:noWrap/>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yes</w:t>
            </w:r>
          </w:p>
        </w:tc>
        <w:tc>
          <w:tcPr>
            <w:tcW w:w="1594"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0.000 (-)</w:t>
            </w:r>
            <w:r w:rsidRPr="00167BB3">
              <w:rPr>
                <w:rFonts w:ascii="Calibri" w:eastAsia="Times New Roman" w:hAnsi="Calibri" w:cs="Times New Roman"/>
                <w:vertAlign w:val="superscript"/>
                <w:lang w:eastAsia="en-NZ"/>
              </w:rPr>
              <w:t>a</w:t>
            </w:r>
          </w:p>
        </w:tc>
        <w:tc>
          <w:tcPr>
            <w:tcW w:w="1595"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0.133 (0.030)</w:t>
            </w:r>
          </w:p>
        </w:tc>
        <w:tc>
          <w:tcPr>
            <w:tcW w:w="1595"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0.627 (0.126)</w:t>
            </w:r>
          </w:p>
        </w:tc>
        <w:tc>
          <w:tcPr>
            <w:tcW w:w="1595"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1.000 (-)</w:t>
            </w:r>
            <w:r w:rsidRPr="00167BB3">
              <w:rPr>
                <w:rFonts w:ascii="Calibri" w:eastAsia="Times New Roman" w:hAnsi="Calibri" w:cs="Times New Roman"/>
                <w:vertAlign w:val="superscript"/>
                <w:lang w:eastAsia="en-NZ"/>
              </w:rPr>
              <w:t>a</w:t>
            </w:r>
          </w:p>
        </w:tc>
      </w:tr>
    </w:tbl>
    <w:p w:rsidR="00BD5AC2" w:rsidRPr="00167BB3" w:rsidRDefault="00BD5AC2" w:rsidP="00BD5AC2">
      <w:pPr>
        <w:spacing w:after="0" w:line="240" w:lineRule="auto"/>
        <w:ind w:left="-567"/>
      </w:pPr>
      <w:proofErr w:type="gramStart"/>
      <w:r w:rsidRPr="00167BB3">
        <w:rPr>
          <w:vertAlign w:val="superscript"/>
        </w:rPr>
        <w:t>a</w:t>
      </w:r>
      <w:proofErr w:type="gramEnd"/>
      <w:r w:rsidRPr="00167BB3">
        <w:t xml:space="preserve"> Parameter converged to 0 or 1 during estimation, standard errors are not estimable</w:t>
      </w:r>
    </w:p>
    <w:p w:rsidR="00BD5AC2" w:rsidRPr="00167BB3" w:rsidRDefault="00BD5AC2" w:rsidP="00BD5AC2">
      <w:pPr>
        <w:spacing w:after="0" w:line="240" w:lineRule="auto"/>
        <w:ind w:left="-567"/>
      </w:pPr>
      <w:proofErr w:type="gramStart"/>
      <w:r w:rsidRPr="00167BB3">
        <w:rPr>
          <w:vertAlign w:val="superscript"/>
        </w:rPr>
        <w:t>b</w:t>
      </w:r>
      <w:proofErr w:type="gramEnd"/>
      <w:r w:rsidRPr="00167BB3">
        <w:t xml:space="preserve"> For the purpose of latent class analysis the measures of sexual identity and sexual attraction at ages 25, 30 and 35 years were reduced to three levels as shown above in order to minimise difficulties due to data sparseness in the response patterns</w:t>
      </w:r>
    </w:p>
    <w:p w:rsidR="00BD5AC2" w:rsidRPr="00167BB3" w:rsidRDefault="00BD5AC2" w:rsidP="00BD5AC2">
      <w:pPr>
        <w:spacing w:after="0" w:line="240" w:lineRule="auto"/>
        <w:ind w:left="-567"/>
      </w:pPr>
      <w:proofErr w:type="gramStart"/>
      <w:r w:rsidRPr="00167BB3">
        <w:rPr>
          <w:vertAlign w:val="superscript"/>
        </w:rPr>
        <w:t>c</w:t>
      </w:r>
      <w:proofErr w:type="gramEnd"/>
      <w:r w:rsidRPr="00167BB3">
        <w:t xml:space="preserve"> asked at ages 25, 30 and 35</w:t>
      </w:r>
    </w:p>
    <w:p w:rsidR="00BD5AC2" w:rsidRPr="00167BB3" w:rsidRDefault="00BD5AC2" w:rsidP="00BD5AC2">
      <w:pPr>
        <w:spacing w:after="0" w:line="240" w:lineRule="auto"/>
        <w:ind w:left="-567"/>
      </w:pPr>
      <w:proofErr w:type="gramStart"/>
      <w:r w:rsidRPr="00167BB3">
        <w:rPr>
          <w:vertAlign w:val="superscript"/>
        </w:rPr>
        <w:t>d</w:t>
      </w:r>
      <w:proofErr w:type="gramEnd"/>
      <w:r w:rsidRPr="00167BB3">
        <w:t xml:space="preserve"> asked at ages 18, 21, 25, 30 and 35</w:t>
      </w:r>
    </w:p>
    <w:p w:rsidR="00BD5AC2" w:rsidRPr="00167BB3" w:rsidRDefault="00BD5AC2" w:rsidP="00BD5AC2"/>
    <w:p w:rsidR="00BD5AC2" w:rsidRPr="00167BB3" w:rsidRDefault="00BD5AC2" w:rsidP="00BD5AC2">
      <w:r w:rsidRPr="00167BB3">
        <w:br w:type="page"/>
      </w:r>
    </w:p>
    <w:p w:rsidR="00BD5AC2" w:rsidRPr="00167BB3" w:rsidRDefault="00BD5AC2" w:rsidP="00BD5AC2">
      <w:pPr>
        <w:spacing w:after="0" w:line="240" w:lineRule="auto"/>
      </w:pPr>
      <w:r w:rsidRPr="00167BB3">
        <w:lastRenderedPageBreak/>
        <w:t xml:space="preserve">Supplementary Table 5: Rates of mental health and substance use disorders 21-35 years by </w:t>
      </w:r>
    </w:p>
    <w:p w:rsidR="00BD5AC2" w:rsidRPr="00167BB3" w:rsidRDefault="00BD5AC2" w:rsidP="00BD5AC2">
      <w:pPr>
        <w:spacing w:after="0" w:line="240" w:lineRule="auto"/>
      </w:pPr>
      <w:proofErr w:type="gramStart"/>
      <w:r w:rsidRPr="00167BB3">
        <w:t>sex</w:t>
      </w:r>
      <w:proofErr w:type="gramEnd"/>
      <w:r w:rsidRPr="00167BB3">
        <w:t xml:space="preserve"> and sexuality group</w:t>
      </w:r>
    </w:p>
    <w:tbl>
      <w:tblPr>
        <w:tblW w:w="8364" w:type="dxa"/>
        <w:tblLayout w:type="fixed"/>
        <w:tblLook w:val="04A0" w:firstRow="1" w:lastRow="0" w:firstColumn="1" w:lastColumn="0" w:noHBand="0" w:noVBand="1"/>
      </w:tblPr>
      <w:tblGrid>
        <w:gridCol w:w="2660"/>
        <w:gridCol w:w="1426"/>
        <w:gridCol w:w="1426"/>
        <w:gridCol w:w="1426"/>
        <w:gridCol w:w="1426"/>
      </w:tblGrid>
      <w:tr w:rsidR="00BD5AC2" w:rsidRPr="00167BB3" w:rsidTr="004E2C4E">
        <w:trPr>
          <w:trHeight w:val="717"/>
        </w:trPr>
        <w:tc>
          <w:tcPr>
            <w:tcW w:w="2660" w:type="dxa"/>
            <w:tcBorders>
              <w:top w:val="single" w:sz="4" w:space="0" w:color="auto"/>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 </w:t>
            </w:r>
          </w:p>
        </w:tc>
        <w:tc>
          <w:tcPr>
            <w:tcW w:w="1426" w:type="dxa"/>
            <w:tcBorders>
              <w:top w:val="single" w:sz="4" w:space="0" w:color="auto"/>
              <w:left w:val="nil"/>
              <w:bottom w:val="single" w:sz="4" w:space="0" w:color="auto"/>
              <w:right w:val="nil"/>
            </w:tcBorders>
            <w:shd w:val="clear" w:color="auto" w:fill="auto"/>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Heterosexual % (n)</w:t>
            </w:r>
          </w:p>
        </w:tc>
        <w:tc>
          <w:tcPr>
            <w:tcW w:w="1426" w:type="dxa"/>
            <w:tcBorders>
              <w:top w:val="single" w:sz="4" w:space="0" w:color="auto"/>
              <w:left w:val="nil"/>
              <w:bottom w:val="single" w:sz="4" w:space="0" w:color="auto"/>
              <w:right w:val="nil"/>
            </w:tcBorders>
            <w:shd w:val="clear" w:color="auto" w:fill="auto"/>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Mostly Heterosexual % (n)</w:t>
            </w:r>
          </w:p>
        </w:tc>
        <w:tc>
          <w:tcPr>
            <w:tcW w:w="1426" w:type="dxa"/>
            <w:tcBorders>
              <w:top w:val="single" w:sz="4" w:space="0" w:color="auto"/>
              <w:left w:val="nil"/>
              <w:bottom w:val="single" w:sz="4" w:space="0" w:color="auto"/>
              <w:right w:val="nil"/>
            </w:tcBorders>
            <w:shd w:val="clear" w:color="auto" w:fill="auto"/>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Bisexual       % (n)</w:t>
            </w:r>
          </w:p>
        </w:tc>
        <w:tc>
          <w:tcPr>
            <w:tcW w:w="1426" w:type="dxa"/>
            <w:tcBorders>
              <w:top w:val="single" w:sz="4" w:space="0" w:color="auto"/>
              <w:left w:val="nil"/>
              <w:bottom w:val="single" w:sz="4" w:space="0" w:color="auto"/>
              <w:right w:val="nil"/>
            </w:tcBorders>
            <w:shd w:val="clear" w:color="auto" w:fill="auto"/>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Gay/lesbian% (n)</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lang w:eastAsia="en-NZ"/>
              </w:rPr>
            </w:pPr>
            <w:r w:rsidRPr="00167BB3">
              <w:rPr>
                <w:rFonts w:ascii="Calibri" w:eastAsia="Times New Roman" w:hAnsi="Calibri" w:cs="Times New Roman"/>
                <w:b/>
                <w:lang w:eastAsia="en-NZ"/>
              </w:rPr>
              <w:t>Major depression</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18-21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20.5 (170)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37.5 (48)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35.3 (12)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40.0 (8)</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 xml:space="preserve">Males </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16.0 (72)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13.8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30.0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28.6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 xml:space="preserve">Females </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25.9 (98)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44.4 (44)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37.5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46.2 (6)</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21-25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17.2 (141)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38.5 (50)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52.9 (18)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40.0 (8)</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 xml:space="preserve">Males </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13.8 (61)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27.6 (8)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70.0 (7)</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42.9 (3)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 xml:space="preserve">Females </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21.2 (80)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41.6 (42)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45.8 (11)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38.5 (5)</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25-30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18.5 (149)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28.1 (36)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45.7 (16)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40.0 (8)</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 xml:space="preserve">Males </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16.4 (71)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17.2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50.0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42.9 (3)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 xml:space="preserve">Females </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21.0 (78)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31.3 (31)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44.0 (11)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38.5 (5)</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30-35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16.0 (126)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28.7 (35)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38.2 (13)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25.0 (5)</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 xml:space="preserve">Males </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12.2 (51)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35.7 (10)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40.0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 (0)</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 xml:space="preserve">Females </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20.4 (75)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26.6 (25)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37.5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38.5 (5)</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lang w:eastAsia="en-NZ"/>
              </w:rPr>
            </w:pPr>
            <w:r w:rsidRPr="00167BB3">
              <w:rPr>
                <w:rFonts w:ascii="Calibri" w:eastAsia="Times New Roman" w:hAnsi="Calibri" w:cs="Times New Roman"/>
                <w:b/>
                <w:lang w:eastAsia="en-NZ"/>
              </w:rPr>
              <w:t>Anxiety</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18-21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11.3 (94)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19.5 (25)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17.7 (6)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25.0 (5)</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6.9 (31)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10.3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 (1)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42.9 (3)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16.6 (63)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22.2 (22)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20.8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15.4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21-25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12.0 (98)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26.9 (35)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35.3 (12)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40.0 (8)</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7.5 (33)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20.7 (6)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30.0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42.9 (3)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17.2 (65)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28.7 (29)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37.5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38.5 (5)</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25-30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14.9 (120)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25.8 (33)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25.7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40.0 (8)</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11.6 (50)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13.8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20.0 (2)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42.9 (3)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18.8 (70)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29.3 929)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28.0 (7)</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38.5 (5)</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30-35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13.0 (102)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22.1 (27)</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26.5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40.0 (8)</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10.5 (44)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21.4 (6)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30.0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28.6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15.8 (58)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22.3 (21)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25.0 (6)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46.2 (6)</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lang w:eastAsia="en-NZ"/>
              </w:rPr>
            </w:pPr>
            <w:r w:rsidRPr="00167BB3">
              <w:rPr>
                <w:rFonts w:ascii="Calibri" w:eastAsia="Times New Roman" w:hAnsi="Calibri" w:cs="Times New Roman"/>
                <w:b/>
                <w:lang w:eastAsia="en-NZ"/>
              </w:rPr>
              <w:t>Suicidal ideation</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18-21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7.1 (59)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10.9 (14)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23.5 (8)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25.0 (5)</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6.4 (29)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3.5 (1)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30.0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28.6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7.9 (30)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13.1 (13)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20.8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23.1 (3)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21-25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4.3 (35)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8.5 (11)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23.5 (8)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15.0 (3)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4.5 (20)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6.9 (2)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30.0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28.6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 (15)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8.9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20.8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7.7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lastRenderedPageBreak/>
              <w:t>25-30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 (24)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7.0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14.3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15.0 (3)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3.2 (14)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 (0)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20.0 (2)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28.6 (2)</w:t>
            </w:r>
          </w:p>
        </w:tc>
      </w:tr>
      <w:tr w:rsidR="00BD5AC2" w:rsidRPr="00167BB3" w:rsidTr="004E2C4E">
        <w:trPr>
          <w:trHeight w:val="300"/>
        </w:trPr>
        <w:tc>
          <w:tcPr>
            <w:tcW w:w="2660" w:type="dxa"/>
            <w:tcBorders>
              <w:top w:val="nil"/>
              <w:left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2.7 (10)</w:t>
            </w:r>
          </w:p>
        </w:tc>
        <w:tc>
          <w:tcPr>
            <w:tcW w:w="1426" w:type="dxa"/>
            <w:tcBorders>
              <w:top w:val="nil"/>
              <w:left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9.1 (9)</w:t>
            </w:r>
          </w:p>
        </w:tc>
        <w:tc>
          <w:tcPr>
            <w:tcW w:w="1426" w:type="dxa"/>
            <w:tcBorders>
              <w:top w:val="nil"/>
              <w:left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12.0 (3)</w:t>
            </w:r>
          </w:p>
        </w:tc>
        <w:tc>
          <w:tcPr>
            <w:tcW w:w="1426" w:type="dxa"/>
            <w:tcBorders>
              <w:top w:val="nil"/>
              <w:left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7.7 (1)</w:t>
            </w:r>
          </w:p>
        </w:tc>
      </w:tr>
      <w:tr w:rsidR="00BD5AC2" w:rsidRPr="00167BB3" w:rsidTr="004E2C4E">
        <w:trPr>
          <w:trHeight w:val="300"/>
        </w:trPr>
        <w:tc>
          <w:tcPr>
            <w:tcW w:w="2660" w:type="dxa"/>
            <w:tcBorders>
              <w:top w:val="nil"/>
              <w:left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 </w:t>
            </w:r>
          </w:p>
        </w:tc>
        <w:tc>
          <w:tcPr>
            <w:tcW w:w="1426" w:type="dxa"/>
            <w:tcBorders>
              <w:top w:val="nil"/>
              <w:left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w:t>
            </w:r>
          </w:p>
        </w:tc>
        <w:tc>
          <w:tcPr>
            <w:tcW w:w="1426" w:type="dxa"/>
            <w:tcBorders>
              <w:top w:val="nil"/>
              <w:left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w:t>
            </w:r>
          </w:p>
        </w:tc>
        <w:tc>
          <w:tcPr>
            <w:tcW w:w="1426" w:type="dxa"/>
            <w:tcBorders>
              <w:top w:val="nil"/>
              <w:left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w:t>
            </w:r>
          </w:p>
        </w:tc>
        <w:tc>
          <w:tcPr>
            <w:tcW w:w="1426" w:type="dxa"/>
            <w:tcBorders>
              <w:top w:val="nil"/>
              <w:left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w:t>
            </w:r>
          </w:p>
        </w:tc>
      </w:tr>
      <w:tr w:rsidR="00BD5AC2" w:rsidRPr="00167BB3" w:rsidTr="004E2C4E">
        <w:trPr>
          <w:trHeight w:val="382"/>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30-35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 (12)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 (2)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14.7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 (8)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3.6 (1)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 (1)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 (0)</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 (1)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16.7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15.4 (2)</w:t>
            </w:r>
          </w:p>
        </w:tc>
      </w:tr>
      <w:tr w:rsidR="00BD5AC2" w:rsidRPr="00167BB3" w:rsidTr="004E2C4E">
        <w:trPr>
          <w:trHeight w:val="300"/>
        </w:trPr>
        <w:tc>
          <w:tcPr>
            <w:tcW w:w="2660" w:type="dxa"/>
            <w:tcBorders>
              <w:top w:val="nil"/>
              <w:left w:val="nil"/>
              <w:bottom w:val="nil"/>
              <w:right w:val="nil"/>
            </w:tcBorders>
            <w:shd w:val="clear" w:color="auto" w:fill="auto"/>
            <w:vAlign w:val="bottom"/>
            <w:hideMark/>
          </w:tcPr>
          <w:p w:rsidR="00BD5AC2" w:rsidRPr="00167BB3" w:rsidRDefault="00BD5AC2" w:rsidP="004E2C4E">
            <w:pPr>
              <w:spacing w:after="0" w:line="240" w:lineRule="auto"/>
              <w:rPr>
                <w:rFonts w:ascii="Calibri" w:eastAsia="Times New Roman" w:hAnsi="Calibri" w:cs="Times New Roman"/>
                <w:b/>
                <w:lang w:eastAsia="en-NZ"/>
              </w:rPr>
            </w:pPr>
            <w:r w:rsidRPr="00167BB3">
              <w:rPr>
                <w:rFonts w:ascii="Calibri" w:eastAsia="Times New Roman" w:hAnsi="Calibri" w:cs="Times New Roman"/>
                <w:b/>
                <w:lang w:eastAsia="en-NZ"/>
              </w:rPr>
              <w:t>Nicotine dependence</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18-21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24.0 (199)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22.7 (29)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50.0 (17)</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15.0 (3)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24.9 (112)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13.8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40.0 (10)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14.3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23.0 (87)</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25.3 (25)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54.2 (13)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15.4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21-25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23.0 (188)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19.2 (25)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35.3 (12)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30.0 (6)</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26.5 (117)</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13.8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30.0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28.6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18.8 (71)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20.8 (21)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37.5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30.8 (4)</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25-30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22.0 (177)</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18.0 (23)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25.7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20.0 (4)</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25.9 (112)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10.3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30.0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28.6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17.5 (65)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20.2 (20)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24.0 (6)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15.4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30-35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15.9 (125)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17.2 (21)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23.5 (8)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18.2 (76)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10.7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20.0 (2)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14.3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13.3 (49)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19.2 (18)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25.0 (6)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7.7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lang w:eastAsia="en-NZ"/>
              </w:rPr>
            </w:pPr>
            <w:r w:rsidRPr="00167BB3">
              <w:rPr>
                <w:rFonts w:ascii="Calibri" w:eastAsia="Times New Roman" w:hAnsi="Calibri" w:cs="Times New Roman"/>
                <w:b/>
                <w:lang w:eastAsia="en-NZ"/>
              </w:rPr>
              <w:t>Alcohol abuse</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18-21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28.5 (236)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33.6 (43)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26.5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38.2 (172)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37.9 (11)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40.0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14.3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16.9 (64)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32.3 (32)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20.8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7.7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21-25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21.1 (173)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26.9 (35)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26.5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28.3 (125)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20.7 (6)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50.0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28.6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12.7 (48)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28.7 929)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16.7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 (0)</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25-30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13.6 (109)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15.6 (20)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14.3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19.2 (83)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17.3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20.0 (2)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14.3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7.0 (26)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15.2 (15)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12.0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7.7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30-35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14.6 (115)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16.4 (20)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14.7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 (2)</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20.6 (86)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28.6 (8)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40.0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 (0)</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7.9 (29)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12.8 (12)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 (1)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15.4 (2)</w:t>
            </w:r>
          </w:p>
        </w:tc>
      </w:tr>
      <w:tr w:rsidR="00BD5AC2" w:rsidRPr="00167BB3" w:rsidTr="004E2C4E">
        <w:trPr>
          <w:trHeight w:val="300"/>
        </w:trPr>
        <w:tc>
          <w:tcPr>
            <w:tcW w:w="2660" w:type="dxa"/>
            <w:tcBorders>
              <w:top w:val="nil"/>
              <w:left w:val="nil"/>
              <w:bottom w:val="nil"/>
              <w:right w:val="nil"/>
            </w:tcBorders>
            <w:shd w:val="clear" w:color="auto" w:fill="auto"/>
            <w:hideMark/>
          </w:tcPr>
          <w:p w:rsidR="00BD5AC2" w:rsidRPr="00167BB3" w:rsidRDefault="00BD5AC2" w:rsidP="004E2C4E">
            <w:pPr>
              <w:spacing w:after="0" w:line="240" w:lineRule="auto"/>
              <w:rPr>
                <w:rFonts w:ascii="Calibri" w:eastAsia="Times New Roman" w:hAnsi="Calibri" w:cs="Times New Roman"/>
                <w:b/>
                <w:lang w:eastAsia="en-NZ"/>
              </w:rPr>
            </w:pPr>
            <w:r w:rsidRPr="00167BB3">
              <w:rPr>
                <w:rFonts w:ascii="Calibri" w:eastAsia="Times New Roman" w:hAnsi="Calibri" w:cs="Times New Roman"/>
                <w:b/>
                <w:lang w:eastAsia="en-NZ"/>
              </w:rPr>
              <w:t>Cannabis abuse</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18-21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7.7 (64)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9.4 (12)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8.8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5.0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11.1 (50)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10.3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 (1)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 (0)</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3.7 (14)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9.1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8.3 (2)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7.7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21-25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12.5 (102)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13.9 (18)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23.5 (8)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20.0 (4)</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21.0 (93)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20.7 (6)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40.0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42.9 (3)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lastRenderedPageBreak/>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 (9)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11.9 (12)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16.7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7.7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25-30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5.6 (45)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10.9 (14)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17.1 (6)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5.0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8.8 (38)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13.8 (4)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30.0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14.3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 (7)</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10.1 (10)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12.0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 (0)</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30-35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6.1 (48)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9.0 (11)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8.8 (3)</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5.0 (1)</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9.6 (40)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21.4 (6)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20.0 (2)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 (0)</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2.2 (8)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5.3 (5)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 (1)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7.7 (1)</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rPr>
                <w:rFonts w:ascii="Calibri" w:eastAsia="Times New Roman" w:hAnsi="Calibri" w:cs="Times New Roman"/>
                <w:b/>
                <w:lang w:eastAsia="en-NZ"/>
              </w:rPr>
            </w:pPr>
            <w:r w:rsidRPr="00167BB3">
              <w:rPr>
                <w:rFonts w:ascii="Calibri" w:eastAsia="Times New Roman" w:hAnsi="Calibri" w:cs="Times New Roman"/>
                <w:b/>
                <w:lang w:eastAsia="en-NZ"/>
              </w:rPr>
              <w:t>All disorders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Mean (SD)</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Mean (SD)</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Mean (SD)</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Mean (SD)</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18-21 years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0.99 (1.16)</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1.34 (1.34)</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1.62 (1.58)</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1.20 (1.47)</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1.04 (1.14)</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0.90 (1.01)</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1.60 (1.17)</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1.29 (1.89)</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0.94 (1.18)</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1.46 (1.39)</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1.63 (1.74)</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1.15 (1.28)</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21-25 years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0.90 (1.13)</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1.34 (1.30)</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1.97 (1.64)</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1.55 (1.82)</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1.02 (1.20)</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1.10 (1.47)</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2.50 (1.51)</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2.14 (2.73)</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0.76 (1.02)</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1.41 (1.24)</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1.75 (1.67)</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1.23 (1.09)</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25-30 years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0.78 (1.02)</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1.02 (1.12)</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1.43 (1.24)</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1.30 (1.56)</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0.85 (1.06)</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0.72 (0.96)</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1.70 (1.06)</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1.71 (2.21)</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0.69 (0.95)</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1.15 (1.15)</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1.32 (1.31)</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1.08 (1.12)</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30-35 years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0.67 (0.97)</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0.95 (1.09)</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1.26 (1.19)</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 (1.26)</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0.73 (1.06)</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1.21 (1.23)</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1.60 (1.26)</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0.43 (0.79)</w:t>
            </w:r>
          </w:p>
        </w:tc>
      </w:tr>
      <w:tr w:rsidR="00BD5AC2" w:rsidRPr="00167BB3" w:rsidTr="004E2C4E">
        <w:trPr>
          <w:trHeight w:val="300"/>
        </w:trPr>
        <w:tc>
          <w:tcPr>
            <w:tcW w:w="2660"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0.61 (0.86)</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0.87 (1.04)</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1.13 (1.15)</w:t>
            </w:r>
          </w:p>
        </w:tc>
        <w:tc>
          <w:tcPr>
            <w:tcW w:w="1426" w:type="dxa"/>
            <w:tcBorders>
              <w:top w:val="nil"/>
              <w:left w:val="nil"/>
              <w:bottom w:val="nil"/>
              <w:right w:val="nil"/>
            </w:tcBorders>
            <w:shd w:val="clear" w:color="auto" w:fill="auto"/>
            <w:noWrap/>
            <w:vAlign w:val="bottom"/>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1.31 (1.38)</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b/>
                <w:lang w:eastAsia="en-NZ"/>
              </w:rPr>
            </w:pPr>
            <w:r w:rsidRPr="00167BB3">
              <w:rPr>
                <w:rFonts w:ascii="Calibri" w:eastAsia="Times New Roman" w:hAnsi="Calibri" w:cs="Times New Roman"/>
                <w:b/>
                <w:lang w:eastAsia="en-NZ"/>
              </w:rPr>
              <w:t>Sample sizes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18-21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829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450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379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21-25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819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442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377</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101</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25-30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804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432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372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99</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30-35 years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786</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122</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34</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w:t>
            </w:r>
          </w:p>
        </w:tc>
      </w:tr>
      <w:tr w:rsidR="00BD5AC2" w:rsidRPr="00167BB3" w:rsidTr="004E2C4E">
        <w:trPr>
          <w:trHeight w:val="300"/>
        </w:trPr>
        <w:tc>
          <w:tcPr>
            <w:tcW w:w="26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Males</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418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w:t>
            </w:r>
          </w:p>
        </w:tc>
        <w:tc>
          <w:tcPr>
            <w:tcW w:w="1426"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w:t>
            </w:r>
          </w:p>
        </w:tc>
      </w:tr>
      <w:tr w:rsidR="00BD5AC2" w:rsidRPr="00167BB3" w:rsidTr="004E2C4E">
        <w:trPr>
          <w:trHeight w:val="300"/>
        </w:trPr>
        <w:tc>
          <w:tcPr>
            <w:tcW w:w="2660"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right"/>
              <w:rPr>
                <w:rFonts w:ascii="Calibri" w:eastAsia="Times New Roman" w:hAnsi="Calibri" w:cs="Times New Roman"/>
                <w:lang w:eastAsia="en-NZ"/>
              </w:rPr>
            </w:pPr>
            <w:r w:rsidRPr="00167BB3">
              <w:rPr>
                <w:rFonts w:ascii="Calibri" w:eastAsia="Times New Roman" w:hAnsi="Calibri" w:cs="Times New Roman"/>
                <w:lang w:eastAsia="en-NZ"/>
              </w:rPr>
              <w:t>Females</w:t>
            </w:r>
          </w:p>
        </w:tc>
        <w:tc>
          <w:tcPr>
            <w:tcW w:w="1426"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368</w:t>
            </w:r>
          </w:p>
        </w:tc>
        <w:tc>
          <w:tcPr>
            <w:tcW w:w="1426"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94</w:t>
            </w:r>
          </w:p>
        </w:tc>
        <w:tc>
          <w:tcPr>
            <w:tcW w:w="1426"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w:t>
            </w:r>
          </w:p>
        </w:tc>
        <w:tc>
          <w:tcPr>
            <w:tcW w:w="1426"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w:t>
            </w:r>
          </w:p>
        </w:tc>
      </w:tr>
    </w:tbl>
    <w:p w:rsidR="00BD5AC2" w:rsidRPr="00167BB3" w:rsidRDefault="00BD5AC2" w:rsidP="00BD5AC2">
      <w:pPr>
        <w:spacing w:after="0" w:line="240" w:lineRule="auto"/>
      </w:pPr>
    </w:p>
    <w:p w:rsidR="00BD5AC2" w:rsidRPr="00167BB3" w:rsidRDefault="00BD5AC2" w:rsidP="00BD5AC2">
      <w:r w:rsidRPr="00167BB3">
        <w:br w:type="page"/>
      </w:r>
    </w:p>
    <w:p w:rsidR="00BD5AC2" w:rsidRDefault="00BD5AC2" w:rsidP="00BD5AC2">
      <w:pPr>
        <w:spacing w:after="0"/>
      </w:pPr>
      <w:r w:rsidRPr="00167BB3">
        <w:lastRenderedPageBreak/>
        <w:t xml:space="preserve">Supplementary Table 6: Rates of mental disorder and substance abuse in fluid and </w:t>
      </w:r>
    </w:p>
    <w:p w:rsidR="00BD5AC2" w:rsidRPr="00167BB3" w:rsidRDefault="00BD5AC2" w:rsidP="00BD5AC2">
      <w:pPr>
        <w:spacing w:after="0"/>
      </w:pPr>
      <w:proofErr w:type="gramStart"/>
      <w:r>
        <w:t>non</w:t>
      </w:r>
      <w:proofErr w:type="gramEnd"/>
      <w:r>
        <w:t xml:space="preserve"> </w:t>
      </w:r>
      <w:r w:rsidRPr="00167BB3">
        <w:t>fluid sexuality groups at ages 25-35.</w:t>
      </w:r>
    </w:p>
    <w:tbl>
      <w:tblPr>
        <w:tblW w:w="6804" w:type="dxa"/>
        <w:tblLayout w:type="fixed"/>
        <w:tblLook w:val="04A0" w:firstRow="1" w:lastRow="0" w:firstColumn="1" w:lastColumn="0" w:noHBand="0" w:noVBand="1"/>
      </w:tblPr>
      <w:tblGrid>
        <w:gridCol w:w="1560"/>
        <w:gridCol w:w="1701"/>
        <w:gridCol w:w="1701"/>
        <w:gridCol w:w="1842"/>
      </w:tblGrid>
      <w:tr w:rsidR="00BD5AC2" w:rsidRPr="00167BB3" w:rsidTr="004E2C4E">
        <w:trPr>
          <w:trHeight w:val="900"/>
        </w:trPr>
        <w:tc>
          <w:tcPr>
            <w:tcW w:w="1560" w:type="dxa"/>
            <w:tcBorders>
              <w:top w:val="single" w:sz="4" w:space="0" w:color="auto"/>
              <w:left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701" w:type="dxa"/>
            <w:tcBorders>
              <w:top w:val="single" w:sz="4" w:space="0" w:color="auto"/>
              <w:left w:val="nil"/>
              <w:right w:val="nil"/>
            </w:tcBorders>
            <w:shd w:val="clear" w:color="auto" w:fill="auto"/>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Heterosexual (n=853)</w:t>
            </w:r>
          </w:p>
        </w:tc>
        <w:tc>
          <w:tcPr>
            <w:tcW w:w="1701" w:type="dxa"/>
            <w:tcBorders>
              <w:top w:val="single" w:sz="4" w:space="0" w:color="auto"/>
              <w:left w:val="nil"/>
              <w:right w:val="nil"/>
            </w:tcBorders>
            <w:shd w:val="clear" w:color="auto" w:fill="auto"/>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Mostly heterosexual (n=131)</w:t>
            </w:r>
          </w:p>
        </w:tc>
        <w:tc>
          <w:tcPr>
            <w:tcW w:w="1842" w:type="dxa"/>
            <w:tcBorders>
              <w:top w:val="single" w:sz="4" w:space="0" w:color="auto"/>
              <w:left w:val="nil"/>
              <w:right w:val="nil"/>
            </w:tcBorders>
            <w:shd w:val="clear" w:color="auto" w:fill="auto"/>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Bisexual/gay/</w:t>
            </w:r>
          </w:p>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lesbian (n=56)</w:t>
            </w:r>
          </w:p>
        </w:tc>
      </w:tr>
      <w:tr w:rsidR="00BD5AC2" w:rsidRPr="00167BB3" w:rsidTr="004E2C4E">
        <w:trPr>
          <w:trHeight w:val="300"/>
        </w:trPr>
        <w:tc>
          <w:tcPr>
            <w:tcW w:w="1560" w:type="dxa"/>
            <w:tcBorders>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701" w:type="dxa"/>
            <w:tcBorders>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(n)</w:t>
            </w:r>
          </w:p>
        </w:tc>
        <w:tc>
          <w:tcPr>
            <w:tcW w:w="1701" w:type="dxa"/>
            <w:tcBorders>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(n)</w:t>
            </w:r>
          </w:p>
        </w:tc>
        <w:tc>
          <w:tcPr>
            <w:tcW w:w="1842" w:type="dxa"/>
            <w:tcBorders>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 (n)</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Major depression</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21-</w:t>
            </w:r>
            <w:r w:rsidRPr="00167BB3">
              <w:rPr>
                <w:rFonts w:ascii="Calibri" w:eastAsia="Times New Roman" w:hAnsi="Calibri" w:cs="Times New Roman"/>
                <w:lang w:eastAsia="en-NZ"/>
              </w:rPr>
              <w:t>25 years (n=217/1003)</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17.6  (137/778)</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31.5 (23/73)</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42.3 (11/26)</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9.8 (4/41)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47.4 (27/57)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53.6 (15/28)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25-</w:t>
            </w:r>
            <w:r w:rsidRPr="00167BB3">
              <w:rPr>
                <w:rFonts w:ascii="Calibri" w:eastAsia="Times New Roman" w:hAnsi="Calibri" w:cs="Times New Roman"/>
                <w:lang w:eastAsia="en-NZ"/>
              </w:rPr>
              <w:t>30 years (n=209/987)</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19.0 (145/763)</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31.0 (22/71)</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44.4 (12/27)</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9.8 (4/41)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24.6 (14/57)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42.9 (12/28)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30-</w:t>
            </w:r>
            <w:r w:rsidRPr="00167BB3">
              <w:rPr>
                <w:rFonts w:ascii="Calibri" w:eastAsia="Times New Roman" w:hAnsi="Calibri" w:cs="Times New Roman"/>
                <w:lang w:eastAsia="en-NZ"/>
              </w:rPr>
              <w:t>35 years (n=179/962)</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15.8 (118/746)</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30.9 (21/68)</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30.8 (8/26)</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20.0 (8/40)</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25.9 (14/54)</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35.7 (10/28)</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Anxiety</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21-</w:t>
            </w:r>
            <w:r w:rsidRPr="00167BB3">
              <w:rPr>
                <w:rFonts w:ascii="Calibri" w:eastAsia="Times New Roman" w:hAnsi="Calibri" w:cs="Times New Roman"/>
                <w:lang w:eastAsia="en-NZ"/>
              </w:rPr>
              <w:t>25 years (n=153/1003)</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11.7 (91/778)</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24.7 (18/73)</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34.6 (9/26)</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17.1 (7/47)</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29.8 (17/57)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39.3 (11/28)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25-</w:t>
            </w:r>
            <w:r w:rsidRPr="00167BB3">
              <w:rPr>
                <w:rFonts w:ascii="Calibri" w:eastAsia="Times New Roman" w:hAnsi="Calibri" w:cs="Times New Roman"/>
                <w:lang w:eastAsia="en-NZ"/>
              </w:rPr>
              <w:t>30 years (n=170/987)</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14.9  (114/763)</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25.4 (18/71)</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33.3 (9/27)</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14.6 (6/41)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26.3 (15/57)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28.6 (8/28)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30-</w:t>
            </w:r>
            <w:r w:rsidRPr="00167BB3">
              <w:rPr>
                <w:rFonts w:ascii="Calibri" w:eastAsia="Times New Roman" w:hAnsi="Calibri" w:cs="Times New Roman"/>
                <w:lang w:eastAsia="en-NZ"/>
              </w:rPr>
              <w:t>35 years (n=146/962)</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12.7 (95/746)</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25.0 (17/68)</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19.2 (5/26)</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17.5 (7/40)</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18.5 (10/54)</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42.9 (12/28)</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Suicidal ideation</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21-</w:t>
            </w:r>
            <w:r w:rsidRPr="00167BB3">
              <w:rPr>
                <w:rFonts w:ascii="Calibri" w:eastAsia="Times New Roman" w:hAnsi="Calibri" w:cs="Times New Roman"/>
                <w:lang w:eastAsia="en-NZ"/>
              </w:rPr>
              <w:t>25 years (n=57/1003)</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4.4 (34/778)</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6.9 (5/73)</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15.4 (4/26)</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2.4 (1/41)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10.5 (6/57)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25.0 (7/28)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25-</w:t>
            </w:r>
            <w:r w:rsidRPr="00167BB3">
              <w:rPr>
                <w:rFonts w:ascii="Calibri" w:eastAsia="Times New Roman" w:hAnsi="Calibri" w:cs="Times New Roman"/>
                <w:lang w:eastAsia="en-NZ"/>
              </w:rPr>
              <w:t>30 years (n=41/987)</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2.9 (22/741)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7.0 (5/71)</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18.5 (5/27)</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4.9 (2/41)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7.0 (4/57)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10.7 (3/28)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30-</w:t>
            </w:r>
            <w:r w:rsidRPr="00167BB3">
              <w:rPr>
                <w:rFonts w:ascii="Calibri" w:eastAsia="Times New Roman" w:hAnsi="Calibri" w:cs="Times New Roman"/>
                <w:lang w:eastAsia="en-NZ"/>
              </w:rPr>
              <w:t>35 years (n=21/962)</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 (11/746)</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 (1/68)</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7.7 (2/26)</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 (1/40)</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 (1/54)</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17.9 (5/28)</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Nicotine dependence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21-</w:t>
            </w:r>
            <w:r w:rsidRPr="00167BB3">
              <w:rPr>
                <w:rFonts w:ascii="Calibri" w:eastAsia="Times New Roman" w:hAnsi="Calibri" w:cs="Times New Roman"/>
                <w:lang w:eastAsia="en-NZ"/>
              </w:rPr>
              <w:t>25 years (n=231/1003)</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22.6 (176/778)</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17.8 (13/73)</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34.6 (9/26)</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29.3 (12/41)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21.1 (12/57)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32.1 (9/28)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25-</w:t>
            </w:r>
            <w:r w:rsidRPr="00167BB3">
              <w:rPr>
                <w:rFonts w:ascii="Calibri" w:eastAsia="Times New Roman" w:hAnsi="Calibri" w:cs="Times New Roman"/>
                <w:lang w:eastAsia="en-NZ"/>
              </w:rPr>
              <w:t>30 years (n=213/987)</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21.6 (165/763)</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18.6 (13/71)</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25.9 (7/27)</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29.3 (12/41)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17.5 (10/57)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21.4 (6/28)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lastRenderedPageBreak/>
              <w:t>30-</w:t>
            </w:r>
            <w:r w:rsidRPr="00167BB3">
              <w:rPr>
                <w:rFonts w:ascii="Calibri" w:eastAsia="Times New Roman" w:hAnsi="Calibri" w:cs="Times New Roman"/>
                <w:lang w:eastAsia="en-NZ"/>
              </w:rPr>
              <w:t>35 years (n=156/962)</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15.6 (116/746)</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17.7 (12/68)</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19.2 (5/26)</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22.5 (9/40)</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16.7 (9/54)</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17.9 (5/28)</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Alcohol abuse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21-</w:t>
            </w:r>
            <w:r w:rsidRPr="00167BB3">
              <w:rPr>
                <w:rFonts w:ascii="Calibri" w:eastAsia="Times New Roman" w:hAnsi="Calibri" w:cs="Times New Roman"/>
                <w:lang w:eastAsia="en-NZ"/>
              </w:rPr>
              <w:t>25 years (n=219/1003)</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21.5 (167/778)</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31.5 (23/73)</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23.1 (6/26)</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14.6 (6/41)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21.1 (12/57)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17.9 (5/28)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25-</w:t>
            </w:r>
            <w:r w:rsidRPr="00167BB3">
              <w:rPr>
                <w:rFonts w:ascii="Calibri" w:eastAsia="Times New Roman" w:hAnsi="Calibri" w:cs="Times New Roman"/>
                <w:lang w:eastAsia="en-NZ"/>
              </w:rPr>
              <w:t>30 years (n=136/987)</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13.5 (103/763)</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18.3 (13/71)</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14.8 (4/27)</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14.6 (6/41)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12.3 (7/57)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10.7 (3/28)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30-</w:t>
            </w:r>
            <w:r w:rsidRPr="00167BB3">
              <w:rPr>
                <w:rFonts w:ascii="Calibri" w:eastAsia="Times New Roman" w:hAnsi="Calibri" w:cs="Times New Roman"/>
                <w:lang w:eastAsia="en-NZ"/>
              </w:rPr>
              <w:t>35 years (n=142/962)</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14.9 (111/746)</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22.2 (15/68)</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15.4 (4/26)</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10.0 (4/40)</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9.3 (5/54)</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10.7 (3/28)</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Times New Roman" w:eastAsia="Times New Roman" w:hAnsi="Times New Roman" w:cs="Times New Roman"/>
                <w:sz w:val="20"/>
                <w:szCs w:val="20"/>
                <w:lang w:eastAsia="en-NZ"/>
              </w:rPr>
            </w:pP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Cannabis abuse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21-</w:t>
            </w:r>
            <w:r w:rsidRPr="00167BB3">
              <w:rPr>
                <w:rFonts w:ascii="Calibri" w:eastAsia="Times New Roman" w:hAnsi="Calibri" w:cs="Times New Roman"/>
                <w:lang w:eastAsia="en-NZ"/>
              </w:rPr>
              <w:t>25 years (n=132/1003)</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12.5 (97/778)</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19.2 (14/73)</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30.8 (8/26)</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12.2 (5/41)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7.0 (4/57)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14.3 (4/28)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25-</w:t>
            </w:r>
            <w:r w:rsidRPr="00167BB3">
              <w:rPr>
                <w:rFonts w:ascii="Calibri" w:eastAsia="Times New Roman" w:hAnsi="Calibri" w:cs="Times New Roman"/>
                <w:lang w:eastAsia="en-NZ"/>
              </w:rPr>
              <w:t>30 years (n=66/987)</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5.6 (43/763)</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14.1 (10/71)</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18.5 (5/27)</w:t>
            </w: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4.9 (2/41)</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7.0 (4/57)</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7.1 (2/28)</w:t>
            </w:r>
          </w:p>
        </w:tc>
      </w:tr>
      <w:tr w:rsidR="00BD5AC2" w:rsidRPr="00167BB3" w:rsidTr="004E2C4E">
        <w:trPr>
          <w:trHeight w:val="300"/>
        </w:trPr>
        <w:tc>
          <w:tcPr>
            <w:tcW w:w="3261" w:type="dxa"/>
            <w:gridSpan w:val="2"/>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Pr>
                <w:rFonts w:ascii="Calibri" w:eastAsia="Times New Roman" w:hAnsi="Calibri" w:cs="Times New Roman"/>
                <w:lang w:eastAsia="en-NZ"/>
              </w:rPr>
              <w:t>30-</w:t>
            </w:r>
            <w:r w:rsidRPr="00167BB3">
              <w:rPr>
                <w:rFonts w:ascii="Calibri" w:eastAsia="Times New Roman" w:hAnsi="Calibri" w:cs="Times New Roman"/>
                <w:lang w:eastAsia="en-NZ"/>
              </w:rPr>
              <w:t>35 years (n=63/962)</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Times New Roman" w:eastAsia="Times New Roman" w:hAnsi="Times New Roman" w:cs="Times New Roman"/>
                <w:sz w:val="20"/>
                <w:szCs w:val="20"/>
                <w:lang w:eastAsia="en-NZ"/>
              </w:rPr>
            </w:pPr>
          </w:p>
        </w:tc>
      </w:tr>
      <w:tr w:rsidR="00BD5AC2" w:rsidRPr="00167BB3" w:rsidTr="004E2C4E">
        <w:trPr>
          <w:trHeight w:val="300"/>
        </w:trPr>
        <w:tc>
          <w:tcPr>
            <w:tcW w:w="1560"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Stable</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6.0 (45/746</w:t>
            </w:r>
          </w:p>
        </w:tc>
        <w:tc>
          <w:tcPr>
            <w:tcW w:w="1701"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11.8 (8/68)</w:t>
            </w:r>
          </w:p>
        </w:tc>
        <w:tc>
          <w:tcPr>
            <w:tcW w:w="1842" w:type="dxa"/>
            <w:tcBorders>
              <w:top w:val="nil"/>
              <w:left w:val="nil"/>
              <w:bottom w:val="nil"/>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11.5 (3/26)</w:t>
            </w:r>
          </w:p>
        </w:tc>
      </w:tr>
      <w:tr w:rsidR="00BD5AC2" w:rsidRPr="00167BB3" w:rsidTr="004E2C4E">
        <w:trPr>
          <w:trHeight w:val="300"/>
        </w:trPr>
        <w:tc>
          <w:tcPr>
            <w:tcW w:w="1560"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rPr>
                <w:rFonts w:ascii="Calibri" w:eastAsia="Times New Roman" w:hAnsi="Calibri" w:cs="Times New Roman"/>
                <w:lang w:eastAsia="en-NZ"/>
              </w:rPr>
            </w:pPr>
            <w:r w:rsidRPr="00167BB3">
              <w:rPr>
                <w:rFonts w:ascii="Calibri" w:eastAsia="Times New Roman" w:hAnsi="Calibri" w:cs="Times New Roman"/>
                <w:lang w:eastAsia="en-NZ"/>
              </w:rPr>
              <w:t>Fluid</w:t>
            </w:r>
          </w:p>
        </w:tc>
        <w:tc>
          <w:tcPr>
            <w:tcW w:w="1701"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7.5 (3/40)</w:t>
            </w:r>
          </w:p>
        </w:tc>
        <w:tc>
          <w:tcPr>
            <w:tcW w:w="1701"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5.6 (3/54)</w:t>
            </w:r>
          </w:p>
        </w:tc>
        <w:tc>
          <w:tcPr>
            <w:tcW w:w="1842" w:type="dxa"/>
            <w:tcBorders>
              <w:top w:val="nil"/>
              <w:left w:val="nil"/>
              <w:bottom w:val="single" w:sz="4" w:space="0" w:color="auto"/>
              <w:right w:val="nil"/>
            </w:tcBorders>
            <w:shd w:val="clear" w:color="auto" w:fill="auto"/>
            <w:noWrap/>
            <w:vAlign w:val="bottom"/>
            <w:hideMark/>
          </w:tcPr>
          <w:p w:rsidR="00BD5AC2" w:rsidRPr="00167BB3" w:rsidRDefault="00BD5AC2" w:rsidP="004E2C4E">
            <w:pPr>
              <w:spacing w:after="0" w:line="240" w:lineRule="auto"/>
              <w:jc w:val="center"/>
              <w:rPr>
                <w:rFonts w:ascii="Calibri" w:eastAsia="Times New Roman" w:hAnsi="Calibri" w:cs="Times New Roman"/>
                <w:lang w:eastAsia="en-NZ"/>
              </w:rPr>
            </w:pPr>
            <w:r w:rsidRPr="00167BB3">
              <w:rPr>
                <w:rFonts w:ascii="Calibri" w:eastAsia="Times New Roman" w:hAnsi="Calibri" w:cs="Times New Roman"/>
                <w:lang w:eastAsia="en-NZ"/>
              </w:rPr>
              <w:t>3.6 (1/28)</w:t>
            </w:r>
          </w:p>
        </w:tc>
      </w:tr>
    </w:tbl>
    <w:p w:rsidR="00BD5AC2" w:rsidRPr="00167BB3" w:rsidRDefault="00BD5AC2" w:rsidP="00BD5AC2">
      <w:pPr>
        <w:spacing w:after="0" w:line="240" w:lineRule="auto"/>
      </w:pPr>
    </w:p>
    <w:p w:rsidR="00BD5AC2" w:rsidRPr="00167BB3" w:rsidRDefault="00BD5AC2" w:rsidP="00BD5AC2"/>
    <w:p w:rsidR="00317CCF" w:rsidRDefault="00DB1D68"/>
    <w:sectPr w:rsidR="00317CCF" w:rsidSect="00C53482">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544503"/>
      <w:docPartObj>
        <w:docPartGallery w:val="Page Numbers (Bottom of Page)"/>
        <w:docPartUnique/>
      </w:docPartObj>
    </w:sdtPr>
    <w:sdtEndPr>
      <w:rPr>
        <w:noProof/>
      </w:rPr>
    </w:sdtEndPr>
    <w:sdtContent>
      <w:p w:rsidR="00BD5AC2" w:rsidRDefault="00BD5AC2">
        <w:pPr>
          <w:pStyle w:val="Footer"/>
          <w:jc w:val="right"/>
        </w:pPr>
        <w:r>
          <w:fldChar w:fldCharType="begin"/>
        </w:r>
        <w:r>
          <w:instrText xml:space="preserve"> PAGE   \* MERGEFORMAT </w:instrText>
        </w:r>
        <w:r>
          <w:fldChar w:fldCharType="separate"/>
        </w:r>
        <w:r w:rsidR="00DB1D68">
          <w:rPr>
            <w:noProof/>
          </w:rPr>
          <w:t>8</w:t>
        </w:r>
        <w:r>
          <w:rPr>
            <w:noProof/>
          </w:rPr>
          <w:fldChar w:fldCharType="end"/>
        </w:r>
      </w:p>
    </w:sdtContent>
  </w:sdt>
  <w:p w:rsidR="00BD5AC2" w:rsidRDefault="00BD5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030343"/>
      <w:docPartObj>
        <w:docPartGallery w:val="Page Numbers (Bottom of Page)"/>
        <w:docPartUnique/>
      </w:docPartObj>
    </w:sdtPr>
    <w:sdtEndPr>
      <w:rPr>
        <w:noProof/>
      </w:rPr>
    </w:sdtEndPr>
    <w:sdtContent>
      <w:p w:rsidR="00C03129" w:rsidRDefault="00DB1D68">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C03129" w:rsidRDefault="00DB1D6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81ACF"/>
    <w:multiLevelType w:val="hybridMultilevel"/>
    <w:tmpl w:val="CDCEF2EA"/>
    <w:lvl w:ilvl="0" w:tplc="17EC2D6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4690281"/>
    <w:multiLevelType w:val="hybridMultilevel"/>
    <w:tmpl w:val="B918806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4A0196A"/>
    <w:multiLevelType w:val="hybridMultilevel"/>
    <w:tmpl w:val="68BEDAD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3DD27CD"/>
    <w:multiLevelType w:val="hybridMultilevel"/>
    <w:tmpl w:val="128CC45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daweefrw52sgefxe35avvq0r2pvvdz50wa&quot;&gt;CHDS LGB Library&lt;record-ids&gt;&lt;item&gt;3&lt;/item&gt;&lt;item&gt;4&lt;/item&gt;&lt;item&gt;130&lt;/item&gt;&lt;item&gt;131&lt;/item&gt;&lt;item&gt;132&lt;/item&gt;&lt;item&gt;133&lt;/item&gt;&lt;item&gt;134&lt;/item&gt;&lt;item&gt;138&lt;/item&gt;&lt;item&gt;166&lt;/item&gt;&lt;item&gt;168&lt;/item&gt;&lt;item&gt;184&lt;/item&gt;&lt;item&gt;185&lt;/item&gt;&lt;item&gt;186&lt;/item&gt;&lt;item&gt;188&lt;/item&gt;&lt;item&gt;189&lt;/item&gt;&lt;/record-ids&gt;&lt;/item&gt;&lt;/Libraries&gt;"/>
  </w:docVars>
  <w:rsids>
    <w:rsidRoot w:val="00BD5AC2"/>
    <w:rsid w:val="00186F0F"/>
    <w:rsid w:val="00391281"/>
    <w:rsid w:val="007821A8"/>
    <w:rsid w:val="00895063"/>
    <w:rsid w:val="00B350F4"/>
    <w:rsid w:val="00BD5AC2"/>
    <w:rsid w:val="00CC3487"/>
    <w:rsid w:val="00DA32A4"/>
    <w:rsid w:val="00DB1D68"/>
    <w:rsid w:val="00ED5DE2"/>
    <w:rsid w:val="00FC44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8270F9D-7C7C-420B-A222-6020DB1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A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AC2"/>
    <w:pPr>
      <w:ind w:left="720"/>
      <w:contextualSpacing/>
    </w:pPr>
  </w:style>
  <w:style w:type="paragraph" w:customStyle="1" w:styleId="EndNoteBibliographyTitle">
    <w:name w:val="EndNote Bibliography Title"/>
    <w:basedOn w:val="Normal"/>
    <w:link w:val="EndNoteBibliographyTitleChar"/>
    <w:rsid w:val="00BD5AC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D5AC2"/>
    <w:rPr>
      <w:rFonts w:ascii="Calibri" w:hAnsi="Calibri"/>
      <w:noProof/>
      <w:lang w:val="en-US"/>
    </w:rPr>
  </w:style>
  <w:style w:type="paragraph" w:customStyle="1" w:styleId="EndNoteBibliography">
    <w:name w:val="EndNote Bibliography"/>
    <w:basedOn w:val="Normal"/>
    <w:link w:val="EndNoteBibliographyChar"/>
    <w:rsid w:val="00BD5AC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D5AC2"/>
    <w:rPr>
      <w:rFonts w:ascii="Calibri" w:hAnsi="Calibri"/>
      <w:noProof/>
      <w:lang w:val="en-US"/>
    </w:rPr>
  </w:style>
  <w:style w:type="character" w:styleId="CommentReference">
    <w:name w:val="annotation reference"/>
    <w:basedOn w:val="DefaultParagraphFont"/>
    <w:uiPriority w:val="99"/>
    <w:semiHidden/>
    <w:unhideWhenUsed/>
    <w:rsid w:val="00BD5AC2"/>
    <w:rPr>
      <w:sz w:val="16"/>
      <w:szCs w:val="16"/>
    </w:rPr>
  </w:style>
  <w:style w:type="paragraph" w:styleId="CommentText">
    <w:name w:val="annotation text"/>
    <w:basedOn w:val="Normal"/>
    <w:link w:val="CommentTextChar"/>
    <w:uiPriority w:val="99"/>
    <w:semiHidden/>
    <w:unhideWhenUsed/>
    <w:rsid w:val="00BD5AC2"/>
    <w:pPr>
      <w:spacing w:line="240" w:lineRule="auto"/>
    </w:pPr>
    <w:rPr>
      <w:sz w:val="20"/>
      <w:szCs w:val="20"/>
    </w:rPr>
  </w:style>
  <w:style w:type="character" w:customStyle="1" w:styleId="CommentTextChar">
    <w:name w:val="Comment Text Char"/>
    <w:basedOn w:val="DefaultParagraphFont"/>
    <w:link w:val="CommentText"/>
    <w:uiPriority w:val="99"/>
    <w:semiHidden/>
    <w:rsid w:val="00BD5AC2"/>
    <w:rPr>
      <w:sz w:val="20"/>
      <w:szCs w:val="20"/>
    </w:rPr>
  </w:style>
  <w:style w:type="paragraph" w:styleId="CommentSubject">
    <w:name w:val="annotation subject"/>
    <w:basedOn w:val="CommentText"/>
    <w:next w:val="CommentText"/>
    <w:link w:val="CommentSubjectChar"/>
    <w:uiPriority w:val="99"/>
    <w:semiHidden/>
    <w:unhideWhenUsed/>
    <w:rsid w:val="00BD5AC2"/>
    <w:rPr>
      <w:b/>
      <w:bCs/>
    </w:rPr>
  </w:style>
  <w:style w:type="character" w:customStyle="1" w:styleId="CommentSubjectChar">
    <w:name w:val="Comment Subject Char"/>
    <w:basedOn w:val="CommentTextChar"/>
    <w:link w:val="CommentSubject"/>
    <w:uiPriority w:val="99"/>
    <w:semiHidden/>
    <w:rsid w:val="00BD5AC2"/>
    <w:rPr>
      <w:b/>
      <w:bCs/>
      <w:sz w:val="20"/>
      <w:szCs w:val="20"/>
    </w:rPr>
  </w:style>
  <w:style w:type="paragraph" w:styleId="BalloonText">
    <w:name w:val="Balloon Text"/>
    <w:basedOn w:val="Normal"/>
    <w:link w:val="BalloonTextChar"/>
    <w:uiPriority w:val="99"/>
    <w:semiHidden/>
    <w:unhideWhenUsed/>
    <w:rsid w:val="00BD5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AC2"/>
    <w:rPr>
      <w:rFonts w:ascii="Segoe UI" w:hAnsi="Segoe UI" w:cs="Segoe UI"/>
      <w:sz w:val="18"/>
      <w:szCs w:val="18"/>
    </w:rPr>
  </w:style>
  <w:style w:type="paragraph" w:styleId="Header">
    <w:name w:val="header"/>
    <w:basedOn w:val="Normal"/>
    <w:link w:val="HeaderChar"/>
    <w:uiPriority w:val="99"/>
    <w:unhideWhenUsed/>
    <w:rsid w:val="00BD5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AC2"/>
  </w:style>
  <w:style w:type="paragraph" w:styleId="Footer">
    <w:name w:val="footer"/>
    <w:basedOn w:val="Normal"/>
    <w:link w:val="FooterChar"/>
    <w:uiPriority w:val="99"/>
    <w:unhideWhenUsed/>
    <w:rsid w:val="00BD5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AC2"/>
  </w:style>
  <w:style w:type="character" w:styleId="Hyperlink">
    <w:name w:val="Hyperlink"/>
    <w:basedOn w:val="DefaultParagraphFont"/>
    <w:uiPriority w:val="99"/>
    <w:unhideWhenUsed/>
    <w:rsid w:val="00BD5AC2"/>
    <w:rPr>
      <w:color w:val="0563C1" w:themeColor="hyperlink"/>
      <w:u w:val="single"/>
    </w:rPr>
  </w:style>
  <w:style w:type="paragraph" w:styleId="Revision">
    <w:name w:val="Revision"/>
    <w:hidden/>
    <w:uiPriority w:val="99"/>
    <w:semiHidden/>
    <w:rsid w:val="00BD5AC2"/>
    <w:pPr>
      <w:spacing w:after="0" w:line="240" w:lineRule="auto"/>
    </w:pPr>
  </w:style>
  <w:style w:type="paragraph" w:customStyle="1" w:styleId="Default">
    <w:name w:val="Default"/>
    <w:rsid w:val="00BD5AC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D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20</Pages>
  <Words>7424</Words>
  <Characters>42322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49647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Spittlehouse</dc:creator>
  <cp:keywords/>
  <dc:description/>
  <cp:lastModifiedBy>Janet Spittlehouse</cp:lastModifiedBy>
  <cp:revision>2</cp:revision>
  <dcterms:created xsi:type="dcterms:W3CDTF">2019-06-03T21:50:00Z</dcterms:created>
  <dcterms:modified xsi:type="dcterms:W3CDTF">2019-06-04T02:10:00Z</dcterms:modified>
</cp:coreProperties>
</file>