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ED75" w14:textId="77777777" w:rsidR="001520E0" w:rsidRPr="001520E0" w:rsidRDefault="0099106E" w:rsidP="001520E0">
      <w:pPr>
        <w:widowControl w:val="0"/>
        <w:autoSpaceDE w:val="0"/>
        <w:autoSpaceDN w:val="0"/>
        <w:adjustRightInd w:val="0"/>
        <w:spacing w:line="480" w:lineRule="auto"/>
        <w:ind w:left="640" w:hanging="640"/>
        <w:rPr>
          <w:rFonts w:ascii="Times New Roman" w:hAnsi="Times New Roman" w:cs="Times New Roman"/>
          <w:u w:val="single"/>
          <w:lang w:val="en-GB" w:eastAsia="en-GB"/>
        </w:rPr>
      </w:pPr>
      <w:r w:rsidRPr="001520E0">
        <w:rPr>
          <w:rFonts w:ascii="Times New Roman" w:hAnsi="Times New Roman" w:cs="Times New Roman"/>
          <w:u w:val="single"/>
          <w:lang w:val="en-GB" w:eastAsia="en-GB"/>
        </w:rPr>
        <w:t>Appendix</w:t>
      </w:r>
      <w:r w:rsidR="004E1F93" w:rsidRPr="001520E0">
        <w:rPr>
          <w:rFonts w:ascii="Times New Roman" w:hAnsi="Times New Roman" w:cs="Times New Roman"/>
          <w:u w:val="single"/>
          <w:lang w:val="en-GB" w:eastAsia="en-GB"/>
        </w:rPr>
        <w:t xml:space="preserve"> </w:t>
      </w:r>
      <w:r w:rsidR="00FB78D4" w:rsidRPr="001520E0">
        <w:rPr>
          <w:rFonts w:ascii="Times New Roman" w:hAnsi="Times New Roman" w:cs="Times New Roman"/>
          <w:u w:val="single"/>
          <w:lang w:val="en-GB" w:eastAsia="en-GB"/>
        </w:rPr>
        <w:t>Puetz et al.</w:t>
      </w:r>
    </w:p>
    <w:p w14:paraId="0F5D20B2" w14:textId="6A7A9FEB" w:rsidR="003F344D" w:rsidRPr="001520E0" w:rsidRDefault="003F344D" w:rsidP="001520E0">
      <w:pPr>
        <w:widowControl w:val="0"/>
        <w:autoSpaceDE w:val="0"/>
        <w:autoSpaceDN w:val="0"/>
        <w:adjustRightInd w:val="0"/>
        <w:spacing w:line="480" w:lineRule="auto"/>
        <w:ind w:left="640" w:hanging="640"/>
        <w:rPr>
          <w:rFonts w:ascii="Times New Roman" w:hAnsi="Times New Roman" w:cs="Times New Roman"/>
          <w:u w:val="single"/>
          <w:lang w:val="en-GB" w:eastAsia="en-GB"/>
        </w:rPr>
      </w:pPr>
      <w:r w:rsidRPr="001520E0">
        <w:rPr>
          <w:rFonts w:ascii="Times New Roman" w:hAnsi="Times New Roman" w:cs="Times New Roman"/>
          <w:b/>
          <w:lang w:val="en-GB" w:eastAsia="en-GB"/>
        </w:rPr>
        <w:t>Table S1</w:t>
      </w:r>
      <w:r w:rsidRPr="001520E0">
        <w:rPr>
          <w:rFonts w:ascii="Times New Roman" w:hAnsi="Times New Roman" w:cs="Times New Roman"/>
          <w:lang w:val="en-GB" w:eastAsia="en-GB"/>
        </w:rPr>
        <w:t>. Participant demographics</w:t>
      </w:r>
    </w:p>
    <w:tbl>
      <w:tblPr>
        <w:tblW w:w="0" w:type="auto"/>
        <w:tblLook w:val="04A0" w:firstRow="1" w:lastRow="0" w:firstColumn="1" w:lastColumn="0" w:noHBand="0" w:noVBand="1"/>
      </w:tblPr>
      <w:tblGrid>
        <w:gridCol w:w="783"/>
        <w:gridCol w:w="176"/>
        <w:gridCol w:w="427"/>
        <w:gridCol w:w="1218"/>
        <w:gridCol w:w="345"/>
        <w:gridCol w:w="345"/>
        <w:gridCol w:w="345"/>
        <w:gridCol w:w="358"/>
        <w:gridCol w:w="358"/>
        <w:gridCol w:w="358"/>
        <w:gridCol w:w="358"/>
        <w:gridCol w:w="392"/>
        <w:gridCol w:w="391"/>
        <w:gridCol w:w="391"/>
        <w:gridCol w:w="391"/>
        <w:gridCol w:w="297"/>
        <w:gridCol w:w="452"/>
        <w:gridCol w:w="90"/>
        <w:gridCol w:w="1591"/>
      </w:tblGrid>
      <w:tr w:rsidR="00E80B54" w:rsidRPr="001520E0" w14:paraId="1129CB36" w14:textId="77777777" w:rsidTr="00E80B54">
        <w:trPr>
          <w:trHeight w:val="517"/>
        </w:trPr>
        <w:tc>
          <w:tcPr>
            <w:tcW w:w="0" w:type="auto"/>
            <w:tcBorders>
              <w:top w:val="single" w:sz="4" w:space="0" w:color="auto"/>
              <w:left w:val="nil"/>
              <w:bottom w:val="nil"/>
              <w:right w:val="nil"/>
            </w:tcBorders>
            <w:shd w:val="clear" w:color="000000" w:fill="FFFFFF"/>
            <w:vAlign w:val="center"/>
            <w:hideMark/>
          </w:tcPr>
          <w:p w14:paraId="02BC1127"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single" w:sz="4" w:space="0" w:color="auto"/>
              <w:left w:val="nil"/>
              <w:bottom w:val="nil"/>
              <w:right w:val="nil"/>
            </w:tcBorders>
            <w:shd w:val="clear" w:color="000000" w:fill="FFFFFF"/>
            <w:vAlign w:val="center"/>
            <w:hideMark/>
          </w:tcPr>
          <w:p w14:paraId="03EAB966"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5ED72252" w14:textId="7464C3A0" w:rsidR="003F344D" w:rsidRPr="001520E0" w:rsidRDefault="003F344D" w:rsidP="00E80B54">
            <w:pPr>
              <w:ind w:right="-15"/>
              <w:jc w:val="center"/>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Abus</w:t>
            </w:r>
            <w:r w:rsidR="001520E0" w:rsidRPr="001520E0">
              <w:rPr>
                <w:rFonts w:ascii="Times New Roman" w:eastAsia="Times New Roman" w:hAnsi="Times New Roman" w:cs="Times New Roman"/>
                <w:b/>
                <w:bCs/>
                <w:color w:val="000000"/>
                <w:sz w:val="18"/>
                <w:szCs w:val="18"/>
                <w:lang w:val="en-GB" w:eastAsia="en-GB"/>
              </w:rPr>
              <w:t>e</w:t>
            </w:r>
            <w:r w:rsidRPr="001520E0">
              <w:rPr>
                <w:rFonts w:ascii="Times New Roman" w:eastAsia="Times New Roman" w:hAnsi="Times New Roman" w:cs="Times New Roman"/>
                <w:b/>
                <w:bCs/>
                <w:color w:val="000000"/>
                <w:sz w:val="18"/>
                <w:szCs w:val="18"/>
                <w:lang w:val="en-GB" w:eastAsia="en-GB"/>
              </w:rPr>
              <w:t xml:space="preserve"> group (</w:t>
            </w:r>
            <w:r w:rsidRPr="001520E0">
              <w:rPr>
                <w:rFonts w:ascii="Times New Roman" w:eastAsia="Times New Roman" w:hAnsi="Times New Roman" w:cs="Times New Roman"/>
                <w:b/>
                <w:bCs/>
                <w:i/>
                <w:iCs/>
                <w:color w:val="000000"/>
                <w:sz w:val="18"/>
                <w:szCs w:val="18"/>
                <w:lang w:val="en-GB" w:eastAsia="en-GB"/>
              </w:rPr>
              <w:t>n</w:t>
            </w:r>
            <w:r w:rsidRPr="001520E0">
              <w:rPr>
                <w:rFonts w:ascii="Times New Roman" w:eastAsia="Times New Roman" w:hAnsi="Times New Roman" w:cs="Times New Roman"/>
                <w:b/>
                <w:bCs/>
                <w:color w:val="000000"/>
                <w:sz w:val="18"/>
                <w:szCs w:val="18"/>
                <w:lang w:val="en-GB" w:eastAsia="en-GB"/>
              </w:rPr>
              <w:t>=70)</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7E4C9152" w14:textId="377F036F" w:rsidR="003F344D" w:rsidRPr="001520E0" w:rsidRDefault="003F344D" w:rsidP="00E80B54">
            <w:pPr>
              <w:ind w:right="-15"/>
              <w:jc w:val="center"/>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Neglect group (</w:t>
            </w:r>
            <w:r w:rsidRPr="001520E0">
              <w:rPr>
                <w:rFonts w:ascii="Times New Roman" w:eastAsia="Times New Roman" w:hAnsi="Times New Roman" w:cs="Times New Roman"/>
                <w:b/>
                <w:bCs/>
                <w:i/>
                <w:iCs/>
                <w:color w:val="000000"/>
                <w:sz w:val="18"/>
                <w:szCs w:val="18"/>
                <w:lang w:val="en-GB" w:eastAsia="en-GB"/>
              </w:rPr>
              <w:t>n</w:t>
            </w:r>
            <w:r w:rsidRPr="001520E0">
              <w:rPr>
                <w:rFonts w:ascii="Times New Roman" w:eastAsia="Times New Roman" w:hAnsi="Times New Roman" w:cs="Times New Roman"/>
                <w:b/>
                <w:bCs/>
                <w:color w:val="000000"/>
                <w:sz w:val="18"/>
                <w:szCs w:val="18"/>
                <w:lang w:val="en-GB" w:eastAsia="en-GB"/>
              </w:rPr>
              <w:t>=87)</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5A6FFD22" w14:textId="77777777" w:rsidR="003F344D" w:rsidRPr="001520E0" w:rsidRDefault="003F344D" w:rsidP="00E80B54">
            <w:pPr>
              <w:ind w:right="-15"/>
              <w:jc w:val="center"/>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Combined group (</w:t>
            </w:r>
            <w:r w:rsidRPr="001520E0">
              <w:rPr>
                <w:rFonts w:ascii="Times New Roman" w:eastAsia="Times New Roman" w:hAnsi="Times New Roman" w:cs="Times New Roman"/>
                <w:b/>
                <w:bCs/>
                <w:i/>
                <w:iCs/>
                <w:color w:val="000000"/>
                <w:sz w:val="18"/>
                <w:szCs w:val="18"/>
                <w:lang w:val="en-GB" w:eastAsia="en-GB"/>
              </w:rPr>
              <w:t>n</w:t>
            </w:r>
            <w:r w:rsidRPr="001520E0">
              <w:rPr>
                <w:rFonts w:ascii="Times New Roman" w:eastAsia="Times New Roman" w:hAnsi="Times New Roman" w:cs="Times New Roman"/>
                <w:b/>
                <w:bCs/>
                <w:color w:val="000000"/>
                <w:sz w:val="18"/>
                <w:szCs w:val="18"/>
                <w:lang w:val="en-GB" w:eastAsia="en-GB"/>
              </w:rPr>
              <w:t>=50)</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154EF56B" w14:textId="77777777" w:rsidR="003F344D" w:rsidRPr="001520E0" w:rsidRDefault="003F344D" w:rsidP="00E80B54">
            <w:pPr>
              <w:ind w:right="-15"/>
              <w:jc w:val="center"/>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Non-maltreated group (</w:t>
            </w:r>
            <w:r w:rsidRPr="001520E0">
              <w:rPr>
                <w:rFonts w:ascii="Times New Roman" w:eastAsia="Times New Roman" w:hAnsi="Times New Roman" w:cs="Times New Roman"/>
                <w:b/>
                <w:bCs/>
                <w:i/>
                <w:iCs/>
                <w:color w:val="000000"/>
                <w:sz w:val="18"/>
                <w:szCs w:val="18"/>
                <w:lang w:val="en-GB" w:eastAsia="en-GB"/>
              </w:rPr>
              <w:t>n</w:t>
            </w:r>
            <w:r w:rsidRPr="001520E0">
              <w:rPr>
                <w:rFonts w:ascii="Times New Roman" w:eastAsia="Times New Roman" w:hAnsi="Times New Roman" w:cs="Times New Roman"/>
                <w:b/>
                <w:bCs/>
                <w:color w:val="000000"/>
                <w:sz w:val="18"/>
                <w:szCs w:val="18"/>
                <w:lang w:val="en-GB" w:eastAsia="en-GB"/>
              </w:rPr>
              <w:t>=207)</w:t>
            </w:r>
          </w:p>
        </w:tc>
      </w:tr>
      <w:tr w:rsidR="001520E0" w:rsidRPr="001520E0" w14:paraId="3507901D" w14:textId="77777777" w:rsidTr="00E80B54">
        <w:trPr>
          <w:trHeight w:val="340"/>
        </w:trPr>
        <w:tc>
          <w:tcPr>
            <w:tcW w:w="0" w:type="auto"/>
            <w:tcBorders>
              <w:top w:val="single" w:sz="4" w:space="0" w:color="auto"/>
              <w:left w:val="nil"/>
              <w:bottom w:val="single" w:sz="8" w:space="0" w:color="auto"/>
              <w:right w:val="nil"/>
            </w:tcBorders>
            <w:shd w:val="clear" w:color="000000" w:fill="FFFFFF"/>
            <w:vAlign w:val="center"/>
            <w:hideMark/>
          </w:tcPr>
          <w:p w14:paraId="0B659915"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Measure</w:t>
            </w:r>
          </w:p>
        </w:tc>
        <w:tc>
          <w:tcPr>
            <w:tcW w:w="0" w:type="auto"/>
            <w:gridSpan w:val="2"/>
            <w:tcBorders>
              <w:top w:val="single" w:sz="4" w:space="0" w:color="auto"/>
              <w:left w:val="nil"/>
              <w:bottom w:val="single" w:sz="8" w:space="0" w:color="auto"/>
              <w:right w:val="nil"/>
            </w:tcBorders>
            <w:shd w:val="clear" w:color="000000" w:fill="FFFFFF"/>
            <w:vAlign w:val="center"/>
            <w:hideMark/>
          </w:tcPr>
          <w:p w14:paraId="53AE7286"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single" w:sz="8" w:space="0" w:color="auto"/>
              <w:right w:val="nil"/>
            </w:tcBorders>
            <w:shd w:val="clear" w:color="000000" w:fill="D9D9D9"/>
            <w:noWrap/>
            <w:vAlign w:val="center"/>
            <w:hideMark/>
          </w:tcPr>
          <w:p w14:paraId="666C6BD9"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nil"/>
              <w:left w:val="nil"/>
              <w:bottom w:val="single" w:sz="8" w:space="0" w:color="auto"/>
              <w:right w:val="nil"/>
            </w:tcBorders>
            <w:shd w:val="clear" w:color="000000" w:fill="D9D9D9"/>
            <w:noWrap/>
            <w:vAlign w:val="center"/>
            <w:hideMark/>
          </w:tcPr>
          <w:p w14:paraId="6872569F"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nil"/>
              <w:left w:val="nil"/>
              <w:bottom w:val="single" w:sz="8" w:space="0" w:color="auto"/>
              <w:right w:val="nil"/>
            </w:tcBorders>
            <w:shd w:val="clear" w:color="000000" w:fill="D9D9D9"/>
            <w:noWrap/>
            <w:vAlign w:val="center"/>
            <w:hideMark/>
          </w:tcPr>
          <w:p w14:paraId="0571F618"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nil"/>
              <w:left w:val="nil"/>
              <w:bottom w:val="single" w:sz="8" w:space="0" w:color="auto"/>
              <w:right w:val="nil"/>
            </w:tcBorders>
            <w:shd w:val="clear" w:color="000000" w:fill="D9D9D9"/>
            <w:noWrap/>
            <w:vAlign w:val="center"/>
            <w:hideMark/>
          </w:tcPr>
          <w:p w14:paraId="7FFAB282"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nil"/>
              <w:left w:val="nil"/>
              <w:bottom w:val="single" w:sz="8" w:space="0" w:color="auto"/>
              <w:right w:val="nil"/>
            </w:tcBorders>
            <w:shd w:val="clear" w:color="000000" w:fill="D9D9D9"/>
            <w:noWrap/>
            <w:vAlign w:val="center"/>
            <w:hideMark/>
          </w:tcPr>
          <w:p w14:paraId="4F9F237B"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nil"/>
              <w:left w:val="nil"/>
              <w:bottom w:val="single" w:sz="8" w:space="0" w:color="auto"/>
              <w:right w:val="nil"/>
            </w:tcBorders>
            <w:shd w:val="clear" w:color="000000" w:fill="D9D9D9"/>
            <w:noWrap/>
            <w:vAlign w:val="center"/>
            <w:hideMark/>
          </w:tcPr>
          <w:p w14:paraId="27210212"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nil"/>
              <w:left w:val="nil"/>
              <w:bottom w:val="single" w:sz="8" w:space="0" w:color="auto"/>
              <w:right w:val="nil"/>
            </w:tcBorders>
            <w:shd w:val="clear" w:color="000000" w:fill="D9D9D9"/>
            <w:noWrap/>
            <w:vAlign w:val="center"/>
            <w:hideMark/>
          </w:tcPr>
          <w:p w14:paraId="385944F5"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nil"/>
              <w:left w:val="nil"/>
              <w:bottom w:val="single" w:sz="8" w:space="0" w:color="auto"/>
              <w:right w:val="nil"/>
            </w:tcBorders>
            <w:shd w:val="clear" w:color="000000" w:fill="D9D9D9"/>
            <w:noWrap/>
            <w:vAlign w:val="center"/>
            <w:hideMark/>
          </w:tcPr>
          <w:p w14:paraId="53B72B5E"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r>
      <w:tr w:rsidR="001520E0" w:rsidRPr="001520E0" w14:paraId="21D1A57A" w14:textId="77777777" w:rsidTr="00E80B54">
        <w:trPr>
          <w:trHeight w:val="320"/>
        </w:trPr>
        <w:tc>
          <w:tcPr>
            <w:tcW w:w="0" w:type="auto"/>
            <w:tcBorders>
              <w:top w:val="nil"/>
              <w:left w:val="nil"/>
              <w:bottom w:val="nil"/>
              <w:right w:val="nil"/>
            </w:tcBorders>
            <w:shd w:val="clear" w:color="000000" w:fill="FFFFFF"/>
            <w:noWrap/>
            <w:vAlign w:val="bottom"/>
            <w:hideMark/>
          </w:tcPr>
          <w:p w14:paraId="7E306FA3"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Age (years)</w:t>
            </w:r>
          </w:p>
        </w:tc>
        <w:tc>
          <w:tcPr>
            <w:tcW w:w="0" w:type="auto"/>
            <w:gridSpan w:val="2"/>
            <w:tcBorders>
              <w:top w:val="nil"/>
              <w:left w:val="nil"/>
              <w:bottom w:val="nil"/>
              <w:right w:val="nil"/>
            </w:tcBorders>
            <w:shd w:val="clear" w:color="000000" w:fill="FFFFFF"/>
            <w:noWrap/>
            <w:vAlign w:val="bottom"/>
            <w:hideMark/>
          </w:tcPr>
          <w:p w14:paraId="2337CEE1"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F08619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19.93</w:t>
            </w:r>
          </w:p>
        </w:tc>
        <w:tc>
          <w:tcPr>
            <w:tcW w:w="0" w:type="auto"/>
            <w:gridSpan w:val="2"/>
            <w:tcBorders>
              <w:top w:val="nil"/>
              <w:left w:val="nil"/>
              <w:bottom w:val="nil"/>
              <w:right w:val="nil"/>
            </w:tcBorders>
            <w:shd w:val="clear" w:color="000000" w:fill="FFFFFF"/>
            <w:noWrap/>
            <w:vAlign w:val="bottom"/>
            <w:hideMark/>
          </w:tcPr>
          <w:p w14:paraId="6F9474C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1.38</w:t>
            </w:r>
          </w:p>
        </w:tc>
        <w:tc>
          <w:tcPr>
            <w:tcW w:w="0" w:type="auto"/>
            <w:gridSpan w:val="2"/>
            <w:tcBorders>
              <w:top w:val="nil"/>
              <w:left w:val="nil"/>
              <w:bottom w:val="nil"/>
              <w:right w:val="nil"/>
            </w:tcBorders>
            <w:shd w:val="clear" w:color="000000" w:fill="FFFFFF"/>
            <w:noWrap/>
            <w:vAlign w:val="bottom"/>
            <w:hideMark/>
          </w:tcPr>
          <w:p w14:paraId="2D510CD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19.51</w:t>
            </w:r>
          </w:p>
        </w:tc>
        <w:tc>
          <w:tcPr>
            <w:tcW w:w="0" w:type="auto"/>
            <w:gridSpan w:val="2"/>
            <w:tcBorders>
              <w:top w:val="nil"/>
              <w:left w:val="nil"/>
              <w:bottom w:val="nil"/>
              <w:right w:val="nil"/>
            </w:tcBorders>
            <w:shd w:val="clear" w:color="000000" w:fill="FFFFFF"/>
            <w:noWrap/>
            <w:vAlign w:val="bottom"/>
            <w:hideMark/>
          </w:tcPr>
          <w:p w14:paraId="1965D15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1.26</w:t>
            </w:r>
          </w:p>
        </w:tc>
        <w:tc>
          <w:tcPr>
            <w:tcW w:w="0" w:type="auto"/>
            <w:gridSpan w:val="2"/>
            <w:tcBorders>
              <w:top w:val="nil"/>
              <w:left w:val="nil"/>
              <w:bottom w:val="nil"/>
              <w:right w:val="nil"/>
            </w:tcBorders>
            <w:shd w:val="clear" w:color="000000" w:fill="FFFFFF"/>
            <w:noWrap/>
            <w:vAlign w:val="bottom"/>
            <w:hideMark/>
          </w:tcPr>
          <w:p w14:paraId="721CFCE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19.74</w:t>
            </w:r>
          </w:p>
        </w:tc>
        <w:tc>
          <w:tcPr>
            <w:tcW w:w="0" w:type="auto"/>
            <w:gridSpan w:val="2"/>
            <w:tcBorders>
              <w:top w:val="nil"/>
              <w:left w:val="nil"/>
              <w:bottom w:val="nil"/>
              <w:right w:val="nil"/>
            </w:tcBorders>
            <w:shd w:val="clear" w:color="000000" w:fill="FFFFFF"/>
            <w:noWrap/>
            <w:vAlign w:val="bottom"/>
            <w:hideMark/>
          </w:tcPr>
          <w:p w14:paraId="5D1E0A6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1.12</w:t>
            </w:r>
          </w:p>
        </w:tc>
        <w:tc>
          <w:tcPr>
            <w:tcW w:w="0" w:type="auto"/>
            <w:gridSpan w:val="2"/>
            <w:tcBorders>
              <w:top w:val="nil"/>
              <w:left w:val="nil"/>
              <w:bottom w:val="nil"/>
              <w:right w:val="nil"/>
            </w:tcBorders>
            <w:shd w:val="clear" w:color="000000" w:fill="FFFFFF"/>
            <w:noWrap/>
            <w:vAlign w:val="bottom"/>
            <w:hideMark/>
          </w:tcPr>
          <w:p w14:paraId="6481A99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19.59</w:t>
            </w:r>
          </w:p>
        </w:tc>
        <w:tc>
          <w:tcPr>
            <w:tcW w:w="0" w:type="auto"/>
            <w:gridSpan w:val="2"/>
            <w:tcBorders>
              <w:top w:val="nil"/>
              <w:left w:val="nil"/>
              <w:bottom w:val="nil"/>
              <w:right w:val="nil"/>
            </w:tcBorders>
            <w:shd w:val="clear" w:color="000000" w:fill="FFFFFF"/>
            <w:noWrap/>
            <w:vAlign w:val="bottom"/>
            <w:hideMark/>
          </w:tcPr>
          <w:p w14:paraId="5D5505F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1.84</w:t>
            </w:r>
          </w:p>
        </w:tc>
      </w:tr>
      <w:tr w:rsidR="00E80B54" w:rsidRPr="001520E0" w14:paraId="684431E5" w14:textId="77777777" w:rsidTr="00E80B54">
        <w:trPr>
          <w:trHeight w:val="320"/>
        </w:trPr>
        <w:tc>
          <w:tcPr>
            <w:tcW w:w="0" w:type="auto"/>
            <w:tcBorders>
              <w:top w:val="nil"/>
              <w:left w:val="nil"/>
              <w:bottom w:val="nil"/>
              <w:right w:val="nil"/>
            </w:tcBorders>
            <w:shd w:val="clear" w:color="000000" w:fill="FFFFFF"/>
            <w:noWrap/>
            <w:vAlign w:val="bottom"/>
            <w:hideMark/>
          </w:tcPr>
          <w:p w14:paraId="02C5F245"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Range</w:t>
            </w:r>
          </w:p>
        </w:tc>
        <w:tc>
          <w:tcPr>
            <w:tcW w:w="0" w:type="auto"/>
            <w:gridSpan w:val="2"/>
            <w:tcBorders>
              <w:top w:val="nil"/>
              <w:left w:val="nil"/>
              <w:bottom w:val="nil"/>
              <w:right w:val="nil"/>
            </w:tcBorders>
            <w:shd w:val="clear" w:color="000000" w:fill="FFFFFF"/>
            <w:noWrap/>
            <w:vAlign w:val="bottom"/>
            <w:hideMark/>
          </w:tcPr>
          <w:p w14:paraId="7EEBF65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4"/>
            <w:tcBorders>
              <w:top w:val="nil"/>
              <w:left w:val="nil"/>
              <w:bottom w:val="nil"/>
              <w:right w:val="nil"/>
            </w:tcBorders>
            <w:shd w:val="clear" w:color="000000" w:fill="FFFFFF"/>
            <w:noWrap/>
            <w:vAlign w:val="bottom"/>
            <w:hideMark/>
          </w:tcPr>
          <w:p w14:paraId="3D56471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18-22</w:t>
            </w:r>
          </w:p>
        </w:tc>
        <w:tc>
          <w:tcPr>
            <w:tcW w:w="0" w:type="auto"/>
            <w:gridSpan w:val="4"/>
            <w:tcBorders>
              <w:top w:val="nil"/>
              <w:left w:val="nil"/>
              <w:bottom w:val="nil"/>
              <w:right w:val="nil"/>
            </w:tcBorders>
            <w:shd w:val="clear" w:color="000000" w:fill="FFFFFF"/>
            <w:noWrap/>
            <w:vAlign w:val="bottom"/>
            <w:hideMark/>
          </w:tcPr>
          <w:p w14:paraId="31F1317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18-22</w:t>
            </w:r>
          </w:p>
        </w:tc>
        <w:tc>
          <w:tcPr>
            <w:tcW w:w="0" w:type="auto"/>
            <w:gridSpan w:val="4"/>
            <w:tcBorders>
              <w:top w:val="nil"/>
              <w:left w:val="nil"/>
              <w:bottom w:val="nil"/>
              <w:right w:val="nil"/>
            </w:tcBorders>
            <w:shd w:val="clear" w:color="000000" w:fill="FFFFFF"/>
            <w:noWrap/>
            <w:vAlign w:val="bottom"/>
            <w:hideMark/>
          </w:tcPr>
          <w:p w14:paraId="0D03775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18-22</w:t>
            </w:r>
          </w:p>
        </w:tc>
        <w:tc>
          <w:tcPr>
            <w:tcW w:w="0" w:type="auto"/>
            <w:gridSpan w:val="4"/>
            <w:tcBorders>
              <w:top w:val="nil"/>
              <w:left w:val="nil"/>
              <w:bottom w:val="nil"/>
              <w:right w:val="nil"/>
            </w:tcBorders>
            <w:shd w:val="clear" w:color="000000" w:fill="FFFFFF"/>
            <w:noWrap/>
            <w:vAlign w:val="bottom"/>
            <w:hideMark/>
          </w:tcPr>
          <w:p w14:paraId="5906785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18-22</w:t>
            </w:r>
          </w:p>
        </w:tc>
      </w:tr>
      <w:tr w:rsidR="001520E0" w:rsidRPr="001520E0" w14:paraId="6C6F3860" w14:textId="77777777" w:rsidTr="00E80B54">
        <w:trPr>
          <w:trHeight w:val="320"/>
        </w:trPr>
        <w:tc>
          <w:tcPr>
            <w:tcW w:w="0" w:type="auto"/>
            <w:tcBorders>
              <w:top w:val="nil"/>
              <w:left w:val="nil"/>
              <w:bottom w:val="nil"/>
              <w:right w:val="nil"/>
            </w:tcBorders>
            <w:shd w:val="clear" w:color="000000" w:fill="FFFFFF"/>
            <w:noWrap/>
            <w:vAlign w:val="bottom"/>
            <w:hideMark/>
          </w:tcPr>
          <w:p w14:paraId="1B3AFB2E"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IQ</w:t>
            </w:r>
          </w:p>
        </w:tc>
        <w:tc>
          <w:tcPr>
            <w:tcW w:w="0" w:type="auto"/>
            <w:gridSpan w:val="2"/>
            <w:tcBorders>
              <w:top w:val="nil"/>
              <w:left w:val="nil"/>
              <w:bottom w:val="nil"/>
              <w:right w:val="nil"/>
            </w:tcBorders>
            <w:shd w:val="clear" w:color="000000" w:fill="FFFFFF"/>
            <w:noWrap/>
            <w:vAlign w:val="bottom"/>
            <w:hideMark/>
          </w:tcPr>
          <w:p w14:paraId="40C2D72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DC4929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120.21</w:t>
            </w:r>
          </w:p>
        </w:tc>
        <w:tc>
          <w:tcPr>
            <w:tcW w:w="0" w:type="auto"/>
            <w:gridSpan w:val="2"/>
            <w:tcBorders>
              <w:top w:val="nil"/>
              <w:left w:val="nil"/>
              <w:bottom w:val="nil"/>
              <w:right w:val="nil"/>
            </w:tcBorders>
            <w:shd w:val="clear" w:color="000000" w:fill="FFFFFF"/>
            <w:noWrap/>
            <w:vAlign w:val="bottom"/>
            <w:hideMark/>
          </w:tcPr>
          <w:p w14:paraId="49377C4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7.80</w:t>
            </w:r>
          </w:p>
        </w:tc>
        <w:tc>
          <w:tcPr>
            <w:tcW w:w="0" w:type="auto"/>
            <w:gridSpan w:val="2"/>
            <w:tcBorders>
              <w:top w:val="nil"/>
              <w:left w:val="nil"/>
              <w:bottom w:val="nil"/>
              <w:right w:val="nil"/>
            </w:tcBorders>
            <w:shd w:val="clear" w:color="000000" w:fill="FFFFFF"/>
            <w:noWrap/>
            <w:vAlign w:val="bottom"/>
            <w:hideMark/>
          </w:tcPr>
          <w:p w14:paraId="70A75AB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120.80</w:t>
            </w:r>
          </w:p>
        </w:tc>
        <w:tc>
          <w:tcPr>
            <w:tcW w:w="0" w:type="auto"/>
            <w:gridSpan w:val="2"/>
            <w:tcBorders>
              <w:top w:val="nil"/>
              <w:left w:val="nil"/>
              <w:bottom w:val="nil"/>
              <w:right w:val="nil"/>
            </w:tcBorders>
            <w:shd w:val="clear" w:color="000000" w:fill="FFFFFF"/>
            <w:noWrap/>
            <w:vAlign w:val="bottom"/>
            <w:hideMark/>
          </w:tcPr>
          <w:p w14:paraId="5F506E7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9.02</w:t>
            </w:r>
          </w:p>
        </w:tc>
        <w:tc>
          <w:tcPr>
            <w:tcW w:w="0" w:type="auto"/>
            <w:gridSpan w:val="2"/>
            <w:tcBorders>
              <w:top w:val="nil"/>
              <w:left w:val="nil"/>
              <w:bottom w:val="nil"/>
              <w:right w:val="nil"/>
            </w:tcBorders>
            <w:shd w:val="clear" w:color="000000" w:fill="FFFFFF"/>
            <w:noWrap/>
            <w:vAlign w:val="bottom"/>
            <w:hideMark/>
          </w:tcPr>
          <w:p w14:paraId="2BAB478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119.04</w:t>
            </w:r>
          </w:p>
        </w:tc>
        <w:tc>
          <w:tcPr>
            <w:tcW w:w="0" w:type="auto"/>
            <w:gridSpan w:val="2"/>
            <w:tcBorders>
              <w:top w:val="nil"/>
              <w:left w:val="nil"/>
              <w:bottom w:val="nil"/>
              <w:right w:val="nil"/>
            </w:tcBorders>
            <w:shd w:val="clear" w:color="000000" w:fill="FFFFFF"/>
            <w:noWrap/>
            <w:vAlign w:val="bottom"/>
            <w:hideMark/>
          </w:tcPr>
          <w:p w14:paraId="64E35CD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9.09</w:t>
            </w:r>
          </w:p>
        </w:tc>
        <w:tc>
          <w:tcPr>
            <w:tcW w:w="0" w:type="auto"/>
            <w:gridSpan w:val="2"/>
            <w:tcBorders>
              <w:top w:val="nil"/>
              <w:left w:val="nil"/>
              <w:bottom w:val="nil"/>
              <w:right w:val="nil"/>
            </w:tcBorders>
            <w:shd w:val="clear" w:color="000000" w:fill="FFFFFF"/>
            <w:noWrap/>
            <w:vAlign w:val="bottom"/>
            <w:hideMark/>
          </w:tcPr>
          <w:p w14:paraId="016D34F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119.65</w:t>
            </w:r>
          </w:p>
        </w:tc>
        <w:tc>
          <w:tcPr>
            <w:tcW w:w="0" w:type="auto"/>
            <w:gridSpan w:val="2"/>
            <w:tcBorders>
              <w:top w:val="nil"/>
              <w:left w:val="nil"/>
              <w:bottom w:val="nil"/>
              <w:right w:val="nil"/>
            </w:tcBorders>
            <w:shd w:val="clear" w:color="000000" w:fill="FFFFFF"/>
            <w:noWrap/>
            <w:vAlign w:val="bottom"/>
            <w:hideMark/>
          </w:tcPr>
          <w:p w14:paraId="5595BC8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12.29</w:t>
            </w:r>
          </w:p>
        </w:tc>
      </w:tr>
      <w:tr w:rsidR="001520E0" w:rsidRPr="001520E0" w14:paraId="178B7261" w14:textId="77777777" w:rsidTr="00E80B54">
        <w:trPr>
          <w:trHeight w:val="320"/>
        </w:trPr>
        <w:tc>
          <w:tcPr>
            <w:tcW w:w="0" w:type="auto"/>
            <w:tcBorders>
              <w:top w:val="nil"/>
              <w:left w:val="nil"/>
              <w:bottom w:val="nil"/>
              <w:right w:val="nil"/>
            </w:tcBorders>
            <w:shd w:val="clear" w:color="000000" w:fill="FFFFFF"/>
            <w:noWrap/>
            <w:vAlign w:val="bottom"/>
            <w:hideMark/>
          </w:tcPr>
          <w:p w14:paraId="01D2A74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SES</w:t>
            </w:r>
          </w:p>
        </w:tc>
        <w:tc>
          <w:tcPr>
            <w:tcW w:w="0" w:type="auto"/>
            <w:gridSpan w:val="2"/>
            <w:tcBorders>
              <w:top w:val="nil"/>
              <w:left w:val="nil"/>
              <w:bottom w:val="nil"/>
              <w:right w:val="nil"/>
            </w:tcBorders>
            <w:shd w:val="clear" w:color="000000" w:fill="FFFFFF"/>
            <w:noWrap/>
            <w:vAlign w:val="bottom"/>
            <w:hideMark/>
          </w:tcPr>
          <w:p w14:paraId="0968E228" w14:textId="77777777" w:rsidR="003F344D" w:rsidRPr="001520E0" w:rsidRDefault="003F344D" w:rsidP="00E80B54">
            <w:pPr>
              <w:ind w:right="-15"/>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7B8E05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7.74</w:t>
            </w:r>
          </w:p>
        </w:tc>
        <w:tc>
          <w:tcPr>
            <w:tcW w:w="0" w:type="auto"/>
            <w:gridSpan w:val="2"/>
            <w:tcBorders>
              <w:top w:val="nil"/>
              <w:left w:val="nil"/>
              <w:bottom w:val="nil"/>
              <w:right w:val="nil"/>
            </w:tcBorders>
            <w:shd w:val="clear" w:color="000000" w:fill="FFFFFF"/>
            <w:noWrap/>
            <w:vAlign w:val="bottom"/>
            <w:hideMark/>
          </w:tcPr>
          <w:p w14:paraId="2A824E5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1.38</w:t>
            </w:r>
          </w:p>
        </w:tc>
        <w:tc>
          <w:tcPr>
            <w:tcW w:w="0" w:type="auto"/>
            <w:gridSpan w:val="2"/>
            <w:tcBorders>
              <w:top w:val="nil"/>
              <w:left w:val="nil"/>
              <w:bottom w:val="nil"/>
              <w:right w:val="nil"/>
            </w:tcBorders>
            <w:shd w:val="clear" w:color="000000" w:fill="FFFFFF"/>
            <w:noWrap/>
            <w:vAlign w:val="bottom"/>
            <w:hideMark/>
          </w:tcPr>
          <w:p w14:paraId="6404692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7.54</w:t>
            </w:r>
          </w:p>
        </w:tc>
        <w:tc>
          <w:tcPr>
            <w:tcW w:w="0" w:type="auto"/>
            <w:gridSpan w:val="2"/>
            <w:tcBorders>
              <w:top w:val="nil"/>
              <w:left w:val="nil"/>
              <w:bottom w:val="nil"/>
              <w:right w:val="nil"/>
            </w:tcBorders>
            <w:shd w:val="clear" w:color="000000" w:fill="FFFFFF"/>
            <w:noWrap/>
            <w:vAlign w:val="bottom"/>
            <w:hideMark/>
          </w:tcPr>
          <w:p w14:paraId="184239C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1.97</w:t>
            </w:r>
          </w:p>
        </w:tc>
        <w:tc>
          <w:tcPr>
            <w:tcW w:w="0" w:type="auto"/>
            <w:gridSpan w:val="2"/>
            <w:tcBorders>
              <w:top w:val="nil"/>
              <w:left w:val="nil"/>
              <w:bottom w:val="nil"/>
              <w:right w:val="nil"/>
            </w:tcBorders>
            <w:shd w:val="clear" w:color="000000" w:fill="FFFFFF"/>
            <w:noWrap/>
            <w:vAlign w:val="bottom"/>
            <w:hideMark/>
          </w:tcPr>
          <w:p w14:paraId="3FAF18D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6.9</w:t>
            </w:r>
          </w:p>
        </w:tc>
        <w:tc>
          <w:tcPr>
            <w:tcW w:w="0" w:type="auto"/>
            <w:gridSpan w:val="2"/>
            <w:tcBorders>
              <w:top w:val="nil"/>
              <w:left w:val="nil"/>
              <w:bottom w:val="nil"/>
              <w:right w:val="nil"/>
            </w:tcBorders>
            <w:shd w:val="clear" w:color="000000" w:fill="FFFFFF"/>
            <w:noWrap/>
            <w:vAlign w:val="bottom"/>
            <w:hideMark/>
          </w:tcPr>
          <w:p w14:paraId="3B5843D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2.13</w:t>
            </w:r>
          </w:p>
        </w:tc>
        <w:tc>
          <w:tcPr>
            <w:tcW w:w="0" w:type="auto"/>
            <w:gridSpan w:val="2"/>
            <w:tcBorders>
              <w:top w:val="nil"/>
              <w:left w:val="nil"/>
              <w:bottom w:val="nil"/>
              <w:right w:val="nil"/>
            </w:tcBorders>
            <w:shd w:val="clear" w:color="000000" w:fill="FFFFFF"/>
            <w:noWrap/>
            <w:vAlign w:val="bottom"/>
            <w:hideMark/>
          </w:tcPr>
          <w:p w14:paraId="442EC21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7.53</w:t>
            </w:r>
          </w:p>
        </w:tc>
        <w:tc>
          <w:tcPr>
            <w:tcW w:w="0" w:type="auto"/>
            <w:gridSpan w:val="2"/>
            <w:tcBorders>
              <w:top w:val="nil"/>
              <w:left w:val="nil"/>
              <w:bottom w:val="nil"/>
              <w:right w:val="nil"/>
            </w:tcBorders>
            <w:shd w:val="clear" w:color="000000" w:fill="FFFFFF"/>
            <w:noWrap/>
            <w:vAlign w:val="bottom"/>
            <w:hideMark/>
          </w:tcPr>
          <w:p w14:paraId="50D85D9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1.7</w:t>
            </w:r>
          </w:p>
        </w:tc>
      </w:tr>
      <w:tr w:rsidR="001520E0" w:rsidRPr="001520E0" w14:paraId="435149F1" w14:textId="77777777" w:rsidTr="00E80B54">
        <w:trPr>
          <w:trHeight w:val="320"/>
        </w:trPr>
        <w:tc>
          <w:tcPr>
            <w:tcW w:w="0" w:type="auto"/>
            <w:tcBorders>
              <w:top w:val="nil"/>
              <w:left w:val="nil"/>
              <w:bottom w:val="nil"/>
              <w:right w:val="nil"/>
            </w:tcBorders>
            <w:shd w:val="clear" w:color="000000" w:fill="FFFFFF"/>
            <w:noWrap/>
            <w:vAlign w:val="bottom"/>
            <w:hideMark/>
          </w:tcPr>
          <w:p w14:paraId="5BAFA4C4"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C50CF83"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335CC6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1EF4FFB"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54DC0B60"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8AD4EC0"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BB2E34E"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8C7131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833EE1C"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B428E12"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r>
      <w:tr w:rsidR="001520E0" w:rsidRPr="001520E0" w14:paraId="28824C19" w14:textId="77777777" w:rsidTr="00E80B54">
        <w:trPr>
          <w:trHeight w:val="340"/>
        </w:trPr>
        <w:tc>
          <w:tcPr>
            <w:tcW w:w="0" w:type="auto"/>
            <w:tcBorders>
              <w:top w:val="nil"/>
              <w:left w:val="nil"/>
              <w:bottom w:val="single" w:sz="8" w:space="0" w:color="auto"/>
              <w:right w:val="nil"/>
            </w:tcBorders>
            <w:shd w:val="clear" w:color="000000" w:fill="FFFFFF"/>
            <w:vAlign w:val="center"/>
            <w:hideMark/>
          </w:tcPr>
          <w:p w14:paraId="208E70B4"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single" w:sz="8" w:space="0" w:color="auto"/>
              <w:right w:val="nil"/>
            </w:tcBorders>
            <w:shd w:val="clear" w:color="000000" w:fill="FFFFFF"/>
            <w:vAlign w:val="center"/>
            <w:hideMark/>
          </w:tcPr>
          <w:p w14:paraId="13866E2E"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273D8473"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7E0EE9EB"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1D30DAC7"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7645C840"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6E2035C9"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64BC47A5"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261566E0"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1E18625D"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r>
      <w:tr w:rsidR="001520E0" w:rsidRPr="001520E0" w14:paraId="30B3DB89" w14:textId="77777777" w:rsidTr="00E80B54">
        <w:trPr>
          <w:trHeight w:val="320"/>
        </w:trPr>
        <w:tc>
          <w:tcPr>
            <w:tcW w:w="0" w:type="auto"/>
            <w:gridSpan w:val="4"/>
            <w:tcBorders>
              <w:top w:val="nil"/>
              <w:left w:val="nil"/>
              <w:bottom w:val="nil"/>
              <w:right w:val="nil"/>
            </w:tcBorders>
            <w:shd w:val="clear" w:color="000000" w:fill="FFFFFF"/>
            <w:noWrap/>
            <w:vAlign w:val="bottom"/>
            <w:hideMark/>
          </w:tcPr>
          <w:p w14:paraId="29AE2B68"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Gender (% female)</w:t>
            </w:r>
          </w:p>
        </w:tc>
        <w:tc>
          <w:tcPr>
            <w:tcW w:w="0" w:type="auto"/>
            <w:gridSpan w:val="2"/>
            <w:tcBorders>
              <w:top w:val="nil"/>
              <w:left w:val="nil"/>
              <w:bottom w:val="nil"/>
              <w:right w:val="nil"/>
            </w:tcBorders>
            <w:shd w:val="clear" w:color="000000" w:fill="FFFFFF"/>
            <w:noWrap/>
            <w:vAlign w:val="bottom"/>
            <w:hideMark/>
          </w:tcPr>
          <w:p w14:paraId="19C403D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52</w:t>
            </w:r>
          </w:p>
        </w:tc>
        <w:tc>
          <w:tcPr>
            <w:tcW w:w="0" w:type="auto"/>
            <w:gridSpan w:val="2"/>
            <w:tcBorders>
              <w:top w:val="nil"/>
              <w:left w:val="nil"/>
              <w:bottom w:val="nil"/>
              <w:right w:val="nil"/>
            </w:tcBorders>
            <w:shd w:val="clear" w:color="000000" w:fill="FFFFFF"/>
            <w:noWrap/>
            <w:vAlign w:val="bottom"/>
            <w:hideMark/>
          </w:tcPr>
          <w:p w14:paraId="0FD3CE0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74%</w:t>
            </w:r>
          </w:p>
        </w:tc>
        <w:tc>
          <w:tcPr>
            <w:tcW w:w="0" w:type="auto"/>
            <w:gridSpan w:val="2"/>
            <w:tcBorders>
              <w:top w:val="nil"/>
              <w:left w:val="nil"/>
              <w:bottom w:val="nil"/>
              <w:right w:val="nil"/>
            </w:tcBorders>
            <w:shd w:val="clear" w:color="000000" w:fill="FFFFFF"/>
            <w:noWrap/>
            <w:vAlign w:val="bottom"/>
            <w:hideMark/>
          </w:tcPr>
          <w:p w14:paraId="4B94DA7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46</w:t>
            </w:r>
          </w:p>
        </w:tc>
        <w:tc>
          <w:tcPr>
            <w:tcW w:w="0" w:type="auto"/>
            <w:gridSpan w:val="2"/>
            <w:tcBorders>
              <w:top w:val="nil"/>
              <w:left w:val="nil"/>
              <w:bottom w:val="nil"/>
              <w:right w:val="nil"/>
            </w:tcBorders>
            <w:shd w:val="clear" w:color="000000" w:fill="FFFFFF"/>
            <w:noWrap/>
            <w:vAlign w:val="bottom"/>
            <w:hideMark/>
          </w:tcPr>
          <w:p w14:paraId="288D9F8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53%</w:t>
            </w:r>
          </w:p>
        </w:tc>
        <w:tc>
          <w:tcPr>
            <w:tcW w:w="0" w:type="auto"/>
            <w:gridSpan w:val="2"/>
            <w:tcBorders>
              <w:top w:val="nil"/>
              <w:left w:val="nil"/>
              <w:bottom w:val="nil"/>
              <w:right w:val="nil"/>
            </w:tcBorders>
            <w:shd w:val="clear" w:color="000000" w:fill="FFFFFF"/>
            <w:noWrap/>
            <w:vAlign w:val="bottom"/>
            <w:hideMark/>
          </w:tcPr>
          <w:p w14:paraId="5C2D125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26</w:t>
            </w:r>
          </w:p>
        </w:tc>
        <w:tc>
          <w:tcPr>
            <w:tcW w:w="0" w:type="auto"/>
            <w:gridSpan w:val="2"/>
            <w:tcBorders>
              <w:top w:val="nil"/>
              <w:left w:val="nil"/>
              <w:bottom w:val="nil"/>
              <w:right w:val="nil"/>
            </w:tcBorders>
            <w:shd w:val="clear" w:color="000000" w:fill="FFFFFF"/>
            <w:noWrap/>
            <w:vAlign w:val="bottom"/>
            <w:hideMark/>
          </w:tcPr>
          <w:p w14:paraId="48269FA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52%</w:t>
            </w:r>
          </w:p>
        </w:tc>
        <w:tc>
          <w:tcPr>
            <w:tcW w:w="0" w:type="auto"/>
            <w:gridSpan w:val="2"/>
            <w:tcBorders>
              <w:top w:val="nil"/>
              <w:left w:val="nil"/>
              <w:bottom w:val="nil"/>
              <w:right w:val="nil"/>
            </w:tcBorders>
            <w:shd w:val="clear" w:color="000000" w:fill="FFFFFF"/>
            <w:noWrap/>
            <w:vAlign w:val="bottom"/>
            <w:hideMark/>
          </w:tcPr>
          <w:p w14:paraId="0CC88F8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126</w:t>
            </w:r>
          </w:p>
        </w:tc>
        <w:tc>
          <w:tcPr>
            <w:tcW w:w="0" w:type="auto"/>
            <w:tcBorders>
              <w:top w:val="nil"/>
              <w:left w:val="nil"/>
              <w:bottom w:val="nil"/>
              <w:right w:val="nil"/>
            </w:tcBorders>
            <w:shd w:val="clear" w:color="000000" w:fill="FFFFFF"/>
            <w:noWrap/>
            <w:vAlign w:val="bottom"/>
            <w:hideMark/>
          </w:tcPr>
          <w:p w14:paraId="05372C8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61%</w:t>
            </w:r>
          </w:p>
        </w:tc>
      </w:tr>
      <w:tr w:rsidR="001520E0" w:rsidRPr="001520E0" w14:paraId="1AF4DE16" w14:textId="77777777" w:rsidTr="00E80B54">
        <w:trPr>
          <w:trHeight w:val="320"/>
        </w:trPr>
        <w:tc>
          <w:tcPr>
            <w:tcW w:w="0" w:type="auto"/>
            <w:gridSpan w:val="4"/>
            <w:tcBorders>
              <w:top w:val="nil"/>
              <w:left w:val="nil"/>
              <w:bottom w:val="nil"/>
              <w:right w:val="nil"/>
            </w:tcBorders>
            <w:shd w:val="clear" w:color="000000" w:fill="FFFFFF"/>
            <w:noWrap/>
            <w:vAlign w:val="bottom"/>
            <w:hideMark/>
          </w:tcPr>
          <w:p w14:paraId="7EF9DBDA"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Ethnicity (% Caucasian)</w:t>
            </w:r>
          </w:p>
        </w:tc>
        <w:tc>
          <w:tcPr>
            <w:tcW w:w="0" w:type="auto"/>
            <w:gridSpan w:val="2"/>
            <w:tcBorders>
              <w:top w:val="nil"/>
              <w:left w:val="nil"/>
              <w:bottom w:val="nil"/>
              <w:right w:val="nil"/>
            </w:tcBorders>
            <w:shd w:val="clear" w:color="000000" w:fill="FFFFFF"/>
            <w:noWrap/>
            <w:vAlign w:val="bottom"/>
            <w:hideMark/>
          </w:tcPr>
          <w:p w14:paraId="5274262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16%</w:t>
            </w:r>
          </w:p>
        </w:tc>
        <w:tc>
          <w:tcPr>
            <w:tcW w:w="0" w:type="auto"/>
            <w:gridSpan w:val="2"/>
            <w:tcBorders>
              <w:top w:val="nil"/>
              <w:left w:val="nil"/>
              <w:bottom w:val="nil"/>
              <w:right w:val="nil"/>
            </w:tcBorders>
            <w:shd w:val="clear" w:color="000000" w:fill="FFFFFF"/>
            <w:noWrap/>
            <w:vAlign w:val="bottom"/>
            <w:hideMark/>
          </w:tcPr>
          <w:p w14:paraId="4CE90FB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23%</w:t>
            </w:r>
          </w:p>
        </w:tc>
        <w:tc>
          <w:tcPr>
            <w:tcW w:w="0" w:type="auto"/>
            <w:gridSpan w:val="2"/>
            <w:tcBorders>
              <w:top w:val="nil"/>
              <w:left w:val="nil"/>
              <w:bottom w:val="nil"/>
              <w:right w:val="nil"/>
            </w:tcBorders>
            <w:shd w:val="clear" w:color="000000" w:fill="FFFFFF"/>
            <w:noWrap/>
            <w:vAlign w:val="bottom"/>
            <w:hideMark/>
          </w:tcPr>
          <w:p w14:paraId="240CE65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28</w:t>
            </w:r>
          </w:p>
        </w:tc>
        <w:tc>
          <w:tcPr>
            <w:tcW w:w="0" w:type="auto"/>
            <w:gridSpan w:val="2"/>
            <w:tcBorders>
              <w:top w:val="nil"/>
              <w:left w:val="nil"/>
              <w:bottom w:val="nil"/>
              <w:right w:val="nil"/>
            </w:tcBorders>
            <w:shd w:val="clear" w:color="000000" w:fill="FFFFFF"/>
            <w:noWrap/>
            <w:vAlign w:val="bottom"/>
            <w:hideMark/>
          </w:tcPr>
          <w:p w14:paraId="1DEDE2B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32%</w:t>
            </w:r>
          </w:p>
        </w:tc>
        <w:tc>
          <w:tcPr>
            <w:tcW w:w="0" w:type="auto"/>
            <w:gridSpan w:val="2"/>
            <w:tcBorders>
              <w:top w:val="nil"/>
              <w:left w:val="nil"/>
              <w:bottom w:val="nil"/>
              <w:right w:val="nil"/>
            </w:tcBorders>
            <w:shd w:val="clear" w:color="000000" w:fill="FFFFFF"/>
            <w:noWrap/>
            <w:vAlign w:val="bottom"/>
            <w:hideMark/>
          </w:tcPr>
          <w:p w14:paraId="4A20308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w:t>
            </w:r>
          </w:p>
        </w:tc>
        <w:tc>
          <w:tcPr>
            <w:tcW w:w="0" w:type="auto"/>
            <w:gridSpan w:val="2"/>
            <w:tcBorders>
              <w:top w:val="nil"/>
              <w:left w:val="nil"/>
              <w:bottom w:val="nil"/>
              <w:right w:val="nil"/>
            </w:tcBorders>
            <w:shd w:val="clear" w:color="000000" w:fill="FFFFFF"/>
            <w:noWrap/>
            <w:vAlign w:val="bottom"/>
            <w:hideMark/>
          </w:tcPr>
          <w:p w14:paraId="4FF3341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28%</w:t>
            </w:r>
          </w:p>
        </w:tc>
        <w:tc>
          <w:tcPr>
            <w:tcW w:w="0" w:type="auto"/>
            <w:gridSpan w:val="2"/>
            <w:tcBorders>
              <w:top w:val="nil"/>
              <w:left w:val="nil"/>
              <w:bottom w:val="nil"/>
              <w:right w:val="nil"/>
            </w:tcBorders>
            <w:shd w:val="clear" w:color="000000" w:fill="FFFFFF"/>
            <w:noWrap/>
            <w:vAlign w:val="bottom"/>
            <w:hideMark/>
          </w:tcPr>
          <w:p w14:paraId="4021356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59</w:t>
            </w:r>
          </w:p>
        </w:tc>
        <w:tc>
          <w:tcPr>
            <w:tcW w:w="0" w:type="auto"/>
            <w:tcBorders>
              <w:top w:val="nil"/>
              <w:left w:val="nil"/>
              <w:bottom w:val="nil"/>
              <w:right w:val="nil"/>
            </w:tcBorders>
            <w:shd w:val="clear" w:color="000000" w:fill="FFFFFF"/>
            <w:noWrap/>
            <w:vAlign w:val="bottom"/>
            <w:hideMark/>
          </w:tcPr>
          <w:p w14:paraId="550AD0B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29%</w:t>
            </w:r>
          </w:p>
        </w:tc>
      </w:tr>
      <w:tr w:rsidR="001520E0" w:rsidRPr="001520E0" w14:paraId="2827070A"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3EF8A5EB"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401FD7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3B668B7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800182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6ABB9E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506D68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526131E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5C3D5C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4ED77A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tcBorders>
              <w:top w:val="nil"/>
              <w:left w:val="nil"/>
              <w:bottom w:val="nil"/>
              <w:right w:val="nil"/>
            </w:tcBorders>
            <w:shd w:val="clear" w:color="000000" w:fill="FFFFFF"/>
            <w:noWrap/>
            <w:vAlign w:val="bottom"/>
            <w:hideMark/>
          </w:tcPr>
          <w:p w14:paraId="55152B3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r>
      <w:tr w:rsidR="001520E0" w:rsidRPr="001520E0" w14:paraId="16716980" w14:textId="77777777" w:rsidTr="00E80B54">
        <w:trPr>
          <w:trHeight w:val="340"/>
        </w:trPr>
        <w:tc>
          <w:tcPr>
            <w:tcW w:w="0" w:type="auto"/>
            <w:gridSpan w:val="2"/>
            <w:tcBorders>
              <w:top w:val="nil"/>
              <w:left w:val="nil"/>
              <w:bottom w:val="single" w:sz="8" w:space="0" w:color="auto"/>
              <w:right w:val="nil"/>
            </w:tcBorders>
            <w:shd w:val="clear" w:color="000000" w:fill="FFFFFF"/>
            <w:vAlign w:val="center"/>
            <w:hideMark/>
          </w:tcPr>
          <w:p w14:paraId="7C45D75B"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single" w:sz="8" w:space="0" w:color="auto"/>
              <w:right w:val="nil"/>
            </w:tcBorders>
            <w:shd w:val="clear" w:color="000000" w:fill="FFFFFF"/>
            <w:noWrap/>
            <w:vAlign w:val="center"/>
            <w:hideMark/>
          </w:tcPr>
          <w:p w14:paraId="1E63BE43"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7386E215"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189C465A"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3E43B4F3"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4681A857"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7723F82E"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39F4F01A"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04ABE4CC"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 xml:space="preserve">mean </w:t>
            </w:r>
          </w:p>
        </w:tc>
        <w:tc>
          <w:tcPr>
            <w:tcW w:w="0" w:type="auto"/>
            <w:tcBorders>
              <w:top w:val="single" w:sz="4" w:space="0" w:color="auto"/>
              <w:left w:val="nil"/>
              <w:bottom w:val="single" w:sz="8" w:space="0" w:color="auto"/>
              <w:right w:val="nil"/>
            </w:tcBorders>
            <w:shd w:val="clear" w:color="000000" w:fill="D9D9D9"/>
            <w:noWrap/>
            <w:vAlign w:val="center"/>
            <w:hideMark/>
          </w:tcPr>
          <w:p w14:paraId="5175274C"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proofErr w:type="spellStart"/>
            <w:r w:rsidRPr="001520E0">
              <w:rPr>
                <w:rFonts w:ascii="Times New Roman" w:eastAsia="Times New Roman" w:hAnsi="Times New Roman" w:cs="Times New Roman"/>
                <w:i/>
                <w:iCs/>
                <w:color w:val="000000"/>
                <w:sz w:val="18"/>
                <w:szCs w:val="18"/>
                <w:lang w:val="en-GB" w:eastAsia="en-GB"/>
              </w:rPr>
              <w:t>sd</w:t>
            </w:r>
            <w:proofErr w:type="spellEnd"/>
          </w:p>
        </w:tc>
      </w:tr>
      <w:tr w:rsidR="001520E0" w:rsidRPr="001520E0" w14:paraId="4FA99005" w14:textId="77777777" w:rsidTr="00E80B54">
        <w:trPr>
          <w:trHeight w:val="320"/>
        </w:trPr>
        <w:tc>
          <w:tcPr>
            <w:tcW w:w="0" w:type="auto"/>
            <w:gridSpan w:val="4"/>
            <w:tcBorders>
              <w:top w:val="nil"/>
              <w:left w:val="nil"/>
              <w:bottom w:val="nil"/>
              <w:right w:val="nil"/>
            </w:tcBorders>
            <w:shd w:val="clear" w:color="000000" w:fill="FFFFFF"/>
            <w:vAlign w:val="center"/>
            <w:hideMark/>
          </w:tcPr>
          <w:p w14:paraId="17E913A4"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Type of maltreatment (CTQ score)</w:t>
            </w:r>
          </w:p>
        </w:tc>
        <w:tc>
          <w:tcPr>
            <w:tcW w:w="0" w:type="auto"/>
            <w:gridSpan w:val="2"/>
            <w:tcBorders>
              <w:top w:val="nil"/>
              <w:left w:val="nil"/>
              <w:bottom w:val="nil"/>
              <w:right w:val="nil"/>
            </w:tcBorders>
            <w:shd w:val="clear" w:color="000000" w:fill="FFFFFF"/>
            <w:noWrap/>
            <w:vAlign w:val="center"/>
            <w:hideMark/>
          </w:tcPr>
          <w:p w14:paraId="63A340A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center"/>
            <w:hideMark/>
          </w:tcPr>
          <w:p w14:paraId="08F380B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09CA0C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3CFC42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center"/>
            <w:hideMark/>
          </w:tcPr>
          <w:p w14:paraId="24A52DA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center"/>
            <w:hideMark/>
          </w:tcPr>
          <w:p w14:paraId="6FD4BC4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F474A1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tcBorders>
              <w:top w:val="nil"/>
              <w:left w:val="nil"/>
              <w:bottom w:val="nil"/>
              <w:right w:val="nil"/>
            </w:tcBorders>
            <w:shd w:val="clear" w:color="000000" w:fill="FFFFFF"/>
            <w:noWrap/>
            <w:vAlign w:val="bottom"/>
            <w:hideMark/>
          </w:tcPr>
          <w:p w14:paraId="7CF149C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r>
      <w:tr w:rsidR="001520E0" w:rsidRPr="001520E0" w14:paraId="03A0994B" w14:textId="77777777" w:rsidTr="00E80B54">
        <w:trPr>
          <w:trHeight w:val="320"/>
        </w:trPr>
        <w:tc>
          <w:tcPr>
            <w:tcW w:w="0" w:type="auto"/>
            <w:gridSpan w:val="2"/>
            <w:tcBorders>
              <w:top w:val="nil"/>
              <w:left w:val="nil"/>
              <w:bottom w:val="nil"/>
              <w:right w:val="nil"/>
            </w:tcBorders>
            <w:shd w:val="clear" w:color="000000" w:fill="FFFFFF"/>
            <w:vAlign w:val="center"/>
            <w:hideMark/>
          </w:tcPr>
          <w:p w14:paraId="3706F98B"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1A0084A"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Emotional abuse </w:t>
            </w:r>
          </w:p>
        </w:tc>
        <w:tc>
          <w:tcPr>
            <w:tcW w:w="0" w:type="auto"/>
            <w:gridSpan w:val="2"/>
            <w:tcBorders>
              <w:top w:val="nil"/>
              <w:left w:val="nil"/>
              <w:bottom w:val="nil"/>
              <w:right w:val="nil"/>
            </w:tcBorders>
            <w:shd w:val="clear" w:color="000000" w:fill="FFFFFF"/>
            <w:vAlign w:val="center"/>
            <w:hideMark/>
          </w:tcPr>
          <w:p w14:paraId="136ABA9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11.66</w:t>
            </w:r>
          </w:p>
        </w:tc>
        <w:tc>
          <w:tcPr>
            <w:tcW w:w="0" w:type="auto"/>
            <w:gridSpan w:val="2"/>
            <w:tcBorders>
              <w:top w:val="nil"/>
              <w:left w:val="nil"/>
              <w:bottom w:val="nil"/>
              <w:right w:val="nil"/>
            </w:tcBorders>
            <w:shd w:val="clear" w:color="000000" w:fill="FFFFFF"/>
            <w:vAlign w:val="center"/>
            <w:hideMark/>
          </w:tcPr>
          <w:p w14:paraId="008576D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4.01</w:t>
            </w:r>
          </w:p>
        </w:tc>
        <w:tc>
          <w:tcPr>
            <w:tcW w:w="0" w:type="auto"/>
            <w:gridSpan w:val="2"/>
            <w:tcBorders>
              <w:top w:val="nil"/>
              <w:left w:val="nil"/>
              <w:bottom w:val="nil"/>
              <w:right w:val="nil"/>
            </w:tcBorders>
            <w:shd w:val="clear" w:color="000000" w:fill="FFFFFF"/>
            <w:vAlign w:val="center"/>
            <w:hideMark/>
          </w:tcPr>
          <w:p w14:paraId="1B2E031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8.17</w:t>
            </w:r>
          </w:p>
        </w:tc>
        <w:tc>
          <w:tcPr>
            <w:tcW w:w="0" w:type="auto"/>
            <w:gridSpan w:val="2"/>
            <w:tcBorders>
              <w:top w:val="nil"/>
              <w:left w:val="nil"/>
              <w:bottom w:val="nil"/>
              <w:right w:val="nil"/>
            </w:tcBorders>
            <w:shd w:val="clear" w:color="000000" w:fill="FFFFFF"/>
            <w:vAlign w:val="center"/>
            <w:hideMark/>
          </w:tcPr>
          <w:p w14:paraId="4F390DB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2.30</w:t>
            </w:r>
          </w:p>
        </w:tc>
        <w:tc>
          <w:tcPr>
            <w:tcW w:w="0" w:type="auto"/>
            <w:gridSpan w:val="2"/>
            <w:tcBorders>
              <w:top w:val="nil"/>
              <w:left w:val="nil"/>
              <w:bottom w:val="nil"/>
              <w:right w:val="nil"/>
            </w:tcBorders>
            <w:shd w:val="clear" w:color="000000" w:fill="FFFFFF"/>
            <w:vAlign w:val="center"/>
            <w:hideMark/>
          </w:tcPr>
          <w:p w14:paraId="5ACF85E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13.56</w:t>
            </w:r>
          </w:p>
        </w:tc>
        <w:tc>
          <w:tcPr>
            <w:tcW w:w="0" w:type="auto"/>
            <w:gridSpan w:val="2"/>
            <w:tcBorders>
              <w:top w:val="nil"/>
              <w:left w:val="nil"/>
              <w:bottom w:val="nil"/>
              <w:right w:val="nil"/>
            </w:tcBorders>
            <w:shd w:val="clear" w:color="000000" w:fill="FFFFFF"/>
            <w:vAlign w:val="center"/>
            <w:hideMark/>
          </w:tcPr>
          <w:p w14:paraId="6650A01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4.39</w:t>
            </w:r>
          </w:p>
        </w:tc>
        <w:tc>
          <w:tcPr>
            <w:tcW w:w="0" w:type="auto"/>
            <w:gridSpan w:val="2"/>
            <w:tcBorders>
              <w:top w:val="nil"/>
              <w:left w:val="nil"/>
              <w:bottom w:val="nil"/>
              <w:right w:val="nil"/>
            </w:tcBorders>
            <w:shd w:val="clear" w:color="000000" w:fill="FFFFFF"/>
            <w:vAlign w:val="center"/>
            <w:hideMark/>
          </w:tcPr>
          <w:p w14:paraId="3E19B25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5.60</w:t>
            </w:r>
          </w:p>
        </w:tc>
        <w:tc>
          <w:tcPr>
            <w:tcW w:w="0" w:type="auto"/>
            <w:tcBorders>
              <w:top w:val="nil"/>
              <w:left w:val="nil"/>
              <w:bottom w:val="nil"/>
              <w:right w:val="nil"/>
            </w:tcBorders>
            <w:shd w:val="clear" w:color="000000" w:fill="FFFFFF"/>
            <w:vAlign w:val="center"/>
            <w:hideMark/>
          </w:tcPr>
          <w:p w14:paraId="7ADCCC9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0.84</w:t>
            </w:r>
          </w:p>
        </w:tc>
      </w:tr>
      <w:tr w:rsidR="001520E0" w:rsidRPr="001520E0" w14:paraId="36D985FD" w14:textId="77777777" w:rsidTr="00E80B54">
        <w:trPr>
          <w:trHeight w:val="320"/>
        </w:trPr>
        <w:tc>
          <w:tcPr>
            <w:tcW w:w="0" w:type="auto"/>
            <w:gridSpan w:val="2"/>
            <w:tcBorders>
              <w:top w:val="nil"/>
              <w:left w:val="nil"/>
              <w:bottom w:val="nil"/>
              <w:right w:val="nil"/>
            </w:tcBorders>
            <w:shd w:val="clear" w:color="000000" w:fill="FFFFFF"/>
            <w:vAlign w:val="center"/>
            <w:hideMark/>
          </w:tcPr>
          <w:p w14:paraId="432571CB"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E8B3E48"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Physical abuse </w:t>
            </w:r>
          </w:p>
        </w:tc>
        <w:tc>
          <w:tcPr>
            <w:tcW w:w="0" w:type="auto"/>
            <w:gridSpan w:val="2"/>
            <w:tcBorders>
              <w:top w:val="nil"/>
              <w:left w:val="nil"/>
              <w:bottom w:val="nil"/>
              <w:right w:val="nil"/>
            </w:tcBorders>
            <w:shd w:val="clear" w:color="000000" w:fill="FFFFFF"/>
            <w:vAlign w:val="center"/>
            <w:hideMark/>
          </w:tcPr>
          <w:p w14:paraId="0EE1193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9.20</w:t>
            </w:r>
          </w:p>
        </w:tc>
        <w:tc>
          <w:tcPr>
            <w:tcW w:w="0" w:type="auto"/>
            <w:gridSpan w:val="2"/>
            <w:tcBorders>
              <w:top w:val="nil"/>
              <w:left w:val="nil"/>
              <w:bottom w:val="nil"/>
              <w:right w:val="nil"/>
            </w:tcBorders>
            <w:shd w:val="clear" w:color="000000" w:fill="FFFFFF"/>
            <w:vAlign w:val="center"/>
            <w:hideMark/>
          </w:tcPr>
          <w:p w14:paraId="6C910A4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3.65</w:t>
            </w:r>
          </w:p>
        </w:tc>
        <w:tc>
          <w:tcPr>
            <w:tcW w:w="0" w:type="auto"/>
            <w:gridSpan w:val="2"/>
            <w:tcBorders>
              <w:top w:val="nil"/>
              <w:left w:val="nil"/>
              <w:bottom w:val="nil"/>
              <w:right w:val="nil"/>
            </w:tcBorders>
            <w:shd w:val="clear" w:color="000000" w:fill="FFFFFF"/>
            <w:vAlign w:val="center"/>
            <w:hideMark/>
          </w:tcPr>
          <w:p w14:paraId="1344219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5.98</w:t>
            </w:r>
          </w:p>
        </w:tc>
        <w:tc>
          <w:tcPr>
            <w:tcW w:w="0" w:type="auto"/>
            <w:gridSpan w:val="2"/>
            <w:tcBorders>
              <w:top w:val="nil"/>
              <w:left w:val="nil"/>
              <w:bottom w:val="nil"/>
              <w:right w:val="nil"/>
            </w:tcBorders>
            <w:shd w:val="clear" w:color="000000" w:fill="FFFFFF"/>
            <w:vAlign w:val="center"/>
            <w:hideMark/>
          </w:tcPr>
          <w:p w14:paraId="37C9183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1.37</w:t>
            </w:r>
          </w:p>
        </w:tc>
        <w:tc>
          <w:tcPr>
            <w:tcW w:w="0" w:type="auto"/>
            <w:gridSpan w:val="2"/>
            <w:tcBorders>
              <w:top w:val="nil"/>
              <w:left w:val="nil"/>
              <w:bottom w:val="nil"/>
              <w:right w:val="nil"/>
            </w:tcBorders>
            <w:shd w:val="clear" w:color="000000" w:fill="FFFFFF"/>
            <w:vAlign w:val="center"/>
            <w:hideMark/>
          </w:tcPr>
          <w:p w14:paraId="38B39E1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9.30</w:t>
            </w:r>
          </w:p>
        </w:tc>
        <w:tc>
          <w:tcPr>
            <w:tcW w:w="0" w:type="auto"/>
            <w:gridSpan w:val="2"/>
            <w:tcBorders>
              <w:top w:val="nil"/>
              <w:left w:val="nil"/>
              <w:bottom w:val="nil"/>
              <w:right w:val="nil"/>
            </w:tcBorders>
            <w:shd w:val="clear" w:color="000000" w:fill="FFFFFF"/>
            <w:vAlign w:val="center"/>
            <w:hideMark/>
          </w:tcPr>
          <w:p w14:paraId="5DC4F8E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3.82</w:t>
            </w:r>
          </w:p>
        </w:tc>
        <w:tc>
          <w:tcPr>
            <w:tcW w:w="0" w:type="auto"/>
            <w:gridSpan w:val="2"/>
            <w:tcBorders>
              <w:top w:val="nil"/>
              <w:left w:val="nil"/>
              <w:bottom w:val="nil"/>
              <w:right w:val="nil"/>
            </w:tcBorders>
            <w:shd w:val="clear" w:color="000000" w:fill="FFFFFF"/>
            <w:vAlign w:val="center"/>
            <w:hideMark/>
          </w:tcPr>
          <w:p w14:paraId="688E7FC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5.26</w:t>
            </w:r>
          </w:p>
        </w:tc>
        <w:tc>
          <w:tcPr>
            <w:tcW w:w="0" w:type="auto"/>
            <w:tcBorders>
              <w:top w:val="nil"/>
              <w:left w:val="nil"/>
              <w:bottom w:val="nil"/>
              <w:right w:val="nil"/>
            </w:tcBorders>
            <w:shd w:val="clear" w:color="000000" w:fill="FFFFFF"/>
            <w:vAlign w:val="center"/>
            <w:hideMark/>
          </w:tcPr>
          <w:p w14:paraId="3DC7D8E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0.57</w:t>
            </w:r>
          </w:p>
        </w:tc>
      </w:tr>
      <w:tr w:rsidR="001520E0" w:rsidRPr="001520E0" w14:paraId="4F2831CA" w14:textId="77777777" w:rsidTr="00E80B54">
        <w:trPr>
          <w:trHeight w:val="320"/>
        </w:trPr>
        <w:tc>
          <w:tcPr>
            <w:tcW w:w="0" w:type="auto"/>
            <w:gridSpan w:val="2"/>
            <w:tcBorders>
              <w:top w:val="nil"/>
              <w:left w:val="nil"/>
              <w:bottom w:val="nil"/>
              <w:right w:val="nil"/>
            </w:tcBorders>
            <w:shd w:val="clear" w:color="000000" w:fill="FFFFFF"/>
            <w:vAlign w:val="center"/>
            <w:hideMark/>
          </w:tcPr>
          <w:p w14:paraId="51F613D9"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8645CF9"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Sexual abuse </w:t>
            </w:r>
          </w:p>
        </w:tc>
        <w:tc>
          <w:tcPr>
            <w:tcW w:w="0" w:type="auto"/>
            <w:gridSpan w:val="2"/>
            <w:tcBorders>
              <w:top w:val="nil"/>
              <w:left w:val="nil"/>
              <w:bottom w:val="nil"/>
              <w:right w:val="nil"/>
            </w:tcBorders>
            <w:shd w:val="clear" w:color="000000" w:fill="FFFFFF"/>
            <w:vAlign w:val="center"/>
            <w:hideMark/>
          </w:tcPr>
          <w:p w14:paraId="6D4FA0E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7.40</w:t>
            </w:r>
          </w:p>
        </w:tc>
        <w:tc>
          <w:tcPr>
            <w:tcW w:w="0" w:type="auto"/>
            <w:gridSpan w:val="2"/>
            <w:tcBorders>
              <w:top w:val="nil"/>
              <w:left w:val="nil"/>
              <w:bottom w:val="nil"/>
              <w:right w:val="nil"/>
            </w:tcBorders>
            <w:shd w:val="clear" w:color="000000" w:fill="FFFFFF"/>
            <w:vAlign w:val="center"/>
            <w:hideMark/>
          </w:tcPr>
          <w:p w14:paraId="22DDE0E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3.94</w:t>
            </w:r>
          </w:p>
        </w:tc>
        <w:tc>
          <w:tcPr>
            <w:tcW w:w="0" w:type="auto"/>
            <w:gridSpan w:val="2"/>
            <w:tcBorders>
              <w:top w:val="nil"/>
              <w:left w:val="nil"/>
              <w:bottom w:val="nil"/>
              <w:right w:val="nil"/>
            </w:tcBorders>
            <w:shd w:val="clear" w:color="000000" w:fill="FFFFFF"/>
            <w:vAlign w:val="center"/>
            <w:hideMark/>
          </w:tcPr>
          <w:p w14:paraId="350A670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5.15</w:t>
            </w:r>
          </w:p>
        </w:tc>
        <w:tc>
          <w:tcPr>
            <w:tcW w:w="0" w:type="auto"/>
            <w:gridSpan w:val="2"/>
            <w:tcBorders>
              <w:top w:val="nil"/>
              <w:left w:val="nil"/>
              <w:bottom w:val="nil"/>
              <w:right w:val="nil"/>
            </w:tcBorders>
            <w:shd w:val="clear" w:color="000000" w:fill="FFFFFF"/>
            <w:vAlign w:val="center"/>
            <w:hideMark/>
          </w:tcPr>
          <w:p w14:paraId="6B1F07E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0.52</w:t>
            </w:r>
          </w:p>
        </w:tc>
        <w:tc>
          <w:tcPr>
            <w:tcW w:w="0" w:type="auto"/>
            <w:gridSpan w:val="2"/>
            <w:tcBorders>
              <w:top w:val="nil"/>
              <w:left w:val="nil"/>
              <w:bottom w:val="nil"/>
              <w:right w:val="nil"/>
            </w:tcBorders>
            <w:shd w:val="clear" w:color="000000" w:fill="FFFFFF"/>
            <w:vAlign w:val="center"/>
            <w:hideMark/>
          </w:tcPr>
          <w:p w14:paraId="207E0D2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6.58</w:t>
            </w:r>
          </w:p>
        </w:tc>
        <w:tc>
          <w:tcPr>
            <w:tcW w:w="0" w:type="auto"/>
            <w:gridSpan w:val="2"/>
            <w:tcBorders>
              <w:top w:val="nil"/>
              <w:left w:val="nil"/>
              <w:bottom w:val="nil"/>
              <w:right w:val="nil"/>
            </w:tcBorders>
            <w:shd w:val="clear" w:color="000000" w:fill="FFFFFF"/>
            <w:vAlign w:val="center"/>
            <w:hideMark/>
          </w:tcPr>
          <w:p w14:paraId="1ECB062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3.11</w:t>
            </w:r>
          </w:p>
        </w:tc>
        <w:tc>
          <w:tcPr>
            <w:tcW w:w="0" w:type="auto"/>
            <w:gridSpan w:val="2"/>
            <w:tcBorders>
              <w:top w:val="nil"/>
              <w:left w:val="nil"/>
              <w:bottom w:val="nil"/>
              <w:right w:val="nil"/>
            </w:tcBorders>
            <w:shd w:val="clear" w:color="000000" w:fill="FFFFFF"/>
            <w:vAlign w:val="center"/>
            <w:hideMark/>
          </w:tcPr>
          <w:p w14:paraId="6DB7EB7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5.00</w:t>
            </w:r>
          </w:p>
        </w:tc>
        <w:tc>
          <w:tcPr>
            <w:tcW w:w="0" w:type="auto"/>
            <w:tcBorders>
              <w:top w:val="nil"/>
              <w:left w:val="nil"/>
              <w:bottom w:val="nil"/>
              <w:right w:val="nil"/>
            </w:tcBorders>
            <w:shd w:val="clear" w:color="000000" w:fill="FFFFFF"/>
            <w:vAlign w:val="center"/>
            <w:hideMark/>
          </w:tcPr>
          <w:p w14:paraId="43D14A9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0.00</w:t>
            </w:r>
          </w:p>
        </w:tc>
      </w:tr>
      <w:tr w:rsidR="001520E0" w:rsidRPr="001520E0" w14:paraId="737FB163" w14:textId="77777777" w:rsidTr="00E80B54">
        <w:trPr>
          <w:trHeight w:val="320"/>
        </w:trPr>
        <w:tc>
          <w:tcPr>
            <w:tcW w:w="0" w:type="auto"/>
            <w:gridSpan w:val="2"/>
            <w:tcBorders>
              <w:top w:val="nil"/>
              <w:left w:val="nil"/>
              <w:bottom w:val="nil"/>
              <w:right w:val="nil"/>
            </w:tcBorders>
            <w:shd w:val="clear" w:color="000000" w:fill="FFFFFF"/>
            <w:vAlign w:val="center"/>
            <w:hideMark/>
          </w:tcPr>
          <w:p w14:paraId="540AFA88"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43A1FA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Emotional neglect </w:t>
            </w:r>
          </w:p>
        </w:tc>
        <w:tc>
          <w:tcPr>
            <w:tcW w:w="0" w:type="auto"/>
            <w:gridSpan w:val="2"/>
            <w:tcBorders>
              <w:top w:val="nil"/>
              <w:left w:val="nil"/>
              <w:bottom w:val="nil"/>
              <w:right w:val="nil"/>
            </w:tcBorders>
            <w:shd w:val="clear" w:color="000000" w:fill="FFFFFF"/>
            <w:vAlign w:val="center"/>
            <w:hideMark/>
          </w:tcPr>
          <w:p w14:paraId="04DE1BC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10.41</w:t>
            </w:r>
          </w:p>
        </w:tc>
        <w:tc>
          <w:tcPr>
            <w:tcW w:w="0" w:type="auto"/>
            <w:gridSpan w:val="2"/>
            <w:tcBorders>
              <w:top w:val="nil"/>
              <w:left w:val="nil"/>
              <w:bottom w:val="nil"/>
              <w:right w:val="nil"/>
            </w:tcBorders>
            <w:shd w:val="clear" w:color="000000" w:fill="FFFFFF"/>
            <w:vAlign w:val="center"/>
            <w:hideMark/>
          </w:tcPr>
          <w:p w14:paraId="57DB377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2.80</w:t>
            </w:r>
          </w:p>
        </w:tc>
        <w:tc>
          <w:tcPr>
            <w:tcW w:w="0" w:type="auto"/>
            <w:gridSpan w:val="2"/>
            <w:tcBorders>
              <w:top w:val="nil"/>
              <w:left w:val="nil"/>
              <w:bottom w:val="nil"/>
              <w:right w:val="nil"/>
            </w:tcBorders>
            <w:shd w:val="clear" w:color="000000" w:fill="FFFFFF"/>
            <w:vAlign w:val="center"/>
            <w:hideMark/>
          </w:tcPr>
          <w:p w14:paraId="0FEAC7B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13.37</w:t>
            </w:r>
          </w:p>
        </w:tc>
        <w:tc>
          <w:tcPr>
            <w:tcW w:w="0" w:type="auto"/>
            <w:gridSpan w:val="2"/>
            <w:tcBorders>
              <w:top w:val="nil"/>
              <w:left w:val="nil"/>
              <w:bottom w:val="nil"/>
              <w:right w:val="nil"/>
            </w:tcBorders>
            <w:shd w:val="clear" w:color="000000" w:fill="FFFFFF"/>
            <w:vAlign w:val="center"/>
            <w:hideMark/>
          </w:tcPr>
          <w:p w14:paraId="3CFC6CE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3.24</w:t>
            </w:r>
          </w:p>
        </w:tc>
        <w:tc>
          <w:tcPr>
            <w:tcW w:w="0" w:type="auto"/>
            <w:gridSpan w:val="2"/>
            <w:tcBorders>
              <w:top w:val="nil"/>
              <w:left w:val="nil"/>
              <w:bottom w:val="nil"/>
              <w:right w:val="nil"/>
            </w:tcBorders>
            <w:shd w:val="clear" w:color="000000" w:fill="FFFFFF"/>
            <w:vAlign w:val="center"/>
            <w:hideMark/>
          </w:tcPr>
          <w:p w14:paraId="3AEAC75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15.44</w:t>
            </w:r>
          </w:p>
        </w:tc>
        <w:tc>
          <w:tcPr>
            <w:tcW w:w="0" w:type="auto"/>
            <w:gridSpan w:val="2"/>
            <w:tcBorders>
              <w:top w:val="nil"/>
              <w:left w:val="nil"/>
              <w:bottom w:val="nil"/>
              <w:right w:val="nil"/>
            </w:tcBorders>
            <w:shd w:val="clear" w:color="000000" w:fill="FFFFFF"/>
            <w:vAlign w:val="center"/>
            <w:hideMark/>
          </w:tcPr>
          <w:p w14:paraId="5BED296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3.66</w:t>
            </w:r>
          </w:p>
        </w:tc>
        <w:tc>
          <w:tcPr>
            <w:tcW w:w="0" w:type="auto"/>
            <w:gridSpan w:val="2"/>
            <w:tcBorders>
              <w:top w:val="nil"/>
              <w:left w:val="nil"/>
              <w:bottom w:val="nil"/>
              <w:right w:val="nil"/>
            </w:tcBorders>
            <w:shd w:val="clear" w:color="000000" w:fill="FFFFFF"/>
            <w:vAlign w:val="center"/>
            <w:hideMark/>
          </w:tcPr>
          <w:p w14:paraId="3459DFA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6.16</w:t>
            </w:r>
          </w:p>
        </w:tc>
        <w:tc>
          <w:tcPr>
            <w:tcW w:w="0" w:type="auto"/>
            <w:tcBorders>
              <w:top w:val="nil"/>
              <w:left w:val="nil"/>
              <w:bottom w:val="nil"/>
              <w:right w:val="nil"/>
            </w:tcBorders>
            <w:shd w:val="clear" w:color="000000" w:fill="FFFFFF"/>
            <w:vAlign w:val="center"/>
            <w:hideMark/>
          </w:tcPr>
          <w:p w14:paraId="76E6134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1.40</w:t>
            </w:r>
          </w:p>
        </w:tc>
      </w:tr>
      <w:tr w:rsidR="001520E0" w:rsidRPr="001520E0" w14:paraId="57905365"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04C50E31"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6BE1E95"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Physical neglect </w:t>
            </w:r>
          </w:p>
        </w:tc>
        <w:tc>
          <w:tcPr>
            <w:tcW w:w="0" w:type="auto"/>
            <w:gridSpan w:val="2"/>
            <w:tcBorders>
              <w:top w:val="nil"/>
              <w:left w:val="nil"/>
              <w:bottom w:val="nil"/>
              <w:right w:val="nil"/>
            </w:tcBorders>
            <w:shd w:val="clear" w:color="000000" w:fill="FFFFFF"/>
            <w:vAlign w:val="center"/>
            <w:hideMark/>
          </w:tcPr>
          <w:p w14:paraId="16A7F72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6.74</w:t>
            </w:r>
          </w:p>
        </w:tc>
        <w:tc>
          <w:tcPr>
            <w:tcW w:w="0" w:type="auto"/>
            <w:gridSpan w:val="2"/>
            <w:tcBorders>
              <w:top w:val="nil"/>
              <w:left w:val="nil"/>
              <w:bottom w:val="nil"/>
              <w:right w:val="nil"/>
            </w:tcBorders>
            <w:shd w:val="clear" w:color="000000" w:fill="FFFFFF"/>
            <w:vAlign w:val="center"/>
            <w:hideMark/>
          </w:tcPr>
          <w:p w14:paraId="44C0348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1.40</w:t>
            </w:r>
          </w:p>
        </w:tc>
        <w:tc>
          <w:tcPr>
            <w:tcW w:w="0" w:type="auto"/>
            <w:gridSpan w:val="2"/>
            <w:tcBorders>
              <w:top w:val="nil"/>
              <w:left w:val="nil"/>
              <w:bottom w:val="nil"/>
              <w:right w:val="nil"/>
            </w:tcBorders>
            <w:shd w:val="clear" w:color="000000" w:fill="FFFFFF"/>
            <w:vAlign w:val="center"/>
            <w:hideMark/>
          </w:tcPr>
          <w:p w14:paraId="1CAD12B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10.22</w:t>
            </w:r>
          </w:p>
        </w:tc>
        <w:tc>
          <w:tcPr>
            <w:tcW w:w="0" w:type="auto"/>
            <w:gridSpan w:val="2"/>
            <w:tcBorders>
              <w:top w:val="nil"/>
              <w:left w:val="nil"/>
              <w:bottom w:val="nil"/>
              <w:right w:val="nil"/>
            </w:tcBorders>
            <w:shd w:val="clear" w:color="000000" w:fill="FFFFFF"/>
            <w:vAlign w:val="center"/>
            <w:hideMark/>
          </w:tcPr>
          <w:p w14:paraId="36B2C16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2.29</w:t>
            </w:r>
          </w:p>
        </w:tc>
        <w:tc>
          <w:tcPr>
            <w:tcW w:w="0" w:type="auto"/>
            <w:gridSpan w:val="2"/>
            <w:tcBorders>
              <w:top w:val="nil"/>
              <w:left w:val="nil"/>
              <w:bottom w:val="nil"/>
              <w:right w:val="nil"/>
            </w:tcBorders>
            <w:shd w:val="clear" w:color="000000" w:fill="FFFFFF"/>
            <w:vAlign w:val="center"/>
            <w:hideMark/>
          </w:tcPr>
          <w:p w14:paraId="02B17F1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11.08</w:t>
            </w:r>
          </w:p>
        </w:tc>
        <w:tc>
          <w:tcPr>
            <w:tcW w:w="0" w:type="auto"/>
            <w:gridSpan w:val="2"/>
            <w:tcBorders>
              <w:top w:val="nil"/>
              <w:left w:val="nil"/>
              <w:bottom w:val="nil"/>
              <w:right w:val="nil"/>
            </w:tcBorders>
            <w:shd w:val="clear" w:color="000000" w:fill="FFFFFF"/>
            <w:vAlign w:val="center"/>
            <w:hideMark/>
          </w:tcPr>
          <w:p w14:paraId="6E65F29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3.45</w:t>
            </w:r>
          </w:p>
        </w:tc>
        <w:tc>
          <w:tcPr>
            <w:tcW w:w="0" w:type="auto"/>
            <w:gridSpan w:val="2"/>
            <w:tcBorders>
              <w:top w:val="nil"/>
              <w:left w:val="nil"/>
              <w:bottom w:val="nil"/>
              <w:right w:val="nil"/>
            </w:tcBorders>
            <w:shd w:val="clear" w:color="000000" w:fill="FFFFFF"/>
            <w:vAlign w:val="center"/>
            <w:hideMark/>
          </w:tcPr>
          <w:p w14:paraId="5819800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5.13</w:t>
            </w:r>
          </w:p>
        </w:tc>
        <w:tc>
          <w:tcPr>
            <w:tcW w:w="0" w:type="auto"/>
            <w:tcBorders>
              <w:top w:val="nil"/>
              <w:left w:val="nil"/>
              <w:bottom w:val="nil"/>
              <w:right w:val="nil"/>
            </w:tcBorders>
            <w:shd w:val="clear" w:color="000000" w:fill="FFFFFF"/>
            <w:vAlign w:val="center"/>
            <w:hideMark/>
          </w:tcPr>
          <w:p w14:paraId="6550606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0.43</w:t>
            </w:r>
          </w:p>
        </w:tc>
      </w:tr>
      <w:tr w:rsidR="001520E0" w:rsidRPr="001520E0" w14:paraId="385D394D"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56DC380F"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595F86A4"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Total score</w:t>
            </w:r>
          </w:p>
        </w:tc>
        <w:tc>
          <w:tcPr>
            <w:tcW w:w="0" w:type="auto"/>
            <w:gridSpan w:val="2"/>
            <w:tcBorders>
              <w:top w:val="nil"/>
              <w:left w:val="nil"/>
              <w:bottom w:val="nil"/>
              <w:right w:val="nil"/>
            </w:tcBorders>
            <w:shd w:val="clear" w:color="000000" w:fill="FFFFFF"/>
            <w:noWrap/>
            <w:vAlign w:val="bottom"/>
            <w:hideMark/>
          </w:tcPr>
          <w:p w14:paraId="40BD30B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45.41</w:t>
            </w:r>
          </w:p>
        </w:tc>
        <w:tc>
          <w:tcPr>
            <w:tcW w:w="0" w:type="auto"/>
            <w:gridSpan w:val="2"/>
            <w:tcBorders>
              <w:top w:val="nil"/>
              <w:left w:val="nil"/>
              <w:bottom w:val="nil"/>
              <w:right w:val="nil"/>
            </w:tcBorders>
            <w:shd w:val="clear" w:color="000000" w:fill="FFFFFF"/>
            <w:noWrap/>
            <w:vAlign w:val="bottom"/>
            <w:hideMark/>
          </w:tcPr>
          <w:p w14:paraId="350204D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6.60</w:t>
            </w:r>
          </w:p>
        </w:tc>
        <w:tc>
          <w:tcPr>
            <w:tcW w:w="0" w:type="auto"/>
            <w:gridSpan w:val="2"/>
            <w:tcBorders>
              <w:top w:val="nil"/>
              <w:left w:val="nil"/>
              <w:bottom w:val="nil"/>
              <w:right w:val="nil"/>
            </w:tcBorders>
            <w:shd w:val="clear" w:color="000000" w:fill="FFFFFF"/>
            <w:noWrap/>
            <w:vAlign w:val="bottom"/>
            <w:hideMark/>
          </w:tcPr>
          <w:p w14:paraId="297F8BD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42.89</w:t>
            </w:r>
          </w:p>
        </w:tc>
        <w:tc>
          <w:tcPr>
            <w:tcW w:w="0" w:type="auto"/>
            <w:gridSpan w:val="2"/>
            <w:tcBorders>
              <w:top w:val="nil"/>
              <w:left w:val="nil"/>
              <w:bottom w:val="nil"/>
              <w:right w:val="nil"/>
            </w:tcBorders>
            <w:shd w:val="clear" w:color="000000" w:fill="FFFFFF"/>
            <w:noWrap/>
            <w:vAlign w:val="bottom"/>
            <w:hideMark/>
          </w:tcPr>
          <w:p w14:paraId="1D24564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4.458</w:t>
            </w:r>
          </w:p>
        </w:tc>
        <w:tc>
          <w:tcPr>
            <w:tcW w:w="0" w:type="auto"/>
            <w:gridSpan w:val="2"/>
            <w:tcBorders>
              <w:top w:val="nil"/>
              <w:left w:val="nil"/>
              <w:bottom w:val="nil"/>
              <w:right w:val="nil"/>
            </w:tcBorders>
            <w:shd w:val="clear" w:color="000000" w:fill="FFFFFF"/>
            <w:noWrap/>
            <w:vAlign w:val="bottom"/>
            <w:hideMark/>
          </w:tcPr>
          <w:p w14:paraId="160EAAD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55.96</w:t>
            </w:r>
          </w:p>
        </w:tc>
        <w:tc>
          <w:tcPr>
            <w:tcW w:w="0" w:type="auto"/>
            <w:gridSpan w:val="2"/>
            <w:tcBorders>
              <w:top w:val="nil"/>
              <w:left w:val="nil"/>
              <w:bottom w:val="nil"/>
              <w:right w:val="nil"/>
            </w:tcBorders>
            <w:shd w:val="clear" w:color="000000" w:fill="FFFFFF"/>
            <w:noWrap/>
            <w:vAlign w:val="bottom"/>
            <w:hideMark/>
          </w:tcPr>
          <w:p w14:paraId="4BBD247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9.75</w:t>
            </w:r>
          </w:p>
        </w:tc>
        <w:tc>
          <w:tcPr>
            <w:tcW w:w="0" w:type="auto"/>
            <w:gridSpan w:val="2"/>
            <w:tcBorders>
              <w:top w:val="nil"/>
              <w:left w:val="nil"/>
              <w:bottom w:val="nil"/>
              <w:right w:val="nil"/>
            </w:tcBorders>
            <w:shd w:val="clear" w:color="000000" w:fill="FFFFFF"/>
            <w:noWrap/>
            <w:vAlign w:val="bottom"/>
            <w:hideMark/>
          </w:tcPr>
          <w:p w14:paraId="322DD19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27.15</w:t>
            </w:r>
          </w:p>
        </w:tc>
        <w:tc>
          <w:tcPr>
            <w:tcW w:w="0" w:type="auto"/>
            <w:tcBorders>
              <w:top w:val="nil"/>
              <w:left w:val="nil"/>
              <w:bottom w:val="nil"/>
              <w:right w:val="nil"/>
            </w:tcBorders>
            <w:shd w:val="clear" w:color="000000" w:fill="FFFFFF"/>
            <w:noWrap/>
            <w:vAlign w:val="bottom"/>
            <w:hideMark/>
          </w:tcPr>
          <w:p w14:paraId="22CD485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1.883</w:t>
            </w:r>
          </w:p>
        </w:tc>
      </w:tr>
      <w:tr w:rsidR="001520E0" w:rsidRPr="001520E0" w14:paraId="37601CCB" w14:textId="77777777" w:rsidTr="00E80B54">
        <w:trPr>
          <w:trHeight w:val="344"/>
        </w:trPr>
        <w:tc>
          <w:tcPr>
            <w:tcW w:w="0" w:type="auto"/>
            <w:gridSpan w:val="2"/>
            <w:tcBorders>
              <w:top w:val="nil"/>
              <w:left w:val="nil"/>
              <w:bottom w:val="nil"/>
              <w:right w:val="nil"/>
            </w:tcBorders>
            <w:shd w:val="clear" w:color="000000" w:fill="FFFFFF"/>
            <w:noWrap/>
            <w:vAlign w:val="bottom"/>
            <w:hideMark/>
          </w:tcPr>
          <w:p w14:paraId="6B6C16F0"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CB8D878"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A5540F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3AB427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C21A22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5157751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334881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3154C64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C482E7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tcBorders>
              <w:top w:val="nil"/>
              <w:left w:val="nil"/>
              <w:bottom w:val="nil"/>
              <w:right w:val="nil"/>
            </w:tcBorders>
            <w:shd w:val="clear" w:color="000000" w:fill="FFFFFF"/>
            <w:noWrap/>
            <w:vAlign w:val="bottom"/>
            <w:hideMark/>
          </w:tcPr>
          <w:p w14:paraId="182AA74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 </w:t>
            </w:r>
          </w:p>
        </w:tc>
      </w:tr>
      <w:tr w:rsidR="001520E0" w:rsidRPr="001520E0" w14:paraId="4F7AE320" w14:textId="77777777" w:rsidTr="00E80B54">
        <w:trPr>
          <w:trHeight w:val="340"/>
        </w:trPr>
        <w:tc>
          <w:tcPr>
            <w:tcW w:w="0" w:type="auto"/>
            <w:gridSpan w:val="4"/>
            <w:tcBorders>
              <w:top w:val="nil"/>
              <w:left w:val="nil"/>
              <w:bottom w:val="nil"/>
              <w:right w:val="nil"/>
            </w:tcBorders>
            <w:shd w:val="clear" w:color="000000" w:fill="FFFFFF"/>
            <w:noWrap/>
            <w:vAlign w:val="bottom"/>
            <w:hideMark/>
          </w:tcPr>
          <w:p w14:paraId="7D3D74F4"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xml:space="preserve">Psychopathology </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39BCB358"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173916CE"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042C9C87"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3E7DA9A8"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75E257DD"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07519E38"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c>
          <w:tcPr>
            <w:tcW w:w="0" w:type="auto"/>
            <w:gridSpan w:val="2"/>
            <w:tcBorders>
              <w:top w:val="single" w:sz="4" w:space="0" w:color="auto"/>
              <w:left w:val="nil"/>
              <w:bottom w:val="single" w:sz="8" w:space="0" w:color="auto"/>
              <w:right w:val="nil"/>
            </w:tcBorders>
            <w:shd w:val="clear" w:color="000000" w:fill="D9D9D9"/>
            <w:noWrap/>
            <w:vAlign w:val="center"/>
            <w:hideMark/>
          </w:tcPr>
          <w:p w14:paraId="612F713B"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n</w:t>
            </w:r>
          </w:p>
        </w:tc>
        <w:tc>
          <w:tcPr>
            <w:tcW w:w="0" w:type="auto"/>
            <w:tcBorders>
              <w:top w:val="single" w:sz="4" w:space="0" w:color="auto"/>
              <w:left w:val="nil"/>
              <w:bottom w:val="single" w:sz="8" w:space="0" w:color="auto"/>
              <w:right w:val="nil"/>
            </w:tcBorders>
            <w:shd w:val="clear" w:color="000000" w:fill="D9D9D9"/>
            <w:noWrap/>
            <w:vAlign w:val="center"/>
            <w:hideMark/>
          </w:tcPr>
          <w:p w14:paraId="7417C8AF" w14:textId="77777777" w:rsidR="003F344D" w:rsidRPr="001520E0" w:rsidRDefault="003F344D" w:rsidP="00E80B54">
            <w:pPr>
              <w:ind w:right="-15"/>
              <w:jc w:val="center"/>
              <w:rPr>
                <w:rFonts w:ascii="Times New Roman" w:eastAsia="Times New Roman" w:hAnsi="Times New Roman" w:cs="Times New Roman"/>
                <w:i/>
                <w:iCs/>
                <w:color w:val="000000"/>
                <w:sz w:val="18"/>
                <w:szCs w:val="18"/>
                <w:lang w:val="en-GB" w:eastAsia="en-GB"/>
              </w:rPr>
            </w:pPr>
            <w:r w:rsidRPr="001520E0">
              <w:rPr>
                <w:rFonts w:ascii="Times New Roman" w:eastAsia="Times New Roman" w:hAnsi="Times New Roman" w:cs="Times New Roman"/>
                <w:i/>
                <w:iCs/>
                <w:color w:val="000000"/>
                <w:sz w:val="18"/>
                <w:szCs w:val="18"/>
                <w:lang w:val="en-GB" w:eastAsia="en-GB"/>
              </w:rPr>
              <w:t>%</w:t>
            </w:r>
          </w:p>
        </w:tc>
      </w:tr>
      <w:tr w:rsidR="001520E0" w:rsidRPr="001520E0" w14:paraId="5831DB49"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38681EB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D6F0F07"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Any </w:t>
            </w:r>
          </w:p>
        </w:tc>
        <w:tc>
          <w:tcPr>
            <w:tcW w:w="0" w:type="auto"/>
            <w:gridSpan w:val="2"/>
            <w:tcBorders>
              <w:top w:val="nil"/>
              <w:left w:val="nil"/>
              <w:bottom w:val="nil"/>
              <w:right w:val="nil"/>
            </w:tcBorders>
            <w:shd w:val="clear" w:color="000000" w:fill="FFFFFF"/>
            <w:noWrap/>
            <w:vAlign w:val="bottom"/>
            <w:hideMark/>
          </w:tcPr>
          <w:p w14:paraId="78A02A0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22</w:t>
            </w:r>
          </w:p>
        </w:tc>
        <w:tc>
          <w:tcPr>
            <w:tcW w:w="0" w:type="auto"/>
            <w:gridSpan w:val="2"/>
            <w:tcBorders>
              <w:top w:val="nil"/>
              <w:left w:val="nil"/>
              <w:bottom w:val="nil"/>
              <w:right w:val="nil"/>
            </w:tcBorders>
            <w:shd w:val="clear" w:color="000000" w:fill="FFFFFF"/>
            <w:noWrap/>
            <w:vAlign w:val="bottom"/>
            <w:hideMark/>
          </w:tcPr>
          <w:p w14:paraId="3379280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31</w:t>
            </w:r>
          </w:p>
        </w:tc>
        <w:tc>
          <w:tcPr>
            <w:tcW w:w="0" w:type="auto"/>
            <w:gridSpan w:val="2"/>
            <w:tcBorders>
              <w:top w:val="nil"/>
              <w:left w:val="nil"/>
              <w:bottom w:val="nil"/>
              <w:right w:val="nil"/>
            </w:tcBorders>
            <w:shd w:val="clear" w:color="000000" w:fill="FFFFFF"/>
            <w:noWrap/>
            <w:vAlign w:val="bottom"/>
            <w:hideMark/>
          </w:tcPr>
          <w:p w14:paraId="4A00AA1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23</w:t>
            </w:r>
          </w:p>
        </w:tc>
        <w:tc>
          <w:tcPr>
            <w:tcW w:w="0" w:type="auto"/>
            <w:gridSpan w:val="2"/>
            <w:tcBorders>
              <w:top w:val="nil"/>
              <w:left w:val="nil"/>
              <w:bottom w:val="nil"/>
              <w:right w:val="nil"/>
            </w:tcBorders>
            <w:shd w:val="clear" w:color="000000" w:fill="FFFFFF"/>
            <w:noWrap/>
            <w:vAlign w:val="bottom"/>
            <w:hideMark/>
          </w:tcPr>
          <w:p w14:paraId="16894A1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29</w:t>
            </w:r>
          </w:p>
        </w:tc>
        <w:tc>
          <w:tcPr>
            <w:tcW w:w="0" w:type="auto"/>
            <w:gridSpan w:val="2"/>
            <w:tcBorders>
              <w:top w:val="nil"/>
              <w:left w:val="nil"/>
              <w:bottom w:val="nil"/>
              <w:right w:val="nil"/>
            </w:tcBorders>
            <w:shd w:val="clear" w:color="000000" w:fill="FFFFFF"/>
            <w:noWrap/>
            <w:vAlign w:val="bottom"/>
            <w:hideMark/>
          </w:tcPr>
          <w:p w14:paraId="2BECD84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15</w:t>
            </w:r>
          </w:p>
        </w:tc>
        <w:tc>
          <w:tcPr>
            <w:tcW w:w="0" w:type="auto"/>
            <w:gridSpan w:val="2"/>
            <w:tcBorders>
              <w:top w:val="nil"/>
              <w:left w:val="nil"/>
              <w:bottom w:val="nil"/>
              <w:right w:val="nil"/>
            </w:tcBorders>
            <w:shd w:val="clear" w:color="000000" w:fill="FFFFFF"/>
            <w:noWrap/>
            <w:vAlign w:val="bottom"/>
            <w:hideMark/>
          </w:tcPr>
          <w:p w14:paraId="3832204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30</w:t>
            </w:r>
          </w:p>
        </w:tc>
        <w:tc>
          <w:tcPr>
            <w:tcW w:w="0" w:type="auto"/>
            <w:gridSpan w:val="2"/>
            <w:tcBorders>
              <w:top w:val="nil"/>
              <w:left w:val="nil"/>
              <w:bottom w:val="nil"/>
              <w:right w:val="nil"/>
            </w:tcBorders>
            <w:shd w:val="clear" w:color="000000" w:fill="FFFFFF"/>
            <w:noWrap/>
            <w:vAlign w:val="bottom"/>
            <w:hideMark/>
          </w:tcPr>
          <w:p w14:paraId="760CAFE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53</w:t>
            </w:r>
          </w:p>
        </w:tc>
        <w:tc>
          <w:tcPr>
            <w:tcW w:w="0" w:type="auto"/>
            <w:tcBorders>
              <w:top w:val="nil"/>
              <w:left w:val="nil"/>
              <w:bottom w:val="nil"/>
              <w:right w:val="nil"/>
            </w:tcBorders>
            <w:shd w:val="clear" w:color="000000" w:fill="FFFFFF"/>
            <w:noWrap/>
            <w:vAlign w:val="bottom"/>
            <w:hideMark/>
          </w:tcPr>
          <w:p w14:paraId="5FC65ED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26</w:t>
            </w:r>
          </w:p>
        </w:tc>
      </w:tr>
      <w:tr w:rsidR="001520E0" w:rsidRPr="001520E0" w14:paraId="734D36F8"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0BB676A9"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1F2DD86"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MDD</w:t>
            </w:r>
          </w:p>
        </w:tc>
        <w:tc>
          <w:tcPr>
            <w:tcW w:w="0" w:type="auto"/>
            <w:gridSpan w:val="2"/>
            <w:tcBorders>
              <w:top w:val="nil"/>
              <w:left w:val="nil"/>
              <w:bottom w:val="nil"/>
              <w:right w:val="nil"/>
            </w:tcBorders>
            <w:shd w:val="clear" w:color="000000" w:fill="FFFFFF"/>
            <w:noWrap/>
            <w:vAlign w:val="bottom"/>
            <w:hideMark/>
          </w:tcPr>
          <w:p w14:paraId="0D295D5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w:t>
            </w:r>
          </w:p>
        </w:tc>
        <w:tc>
          <w:tcPr>
            <w:tcW w:w="0" w:type="auto"/>
            <w:gridSpan w:val="2"/>
            <w:tcBorders>
              <w:top w:val="nil"/>
              <w:left w:val="nil"/>
              <w:bottom w:val="nil"/>
              <w:right w:val="nil"/>
            </w:tcBorders>
            <w:shd w:val="clear" w:color="000000" w:fill="FFFFFF"/>
            <w:noWrap/>
            <w:vAlign w:val="bottom"/>
            <w:hideMark/>
          </w:tcPr>
          <w:p w14:paraId="06EF59A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w:t>
            </w:r>
          </w:p>
        </w:tc>
        <w:tc>
          <w:tcPr>
            <w:tcW w:w="0" w:type="auto"/>
            <w:gridSpan w:val="2"/>
            <w:tcBorders>
              <w:top w:val="nil"/>
              <w:left w:val="nil"/>
              <w:bottom w:val="nil"/>
              <w:right w:val="nil"/>
            </w:tcBorders>
            <w:shd w:val="clear" w:color="000000" w:fill="FFFFFF"/>
            <w:noWrap/>
            <w:vAlign w:val="bottom"/>
            <w:hideMark/>
          </w:tcPr>
          <w:p w14:paraId="2750381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w:t>
            </w:r>
          </w:p>
        </w:tc>
        <w:tc>
          <w:tcPr>
            <w:tcW w:w="0" w:type="auto"/>
            <w:gridSpan w:val="2"/>
            <w:tcBorders>
              <w:top w:val="nil"/>
              <w:left w:val="nil"/>
              <w:bottom w:val="nil"/>
              <w:right w:val="nil"/>
            </w:tcBorders>
            <w:shd w:val="clear" w:color="000000" w:fill="FFFFFF"/>
            <w:noWrap/>
            <w:vAlign w:val="bottom"/>
            <w:hideMark/>
          </w:tcPr>
          <w:p w14:paraId="4B846F9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w:t>
            </w:r>
          </w:p>
        </w:tc>
        <w:tc>
          <w:tcPr>
            <w:tcW w:w="0" w:type="auto"/>
            <w:gridSpan w:val="2"/>
            <w:tcBorders>
              <w:top w:val="nil"/>
              <w:left w:val="nil"/>
              <w:bottom w:val="nil"/>
              <w:right w:val="nil"/>
            </w:tcBorders>
            <w:shd w:val="clear" w:color="000000" w:fill="FFFFFF"/>
            <w:noWrap/>
            <w:vAlign w:val="bottom"/>
            <w:hideMark/>
          </w:tcPr>
          <w:p w14:paraId="32B9FEA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w:t>
            </w:r>
          </w:p>
        </w:tc>
        <w:tc>
          <w:tcPr>
            <w:tcW w:w="0" w:type="auto"/>
            <w:gridSpan w:val="2"/>
            <w:tcBorders>
              <w:top w:val="nil"/>
              <w:left w:val="nil"/>
              <w:bottom w:val="nil"/>
              <w:right w:val="nil"/>
            </w:tcBorders>
            <w:shd w:val="clear" w:color="000000" w:fill="FFFFFF"/>
            <w:noWrap/>
            <w:vAlign w:val="bottom"/>
            <w:hideMark/>
          </w:tcPr>
          <w:p w14:paraId="246A02E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w:t>
            </w:r>
          </w:p>
        </w:tc>
        <w:tc>
          <w:tcPr>
            <w:tcW w:w="0" w:type="auto"/>
            <w:gridSpan w:val="2"/>
            <w:tcBorders>
              <w:top w:val="nil"/>
              <w:left w:val="nil"/>
              <w:bottom w:val="nil"/>
              <w:right w:val="nil"/>
            </w:tcBorders>
            <w:shd w:val="clear" w:color="000000" w:fill="FFFFFF"/>
            <w:noWrap/>
            <w:vAlign w:val="bottom"/>
            <w:hideMark/>
          </w:tcPr>
          <w:p w14:paraId="11FD923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8</w:t>
            </w:r>
          </w:p>
        </w:tc>
        <w:tc>
          <w:tcPr>
            <w:tcW w:w="0" w:type="auto"/>
            <w:tcBorders>
              <w:top w:val="nil"/>
              <w:left w:val="nil"/>
              <w:bottom w:val="nil"/>
              <w:right w:val="nil"/>
            </w:tcBorders>
            <w:shd w:val="clear" w:color="000000" w:fill="FFFFFF"/>
            <w:noWrap/>
            <w:vAlign w:val="bottom"/>
            <w:hideMark/>
          </w:tcPr>
          <w:p w14:paraId="47DFE47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r>
      <w:tr w:rsidR="001520E0" w:rsidRPr="001520E0" w14:paraId="172BFF32"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7442C4B2"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080E390"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Bipolar</w:t>
            </w:r>
          </w:p>
        </w:tc>
        <w:tc>
          <w:tcPr>
            <w:tcW w:w="0" w:type="auto"/>
            <w:gridSpan w:val="2"/>
            <w:tcBorders>
              <w:top w:val="nil"/>
              <w:left w:val="nil"/>
              <w:bottom w:val="nil"/>
              <w:right w:val="nil"/>
            </w:tcBorders>
            <w:shd w:val="clear" w:color="000000" w:fill="FFFFFF"/>
            <w:noWrap/>
            <w:vAlign w:val="bottom"/>
            <w:hideMark/>
          </w:tcPr>
          <w:p w14:paraId="2BA6F1B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gridSpan w:val="2"/>
            <w:tcBorders>
              <w:top w:val="nil"/>
              <w:left w:val="nil"/>
              <w:bottom w:val="nil"/>
              <w:right w:val="nil"/>
            </w:tcBorders>
            <w:shd w:val="clear" w:color="000000" w:fill="FFFFFF"/>
            <w:noWrap/>
            <w:vAlign w:val="bottom"/>
            <w:hideMark/>
          </w:tcPr>
          <w:p w14:paraId="3E94C51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6C5AC12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70AFCF6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gridSpan w:val="2"/>
            <w:tcBorders>
              <w:top w:val="nil"/>
              <w:left w:val="nil"/>
              <w:bottom w:val="nil"/>
              <w:right w:val="nil"/>
            </w:tcBorders>
            <w:shd w:val="clear" w:color="000000" w:fill="FFFFFF"/>
            <w:noWrap/>
            <w:vAlign w:val="bottom"/>
            <w:hideMark/>
          </w:tcPr>
          <w:p w14:paraId="23B56A8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01C4A67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12</w:t>
            </w:r>
          </w:p>
        </w:tc>
        <w:tc>
          <w:tcPr>
            <w:tcW w:w="0" w:type="auto"/>
            <w:gridSpan w:val="2"/>
            <w:tcBorders>
              <w:top w:val="nil"/>
              <w:left w:val="nil"/>
              <w:bottom w:val="nil"/>
              <w:right w:val="nil"/>
            </w:tcBorders>
            <w:shd w:val="clear" w:color="000000" w:fill="FFFFFF"/>
            <w:noWrap/>
            <w:vAlign w:val="bottom"/>
            <w:hideMark/>
          </w:tcPr>
          <w:p w14:paraId="703312D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tcBorders>
              <w:top w:val="nil"/>
              <w:left w:val="nil"/>
              <w:bottom w:val="nil"/>
              <w:right w:val="nil"/>
            </w:tcBorders>
            <w:shd w:val="clear" w:color="000000" w:fill="FFFFFF"/>
            <w:noWrap/>
            <w:vAlign w:val="bottom"/>
            <w:hideMark/>
          </w:tcPr>
          <w:p w14:paraId="7267E79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r>
      <w:tr w:rsidR="001520E0" w:rsidRPr="001520E0" w14:paraId="67104AEE"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0DE9E055"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604FD513"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Panic </w:t>
            </w:r>
          </w:p>
        </w:tc>
        <w:tc>
          <w:tcPr>
            <w:tcW w:w="0" w:type="auto"/>
            <w:gridSpan w:val="2"/>
            <w:tcBorders>
              <w:top w:val="nil"/>
              <w:left w:val="nil"/>
              <w:bottom w:val="nil"/>
              <w:right w:val="nil"/>
            </w:tcBorders>
            <w:shd w:val="clear" w:color="000000" w:fill="FFFFFF"/>
            <w:noWrap/>
            <w:vAlign w:val="bottom"/>
            <w:hideMark/>
          </w:tcPr>
          <w:p w14:paraId="71AE1C9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3F8B626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w:t>
            </w:r>
          </w:p>
        </w:tc>
        <w:tc>
          <w:tcPr>
            <w:tcW w:w="0" w:type="auto"/>
            <w:gridSpan w:val="2"/>
            <w:tcBorders>
              <w:top w:val="nil"/>
              <w:left w:val="nil"/>
              <w:bottom w:val="nil"/>
              <w:right w:val="nil"/>
            </w:tcBorders>
            <w:shd w:val="clear" w:color="000000" w:fill="FFFFFF"/>
            <w:noWrap/>
            <w:vAlign w:val="bottom"/>
            <w:hideMark/>
          </w:tcPr>
          <w:p w14:paraId="614C222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w:t>
            </w:r>
          </w:p>
        </w:tc>
        <w:tc>
          <w:tcPr>
            <w:tcW w:w="0" w:type="auto"/>
            <w:gridSpan w:val="2"/>
            <w:tcBorders>
              <w:top w:val="nil"/>
              <w:left w:val="nil"/>
              <w:bottom w:val="nil"/>
              <w:right w:val="nil"/>
            </w:tcBorders>
            <w:shd w:val="clear" w:color="000000" w:fill="FFFFFF"/>
            <w:noWrap/>
            <w:vAlign w:val="bottom"/>
            <w:hideMark/>
          </w:tcPr>
          <w:p w14:paraId="40C7063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2E47245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7A4A9AD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1B23E80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w:t>
            </w:r>
          </w:p>
        </w:tc>
        <w:tc>
          <w:tcPr>
            <w:tcW w:w="0" w:type="auto"/>
            <w:tcBorders>
              <w:top w:val="nil"/>
              <w:left w:val="nil"/>
              <w:bottom w:val="nil"/>
              <w:right w:val="nil"/>
            </w:tcBorders>
            <w:shd w:val="clear" w:color="000000" w:fill="FFFFFF"/>
            <w:noWrap/>
            <w:vAlign w:val="bottom"/>
            <w:hideMark/>
          </w:tcPr>
          <w:p w14:paraId="4B8922F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r>
      <w:tr w:rsidR="001520E0" w:rsidRPr="001520E0" w14:paraId="0AE43909"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7717726F"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598E14B1"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p>
          <w:p w14:paraId="3ABCBA9E"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SAD</w:t>
            </w:r>
          </w:p>
        </w:tc>
        <w:tc>
          <w:tcPr>
            <w:tcW w:w="0" w:type="auto"/>
            <w:gridSpan w:val="2"/>
            <w:tcBorders>
              <w:top w:val="nil"/>
              <w:left w:val="nil"/>
              <w:bottom w:val="nil"/>
              <w:right w:val="nil"/>
            </w:tcBorders>
            <w:shd w:val="clear" w:color="000000" w:fill="FFFFFF"/>
            <w:noWrap/>
            <w:vAlign w:val="bottom"/>
            <w:hideMark/>
          </w:tcPr>
          <w:p w14:paraId="755023F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1E80185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33328D3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35600EA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411F2C2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63EDCE4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gridSpan w:val="2"/>
            <w:tcBorders>
              <w:top w:val="nil"/>
              <w:left w:val="nil"/>
              <w:bottom w:val="nil"/>
              <w:right w:val="nil"/>
            </w:tcBorders>
            <w:shd w:val="clear" w:color="000000" w:fill="FFFFFF"/>
            <w:noWrap/>
            <w:vAlign w:val="bottom"/>
            <w:hideMark/>
          </w:tcPr>
          <w:p w14:paraId="35103CA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tcBorders>
              <w:top w:val="nil"/>
              <w:left w:val="nil"/>
              <w:bottom w:val="nil"/>
              <w:right w:val="nil"/>
            </w:tcBorders>
            <w:shd w:val="clear" w:color="000000" w:fill="FFFFFF"/>
            <w:noWrap/>
            <w:vAlign w:val="bottom"/>
            <w:hideMark/>
          </w:tcPr>
          <w:p w14:paraId="4AF3ED5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r>
      <w:tr w:rsidR="001520E0" w:rsidRPr="001520E0" w14:paraId="348D0F37"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706CC45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7B62989"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OCD</w:t>
            </w:r>
          </w:p>
        </w:tc>
        <w:tc>
          <w:tcPr>
            <w:tcW w:w="0" w:type="auto"/>
            <w:gridSpan w:val="2"/>
            <w:tcBorders>
              <w:top w:val="nil"/>
              <w:left w:val="nil"/>
              <w:bottom w:val="nil"/>
              <w:right w:val="nil"/>
            </w:tcBorders>
            <w:shd w:val="clear" w:color="000000" w:fill="FFFFFF"/>
            <w:noWrap/>
            <w:vAlign w:val="bottom"/>
            <w:hideMark/>
          </w:tcPr>
          <w:p w14:paraId="4264291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1789134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gridSpan w:val="2"/>
            <w:tcBorders>
              <w:top w:val="nil"/>
              <w:left w:val="nil"/>
              <w:bottom w:val="nil"/>
              <w:right w:val="nil"/>
            </w:tcBorders>
            <w:shd w:val="clear" w:color="000000" w:fill="FFFFFF"/>
            <w:noWrap/>
            <w:vAlign w:val="bottom"/>
            <w:hideMark/>
          </w:tcPr>
          <w:p w14:paraId="00B6307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686D0CC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3A8F40A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24B0F5C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33D0BCD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tcBorders>
              <w:top w:val="nil"/>
              <w:left w:val="nil"/>
              <w:bottom w:val="nil"/>
              <w:right w:val="nil"/>
            </w:tcBorders>
            <w:shd w:val="clear" w:color="000000" w:fill="FFFFFF"/>
            <w:noWrap/>
            <w:vAlign w:val="bottom"/>
            <w:hideMark/>
          </w:tcPr>
          <w:p w14:paraId="69E941C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r>
      <w:tr w:rsidR="001520E0" w:rsidRPr="001520E0" w14:paraId="72F96B28"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228D72FF"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7815517"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PTSD</w:t>
            </w:r>
          </w:p>
        </w:tc>
        <w:tc>
          <w:tcPr>
            <w:tcW w:w="0" w:type="auto"/>
            <w:gridSpan w:val="2"/>
            <w:tcBorders>
              <w:top w:val="nil"/>
              <w:left w:val="nil"/>
              <w:bottom w:val="nil"/>
              <w:right w:val="nil"/>
            </w:tcBorders>
            <w:shd w:val="clear" w:color="000000" w:fill="FFFFFF"/>
            <w:noWrap/>
            <w:vAlign w:val="bottom"/>
            <w:hideMark/>
          </w:tcPr>
          <w:p w14:paraId="27AA0C8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41AF613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0319AC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A0C952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1FC385A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2AEA9F7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5F459F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tcBorders>
              <w:top w:val="nil"/>
              <w:left w:val="nil"/>
              <w:bottom w:val="nil"/>
              <w:right w:val="nil"/>
            </w:tcBorders>
            <w:shd w:val="clear" w:color="000000" w:fill="FFFFFF"/>
            <w:noWrap/>
            <w:vAlign w:val="bottom"/>
            <w:hideMark/>
          </w:tcPr>
          <w:p w14:paraId="0A2CC7C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r>
      <w:tr w:rsidR="001520E0" w:rsidRPr="001520E0" w14:paraId="76C634DA"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6590CCC3" w14:textId="77777777" w:rsidR="003F344D" w:rsidRPr="001520E0" w:rsidRDefault="003F344D" w:rsidP="00E80B54">
            <w:pPr>
              <w:ind w:right="-15"/>
              <w:rPr>
                <w:rFonts w:ascii="Times New Roman" w:eastAsia="Times New Roman" w:hAnsi="Times New Roman" w:cs="Times New Roman"/>
                <w:b/>
                <w:bCs/>
                <w:color w:val="000000"/>
                <w:sz w:val="18"/>
                <w:szCs w:val="18"/>
                <w:lang w:val="en-GB" w:eastAsia="en-GB"/>
              </w:rPr>
            </w:pPr>
            <w:r w:rsidRPr="001520E0">
              <w:rPr>
                <w:rFonts w:ascii="Times New Roman" w:eastAsia="Times New Roman" w:hAnsi="Times New Roman" w:cs="Times New Roman"/>
                <w:b/>
                <w:bCs/>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7F0C345F"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Alcohol Dependence</w:t>
            </w:r>
          </w:p>
        </w:tc>
        <w:tc>
          <w:tcPr>
            <w:tcW w:w="0" w:type="auto"/>
            <w:gridSpan w:val="2"/>
            <w:tcBorders>
              <w:top w:val="nil"/>
              <w:left w:val="nil"/>
              <w:bottom w:val="nil"/>
              <w:right w:val="nil"/>
            </w:tcBorders>
            <w:shd w:val="clear" w:color="000000" w:fill="FFFFFF"/>
            <w:noWrap/>
            <w:vAlign w:val="bottom"/>
            <w:hideMark/>
          </w:tcPr>
          <w:p w14:paraId="1242110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w:t>
            </w:r>
          </w:p>
        </w:tc>
        <w:tc>
          <w:tcPr>
            <w:tcW w:w="0" w:type="auto"/>
            <w:gridSpan w:val="2"/>
            <w:tcBorders>
              <w:top w:val="nil"/>
              <w:left w:val="nil"/>
              <w:bottom w:val="nil"/>
              <w:right w:val="nil"/>
            </w:tcBorders>
            <w:shd w:val="clear" w:color="000000" w:fill="FFFFFF"/>
            <w:noWrap/>
            <w:vAlign w:val="bottom"/>
            <w:hideMark/>
          </w:tcPr>
          <w:p w14:paraId="0B95195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w:t>
            </w:r>
          </w:p>
        </w:tc>
        <w:tc>
          <w:tcPr>
            <w:tcW w:w="0" w:type="auto"/>
            <w:gridSpan w:val="2"/>
            <w:tcBorders>
              <w:top w:val="nil"/>
              <w:left w:val="nil"/>
              <w:bottom w:val="nil"/>
              <w:right w:val="nil"/>
            </w:tcBorders>
            <w:shd w:val="clear" w:color="000000" w:fill="FFFFFF"/>
            <w:noWrap/>
            <w:vAlign w:val="bottom"/>
            <w:hideMark/>
          </w:tcPr>
          <w:p w14:paraId="71F9A42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w:t>
            </w:r>
          </w:p>
        </w:tc>
        <w:tc>
          <w:tcPr>
            <w:tcW w:w="0" w:type="auto"/>
            <w:gridSpan w:val="2"/>
            <w:tcBorders>
              <w:top w:val="nil"/>
              <w:left w:val="nil"/>
              <w:bottom w:val="nil"/>
              <w:right w:val="nil"/>
            </w:tcBorders>
            <w:shd w:val="clear" w:color="000000" w:fill="FFFFFF"/>
            <w:noWrap/>
            <w:vAlign w:val="bottom"/>
            <w:hideMark/>
          </w:tcPr>
          <w:p w14:paraId="111B309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5B23717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79C4919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511F98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w:t>
            </w:r>
          </w:p>
        </w:tc>
        <w:tc>
          <w:tcPr>
            <w:tcW w:w="0" w:type="auto"/>
            <w:tcBorders>
              <w:top w:val="nil"/>
              <w:left w:val="nil"/>
              <w:bottom w:val="nil"/>
              <w:right w:val="nil"/>
            </w:tcBorders>
            <w:shd w:val="clear" w:color="000000" w:fill="FFFFFF"/>
            <w:noWrap/>
            <w:vAlign w:val="bottom"/>
            <w:hideMark/>
          </w:tcPr>
          <w:p w14:paraId="1D9EF91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7</w:t>
            </w:r>
          </w:p>
        </w:tc>
      </w:tr>
      <w:tr w:rsidR="001520E0" w:rsidRPr="001520E0" w14:paraId="0969151B"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2CE67F11"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21A569FF"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Alcohol Abuse </w:t>
            </w:r>
          </w:p>
        </w:tc>
        <w:tc>
          <w:tcPr>
            <w:tcW w:w="0" w:type="auto"/>
            <w:gridSpan w:val="2"/>
            <w:tcBorders>
              <w:top w:val="nil"/>
              <w:left w:val="nil"/>
              <w:bottom w:val="nil"/>
              <w:right w:val="nil"/>
            </w:tcBorders>
            <w:shd w:val="clear" w:color="000000" w:fill="FFFFFF"/>
            <w:noWrap/>
            <w:vAlign w:val="bottom"/>
            <w:hideMark/>
          </w:tcPr>
          <w:p w14:paraId="61E025A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gridSpan w:val="2"/>
            <w:tcBorders>
              <w:top w:val="nil"/>
              <w:left w:val="nil"/>
              <w:bottom w:val="nil"/>
              <w:right w:val="nil"/>
            </w:tcBorders>
            <w:shd w:val="clear" w:color="000000" w:fill="FFFFFF"/>
            <w:noWrap/>
            <w:vAlign w:val="bottom"/>
            <w:hideMark/>
          </w:tcPr>
          <w:p w14:paraId="6F11D64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1A5654B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7CFD7C5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8</w:t>
            </w:r>
          </w:p>
        </w:tc>
        <w:tc>
          <w:tcPr>
            <w:tcW w:w="0" w:type="auto"/>
            <w:gridSpan w:val="2"/>
            <w:tcBorders>
              <w:top w:val="nil"/>
              <w:left w:val="nil"/>
              <w:bottom w:val="nil"/>
              <w:right w:val="nil"/>
            </w:tcBorders>
            <w:shd w:val="clear" w:color="000000" w:fill="FFFFFF"/>
            <w:noWrap/>
            <w:vAlign w:val="bottom"/>
            <w:hideMark/>
          </w:tcPr>
          <w:p w14:paraId="23984A2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2462BDA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7B1160B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17</w:t>
            </w:r>
          </w:p>
        </w:tc>
        <w:tc>
          <w:tcPr>
            <w:tcW w:w="0" w:type="auto"/>
            <w:tcBorders>
              <w:top w:val="nil"/>
              <w:left w:val="nil"/>
              <w:bottom w:val="nil"/>
              <w:right w:val="nil"/>
            </w:tcBorders>
            <w:shd w:val="clear" w:color="000000" w:fill="FFFFFF"/>
            <w:noWrap/>
            <w:vAlign w:val="bottom"/>
            <w:hideMark/>
          </w:tcPr>
          <w:p w14:paraId="64B8322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8</w:t>
            </w:r>
          </w:p>
        </w:tc>
      </w:tr>
      <w:tr w:rsidR="001520E0" w:rsidRPr="001520E0" w14:paraId="471D3166"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1F5B67DB"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0ABF522"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Any Alcohol Abuse</w:t>
            </w:r>
          </w:p>
        </w:tc>
        <w:tc>
          <w:tcPr>
            <w:tcW w:w="0" w:type="auto"/>
            <w:gridSpan w:val="2"/>
            <w:tcBorders>
              <w:top w:val="nil"/>
              <w:left w:val="nil"/>
              <w:bottom w:val="nil"/>
              <w:right w:val="nil"/>
            </w:tcBorders>
            <w:shd w:val="clear" w:color="000000" w:fill="FFFFFF"/>
            <w:noWrap/>
            <w:vAlign w:val="bottom"/>
            <w:hideMark/>
          </w:tcPr>
          <w:p w14:paraId="2FE7D22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w:t>
            </w:r>
          </w:p>
        </w:tc>
        <w:tc>
          <w:tcPr>
            <w:tcW w:w="0" w:type="auto"/>
            <w:gridSpan w:val="2"/>
            <w:tcBorders>
              <w:top w:val="nil"/>
              <w:left w:val="nil"/>
              <w:bottom w:val="nil"/>
              <w:right w:val="nil"/>
            </w:tcBorders>
            <w:shd w:val="clear" w:color="000000" w:fill="FFFFFF"/>
            <w:noWrap/>
            <w:vAlign w:val="bottom"/>
            <w:hideMark/>
          </w:tcPr>
          <w:p w14:paraId="6B75C98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13</w:t>
            </w:r>
          </w:p>
        </w:tc>
        <w:tc>
          <w:tcPr>
            <w:tcW w:w="0" w:type="auto"/>
            <w:gridSpan w:val="2"/>
            <w:tcBorders>
              <w:top w:val="nil"/>
              <w:left w:val="nil"/>
              <w:bottom w:val="nil"/>
              <w:right w:val="nil"/>
            </w:tcBorders>
            <w:shd w:val="clear" w:color="000000" w:fill="FFFFFF"/>
            <w:noWrap/>
            <w:vAlign w:val="bottom"/>
            <w:hideMark/>
          </w:tcPr>
          <w:p w14:paraId="20C0419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11</w:t>
            </w:r>
          </w:p>
        </w:tc>
        <w:tc>
          <w:tcPr>
            <w:tcW w:w="0" w:type="auto"/>
            <w:gridSpan w:val="2"/>
            <w:tcBorders>
              <w:top w:val="nil"/>
              <w:left w:val="nil"/>
              <w:bottom w:val="nil"/>
              <w:right w:val="nil"/>
            </w:tcBorders>
            <w:shd w:val="clear" w:color="000000" w:fill="FFFFFF"/>
            <w:noWrap/>
            <w:vAlign w:val="bottom"/>
            <w:hideMark/>
          </w:tcPr>
          <w:p w14:paraId="0AA01A2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14</w:t>
            </w:r>
          </w:p>
        </w:tc>
        <w:tc>
          <w:tcPr>
            <w:tcW w:w="0" w:type="auto"/>
            <w:gridSpan w:val="2"/>
            <w:tcBorders>
              <w:top w:val="nil"/>
              <w:left w:val="nil"/>
              <w:bottom w:val="nil"/>
              <w:right w:val="nil"/>
            </w:tcBorders>
            <w:shd w:val="clear" w:color="000000" w:fill="FFFFFF"/>
            <w:noWrap/>
            <w:vAlign w:val="bottom"/>
            <w:hideMark/>
          </w:tcPr>
          <w:p w14:paraId="3B178EF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11D4D3A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2CC793E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31</w:t>
            </w:r>
          </w:p>
        </w:tc>
        <w:tc>
          <w:tcPr>
            <w:tcW w:w="0" w:type="auto"/>
            <w:tcBorders>
              <w:top w:val="nil"/>
              <w:left w:val="nil"/>
              <w:bottom w:val="nil"/>
              <w:right w:val="nil"/>
            </w:tcBorders>
            <w:shd w:val="clear" w:color="000000" w:fill="FFFFFF"/>
            <w:noWrap/>
            <w:vAlign w:val="bottom"/>
            <w:hideMark/>
          </w:tcPr>
          <w:p w14:paraId="7F825C5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15</w:t>
            </w:r>
          </w:p>
        </w:tc>
      </w:tr>
      <w:tr w:rsidR="001520E0" w:rsidRPr="001520E0" w14:paraId="67A5F985"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45FCEE18"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1346F8F8"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Substance Abuse </w:t>
            </w:r>
          </w:p>
        </w:tc>
        <w:tc>
          <w:tcPr>
            <w:tcW w:w="0" w:type="auto"/>
            <w:gridSpan w:val="2"/>
            <w:tcBorders>
              <w:top w:val="nil"/>
              <w:left w:val="nil"/>
              <w:bottom w:val="nil"/>
              <w:right w:val="nil"/>
            </w:tcBorders>
            <w:shd w:val="clear" w:color="000000" w:fill="FFFFFF"/>
            <w:noWrap/>
            <w:vAlign w:val="bottom"/>
            <w:hideMark/>
          </w:tcPr>
          <w:p w14:paraId="24CA0B4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76204E3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9</w:t>
            </w:r>
          </w:p>
        </w:tc>
        <w:tc>
          <w:tcPr>
            <w:tcW w:w="0" w:type="auto"/>
            <w:gridSpan w:val="2"/>
            <w:tcBorders>
              <w:top w:val="nil"/>
              <w:left w:val="nil"/>
              <w:bottom w:val="nil"/>
              <w:right w:val="nil"/>
            </w:tcBorders>
            <w:shd w:val="clear" w:color="000000" w:fill="FFFFFF"/>
            <w:noWrap/>
            <w:vAlign w:val="bottom"/>
            <w:hideMark/>
          </w:tcPr>
          <w:p w14:paraId="50651AC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51C1F25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187A61C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3</w:t>
            </w:r>
          </w:p>
        </w:tc>
        <w:tc>
          <w:tcPr>
            <w:tcW w:w="0" w:type="auto"/>
            <w:gridSpan w:val="2"/>
            <w:tcBorders>
              <w:top w:val="nil"/>
              <w:left w:val="nil"/>
              <w:bottom w:val="nil"/>
              <w:right w:val="nil"/>
            </w:tcBorders>
            <w:shd w:val="clear" w:color="000000" w:fill="FFFFFF"/>
            <w:noWrap/>
            <w:vAlign w:val="bottom"/>
            <w:hideMark/>
          </w:tcPr>
          <w:p w14:paraId="2A05B9E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6</w:t>
            </w:r>
          </w:p>
        </w:tc>
        <w:tc>
          <w:tcPr>
            <w:tcW w:w="0" w:type="auto"/>
            <w:gridSpan w:val="2"/>
            <w:tcBorders>
              <w:top w:val="nil"/>
              <w:left w:val="nil"/>
              <w:bottom w:val="nil"/>
              <w:right w:val="nil"/>
            </w:tcBorders>
            <w:shd w:val="clear" w:color="000000" w:fill="FFFFFF"/>
            <w:noWrap/>
            <w:vAlign w:val="bottom"/>
            <w:hideMark/>
          </w:tcPr>
          <w:p w14:paraId="38BAA08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10</w:t>
            </w:r>
          </w:p>
        </w:tc>
        <w:tc>
          <w:tcPr>
            <w:tcW w:w="0" w:type="auto"/>
            <w:tcBorders>
              <w:top w:val="nil"/>
              <w:left w:val="nil"/>
              <w:bottom w:val="nil"/>
              <w:right w:val="nil"/>
            </w:tcBorders>
            <w:shd w:val="clear" w:color="000000" w:fill="FFFFFF"/>
            <w:noWrap/>
            <w:vAlign w:val="bottom"/>
            <w:hideMark/>
          </w:tcPr>
          <w:p w14:paraId="6AAC1B7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5</w:t>
            </w:r>
          </w:p>
        </w:tc>
      </w:tr>
      <w:tr w:rsidR="001520E0" w:rsidRPr="001520E0" w14:paraId="6804EB7C"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65624EF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077D1A6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Eating Disorder</w:t>
            </w:r>
          </w:p>
        </w:tc>
        <w:tc>
          <w:tcPr>
            <w:tcW w:w="0" w:type="auto"/>
            <w:gridSpan w:val="2"/>
            <w:tcBorders>
              <w:top w:val="nil"/>
              <w:left w:val="nil"/>
              <w:bottom w:val="nil"/>
              <w:right w:val="nil"/>
            </w:tcBorders>
            <w:shd w:val="clear" w:color="000000" w:fill="FFFFFF"/>
            <w:noWrap/>
            <w:vAlign w:val="bottom"/>
            <w:hideMark/>
          </w:tcPr>
          <w:p w14:paraId="656B8B4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69CA3DA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EAB8E2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667A26C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772E25E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40714D63"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55B29E9D"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4</w:t>
            </w:r>
          </w:p>
        </w:tc>
        <w:tc>
          <w:tcPr>
            <w:tcW w:w="0" w:type="auto"/>
            <w:tcBorders>
              <w:top w:val="nil"/>
              <w:left w:val="nil"/>
              <w:bottom w:val="nil"/>
              <w:right w:val="nil"/>
            </w:tcBorders>
            <w:shd w:val="clear" w:color="000000" w:fill="FFFFFF"/>
            <w:noWrap/>
            <w:vAlign w:val="bottom"/>
            <w:hideMark/>
          </w:tcPr>
          <w:p w14:paraId="407BCA1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r>
      <w:tr w:rsidR="001520E0" w:rsidRPr="001520E0" w14:paraId="5805AC42"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1FCADC0D"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nil"/>
              <w:right w:val="nil"/>
            </w:tcBorders>
            <w:shd w:val="clear" w:color="000000" w:fill="FFFFFF"/>
            <w:noWrap/>
            <w:vAlign w:val="bottom"/>
            <w:hideMark/>
          </w:tcPr>
          <w:p w14:paraId="446896B2"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Asperger syndrome</w:t>
            </w:r>
          </w:p>
        </w:tc>
        <w:tc>
          <w:tcPr>
            <w:tcW w:w="0" w:type="auto"/>
            <w:gridSpan w:val="2"/>
            <w:tcBorders>
              <w:top w:val="nil"/>
              <w:left w:val="nil"/>
              <w:bottom w:val="nil"/>
              <w:right w:val="nil"/>
            </w:tcBorders>
            <w:shd w:val="clear" w:color="000000" w:fill="FFFFFF"/>
            <w:noWrap/>
            <w:vAlign w:val="bottom"/>
            <w:hideMark/>
          </w:tcPr>
          <w:p w14:paraId="7B69F87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2B6CCF5C"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085BBAD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421B895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nil"/>
              <w:right w:val="nil"/>
            </w:tcBorders>
            <w:shd w:val="clear" w:color="000000" w:fill="FFFFFF"/>
            <w:noWrap/>
            <w:vAlign w:val="bottom"/>
            <w:hideMark/>
          </w:tcPr>
          <w:p w14:paraId="3570DA7F"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nil"/>
              <w:right w:val="nil"/>
            </w:tcBorders>
            <w:shd w:val="clear" w:color="000000" w:fill="FFFFFF"/>
            <w:noWrap/>
            <w:vAlign w:val="bottom"/>
            <w:hideMark/>
          </w:tcPr>
          <w:p w14:paraId="457B18B2"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nil"/>
              <w:right w:val="nil"/>
            </w:tcBorders>
            <w:shd w:val="clear" w:color="000000" w:fill="FFFFFF"/>
            <w:noWrap/>
            <w:vAlign w:val="bottom"/>
            <w:hideMark/>
          </w:tcPr>
          <w:p w14:paraId="1E6F475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tcBorders>
              <w:top w:val="nil"/>
              <w:left w:val="nil"/>
              <w:bottom w:val="nil"/>
              <w:right w:val="nil"/>
            </w:tcBorders>
            <w:shd w:val="clear" w:color="000000" w:fill="FFFFFF"/>
            <w:noWrap/>
            <w:vAlign w:val="bottom"/>
            <w:hideMark/>
          </w:tcPr>
          <w:p w14:paraId="2E10DD4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r>
      <w:tr w:rsidR="001520E0" w:rsidRPr="001520E0" w14:paraId="19EC3C1B" w14:textId="77777777" w:rsidTr="00E80B54">
        <w:trPr>
          <w:trHeight w:val="320"/>
        </w:trPr>
        <w:tc>
          <w:tcPr>
            <w:tcW w:w="0" w:type="auto"/>
            <w:gridSpan w:val="2"/>
            <w:tcBorders>
              <w:top w:val="nil"/>
              <w:left w:val="nil"/>
              <w:bottom w:val="nil"/>
              <w:right w:val="nil"/>
            </w:tcBorders>
            <w:shd w:val="clear" w:color="000000" w:fill="FFFFFF"/>
            <w:noWrap/>
            <w:vAlign w:val="bottom"/>
            <w:hideMark/>
          </w:tcPr>
          <w:p w14:paraId="6CAE340B"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right w:val="nil"/>
            </w:tcBorders>
            <w:shd w:val="clear" w:color="000000" w:fill="FFFFFF"/>
            <w:noWrap/>
            <w:vAlign w:val="bottom"/>
            <w:hideMark/>
          </w:tcPr>
          <w:p w14:paraId="720F828E"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xml:space="preserve">Borderline Personality Disorder </w:t>
            </w:r>
          </w:p>
        </w:tc>
        <w:tc>
          <w:tcPr>
            <w:tcW w:w="0" w:type="auto"/>
            <w:gridSpan w:val="2"/>
            <w:tcBorders>
              <w:top w:val="nil"/>
              <w:left w:val="nil"/>
              <w:right w:val="nil"/>
            </w:tcBorders>
            <w:shd w:val="clear" w:color="000000" w:fill="FFFFFF"/>
            <w:noWrap/>
            <w:vAlign w:val="bottom"/>
            <w:hideMark/>
          </w:tcPr>
          <w:p w14:paraId="5810657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right w:val="nil"/>
            </w:tcBorders>
            <w:shd w:val="clear" w:color="000000" w:fill="FFFFFF"/>
            <w:noWrap/>
            <w:vAlign w:val="bottom"/>
            <w:hideMark/>
          </w:tcPr>
          <w:p w14:paraId="0811650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right w:val="nil"/>
            </w:tcBorders>
            <w:shd w:val="clear" w:color="000000" w:fill="FFFFFF"/>
            <w:noWrap/>
            <w:vAlign w:val="bottom"/>
            <w:hideMark/>
          </w:tcPr>
          <w:p w14:paraId="1E5D1BAE"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right w:val="nil"/>
            </w:tcBorders>
            <w:shd w:val="clear" w:color="000000" w:fill="FFFFFF"/>
            <w:noWrap/>
            <w:vAlign w:val="bottom"/>
            <w:hideMark/>
          </w:tcPr>
          <w:p w14:paraId="74FB91CA"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right w:val="nil"/>
            </w:tcBorders>
            <w:shd w:val="clear" w:color="000000" w:fill="FFFFFF"/>
            <w:noWrap/>
            <w:vAlign w:val="bottom"/>
            <w:hideMark/>
          </w:tcPr>
          <w:p w14:paraId="7214D955"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right w:val="nil"/>
            </w:tcBorders>
            <w:shd w:val="clear" w:color="000000" w:fill="FFFFFF"/>
            <w:noWrap/>
            <w:vAlign w:val="bottom"/>
            <w:hideMark/>
          </w:tcPr>
          <w:p w14:paraId="24E281E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right w:val="nil"/>
            </w:tcBorders>
            <w:shd w:val="clear" w:color="000000" w:fill="FFFFFF"/>
            <w:noWrap/>
            <w:vAlign w:val="bottom"/>
            <w:hideMark/>
          </w:tcPr>
          <w:p w14:paraId="209E1D50"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tcBorders>
              <w:top w:val="nil"/>
              <w:left w:val="nil"/>
              <w:right w:val="nil"/>
            </w:tcBorders>
            <w:shd w:val="clear" w:color="000000" w:fill="FFFFFF"/>
            <w:noWrap/>
            <w:vAlign w:val="bottom"/>
            <w:hideMark/>
          </w:tcPr>
          <w:p w14:paraId="6CD747D9"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r>
      <w:tr w:rsidR="001520E0" w:rsidRPr="001520E0" w14:paraId="33DE8730" w14:textId="77777777" w:rsidTr="00E80B54">
        <w:trPr>
          <w:trHeight w:val="308"/>
        </w:trPr>
        <w:tc>
          <w:tcPr>
            <w:tcW w:w="0" w:type="auto"/>
            <w:gridSpan w:val="2"/>
            <w:tcBorders>
              <w:top w:val="nil"/>
              <w:left w:val="nil"/>
              <w:bottom w:val="nil"/>
              <w:right w:val="nil"/>
            </w:tcBorders>
            <w:shd w:val="clear" w:color="000000" w:fill="FFFFFF"/>
            <w:noWrap/>
            <w:vAlign w:val="bottom"/>
            <w:hideMark/>
          </w:tcPr>
          <w:p w14:paraId="16CA9D6B"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 </w:t>
            </w:r>
          </w:p>
        </w:tc>
        <w:tc>
          <w:tcPr>
            <w:tcW w:w="0" w:type="auto"/>
            <w:gridSpan w:val="2"/>
            <w:tcBorders>
              <w:top w:val="nil"/>
              <w:left w:val="nil"/>
              <w:bottom w:val="single" w:sz="4" w:space="0" w:color="auto"/>
              <w:right w:val="nil"/>
            </w:tcBorders>
            <w:shd w:val="clear" w:color="000000" w:fill="FFFFFF"/>
            <w:noWrap/>
            <w:vAlign w:val="bottom"/>
            <w:hideMark/>
          </w:tcPr>
          <w:p w14:paraId="7605E1E4" w14:textId="77777777" w:rsidR="003F344D" w:rsidRPr="001520E0" w:rsidRDefault="003F344D" w:rsidP="00E80B54">
            <w:pPr>
              <w:ind w:right="-15"/>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Psychosis</w:t>
            </w:r>
          </w:p>
        </w:tc>
        <w:tc>
          <w:tcPr>
            <w:tcW w:w="0" w:type="auto"/>
            <w:gridSpan w:val="2"/>
            <w:tcBorders>
              <w:top w:val="nil"/>
              <w:left w:val="nil"/>
              <w:bottom w:val="single" w:sz="4" w:space="0" w:color="auto"/>
              <w:right w:val="nil"/>
            </w:tcBorders>
            <w:shd w:val="clear" w:color="000000" w:fill="FFFFFF"/>
            <w:noWrap/>
            <w:vAlign w:val="bottom"/>
            <w:hideMark/>
          </w:tcPr>
          <w:p w14:paraId="5AB7E7B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single" w:sz="4" w:space="0" w:color="auto"/>
              <w:right w:val="nil"/>
            </w:tcBorders>
            <w:shd w:val="clear" w:color="000000" w:fill="FFFFFF"/>
            <w:noWrap/>
            <w:vAlign w:val="bottom"/>
            <w:hideMark/>
          </w:tcPr>
          <w:p w14:paraId="5C41CD2B"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single" w:sz="4" w:space="0" w:color="auto"/>
              <w:right w:val="nil"/>
            </w:tcBorders>
            <w:shd w:val="clear" w:color="000000" w:fill="FFFFFF"/>
            <w:noWrap/>
            <w:vAlign w:val="bottom"/>
            <w:hideMark/>
          </w:tcPr>
          <w:p w14:paraId="6368DB7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single" w:sz="4" w:space="0" w:color="auto"/>
              <w:right w:val="nil"/>
            </w:tcBorders>
            <w:shd w:val="clear" w:color="000000" w:fill="FFFFFF"/>
            <w:noWrap/>
            <w:vAlign w:val="bottom"/>
            <w:hideMark/>
          </w:tcPr>
          <w:p w14:paraId="48B82CD6"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gridSpan w:val="2"/>
            <w:tcBorders>
              <w:top w:val="nil"/>
              <w:left w:val="nil"/>
              <w:bottom w:val="single" w:sz="4" w:space="0" w:color="auto"/>
              <w:right w:val="nil"/>
            </w:tcBorders>
            <w:shd w:val="clear" w:color="000000" w:fill="FFFFFF"/>
            <w:noWrap/>
            <w:vAlign w:val="bottom"/>
            <w:hideMark/>
          </w:tcPr>
          <w:p w14:paraId="5C9CE7F4"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1</w:t>
            </w:r>
          </w:p>
        </w:tc>
        <w:tc>
          <w:tcPr>
            <w:tcW w:w="0" w:type="auto"/>
            <w:gridSpan w:val="2"/>
            <w:tcBorders>
              <w:top w:val="nil"/>
              <w:left w:val="nil"/>
              <w:bottom w:val="single" w:sz="4" w:space="0" w:color="auto"/>
              <w:right w:val="nil"/>
            </w:tcBorders>
            <w:shd w:val="clear" w:color="000000" w:fill="FFFFFF"/>
            <w:noWrap/>
            <w:vAlign w:val="bottom"/>
            <w:hideMark/>
          </w:tcPr>
          <w:p w14:paraId="0A7B7028"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2</w:t>
            </w:r>
          </w:p>
        </w:tc>
        <w:tc>
          <w:tcPr>
            <w:tcW w:w="0" w:type="auto"/>
            <w:gridSpan w:val="2"/>
            <w:tcBorders>
              <w:top w:val="nil"/>
              <w:left w:val="nil"/>
              <w:bottom w:val="single" w:sz="4" w:space="0" w:color="auto"/>
              <w:right w:val="nil"/>
            </w:tcBorders>
            <w:shd w:val="clear" w:color="000000" w:fill="FFFFFF"/>
            <w:noWrap/>
            <w:vAlign w:val="bottom"/>
            <w:hideMark/>
          </w:tcPr>
          <w:p w14:paraId="3C8A7351"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c>
          <w:tcPr>
            <w:tcW w:w="0" w:type="auto"/>
            <w:tcBorders>
              <w:top w:val="nil"/>
              <w:left w:val="nil"/>
              <w:bottom w:val="single" w:sz="4" w:space="0" w:color="auto"/>
              <w:right w:val="nil"/>
            </w:tcBorders>
            <w:shd w:val="clear" w:color="000000" w:fill="FFFFFF"/>
            <w:noWrap/>
            <w:vAlign w:val="bottom"/>
            <w:hideMark/>
          </w:tcPr>
          <w:p w14:paraId="2676BA87" w14:textId="77777777" w:rsidR="003F344D" w:rsidRPr="001520E0" w:rsidRDefault="003F344D" w:rsidP="00E80B54">
            <w:pPr>
              <w:ind w:right="-15"/>
              <w:jc w:val="center"/>
              <w:rPr>
                <w:rFonts w:ascii="Times New Roman" w:eastAsia="Times New Roman" w:hAnsi="Times New Roman" w:cs="Times New Roman"/>
                <w:color w:val="000000"/>
                <w:sz w:val="18"/>
                <w:szCs w:val="18"/>
                <w:lang w:val="en-GB" w:eastAsia="en-GB"/>
              </w:rPr>
            </w:pPr>
            <w:r w:rsidRPr="001520E0">
              <w:rPr>
                <w:rFonts w:ascii="Times New Roman" w:eastAsia="Times New Roman" w:hAnsi="Times New Roman" w:cs="Times New Roman"/>
                <w:color w:val="000000"/>
                <w:sz w:val="18"/>
                <w:szCs w:val="18"/>
                <w:lang w:val="en-GB" w:eastAsia="en-GB"/>
              </w:rPr>
              <w:t>0</w:t>
            </w:r>
          </w:p>
        </w:tc>
      </w:tr>
    </w:tbl>
    <w:p w14:paraId="7AF5147A" w14:textId="77777777" w:rsidR="003F344D" w:rsidRPr="00F812E4" w:rsidRDefault="003F344D" w:rsidP="003F344D">
      <w:pPr>
        <w:spacing w:line="360" w:lineRule="auto"/>
        <w:jc w:val="both"/>
        <w:rPr>
          <w:rFonts w:ascii="Times New Roman" w:hAnsi="Times New Roman" w:cs="Times New Roman"/>
          <w:sz w:val="20"/>
          <w:szCs w:val="20"/>
          <w:lang w:val="en-GB" w:eastAsia="en-GB"/>
        </w:rPr>
      </w:pPr>
    </w:p>
    <w:p w14:paraId="271F7692" w14:textId="45560A92" w:rsidR="003F344D" w:rsidRPr="00F812E4" w:rsidRDefault="003F344D" w:rsidP="003F344D">
      <w:pPr>
        <w:spacing w:line="360" w:lineRule="auto"/>
        <w:jc w:val="both"/>
        <w:rPr>
          <w:rFonts w:ascii="Times New Roman" w:hAnsi="Times New Roman" w:cs="Times New Roman"/>
          <w:sz w:val="20"/>
          <w:szCs w:val="20"/>
          <w:vertAlign w:val="superscript"/>
          <w:lang w:val="en-US" w:eastAsia="en-GB"/>
        </w:rPr>
      </w:pPr>
      <w:r w:rsidRPr="00F812E4">
        <w:rPr>
          <w:rFonts w:ascii="Times New Roman" w:hAnsi="Times New Roman" w:cs="Times New Roman"/>
          <w:sz w:val="20"/>
          <w:szCs w:val="20"/>
          <w:lang w:val="en-GB" w:eastAsia="en-GB"/>
        </w:rPr>
        <w:lastRenderedPageBreak/>
        <w:t>SD, Standard Deviation; IQ, intelligence quotient measures with the 2-subtest version of the Wechsler Abb</w:t>
      </w:r>
      <w:r w:rsidR="00BB5461">
        <w:rPr>
          <w:rFonts w:ascii="Times New Roman" w:hAnsi="Times New Roman" w:cs="Times New Roman"/>
          <w:sz w:val="20"/>
          <w:szCs w:val="20"/>
          <w:lang w:val="en-GB" w:eastAsia="en-GB"/>
        </w:rPr>
        <w:t xml:space="preserve">reviated Scales of Intelligence </w:t>
      </w:r>
      <w:r w:rsidR="00BB5461">
        <w:rPr>
          <w:rFonts w:ascii="Times New Roman" w:hAnsi="Times New Roman" w:cs="Times New Roman"/>
          <w:sz w:val="20"/>
          <w:szCs w:val="20"/>
          <w:lang w:val="en-GB" w:eastAsia="en-GB"/>
        </w:rPr>
        <w:fldChar w:fldCharType="begin" w:fldLock="1"/>
      </w:r>
      <w:r w:rsidR="00BB5461">
        <w:rPr>
          <w:rFonts w:ascii="Times New Roman" w:hAnsi="Times New Roman" w:cs="Times New Roman"/>
          <w:sz w:val="20"/>
          <w:szCs w:val="20"/>
          <w:lang w:val="en-GB" w:eastAsia="en-GB"/>
        </w:rPr>
        <w:instrText>ADDIN CSL_CITATION { "citationItems" : [ { "id" : "ITEM-1", "itemData" : { "author" : [ { "dropping-particle" : "", "family" : "Wechsler", "given" : "D", "non-dropping-particle" : "", "parse-names" : false, "suffix" : "" } ], "id" : "ITEM-1", "issued" : { "date-parts" : [ [ "1999" ] ] }, "publisher" : "The Psychological Corporation and Harcourt Brace.", "publisher-place" : "San Antonio, TX.", "title" : "Wechsler Abbreviated Scale of Intelligence", "type" : "article" }, "uris" : [ "http://www.mendeley.com/documents/?uuid=bbb12ba2-042d-4b30-bfa2-e6cbf07b58c9" ] } ], "mendeley" : { "formattedCitation" : "(1)", "plainTextFormattedCitation" : "(1)", "previouslyFormattedCitation" : "(1)" }, "properties" : {  }, "schema" : "https://github.com/citation-style-language/schema/raw/master/csl-citation.json" }</w:instrText>
      </w:r>
      <w:r w:rsidR="00BB5461">
        <w:rPr>
          <w:rFonts w:ascii="Times New Roman" w:hAnsi="Times New Roman" w:cs="Times New Roman"/>
          <w:sz w:val="20"/>
          <w:szCs w:val="20"/>
          <w:lang w:val="en-GB" w:eastAsia="en-GB"/>
        </w:rPr>
        <w:fldChar w:fldCharType="separate"/>
      </w:r>
      <w:r w:rsidR="00BB5461" w:rsidRPr="00BB5461">
        <w:rPr>
          <w:rFonts w:ascii="Times New Roman" w:hAnsi="Times New Roman" w:cs="Times New Roman"/>
          <w:noProof/>
          <w:sz w:val="20"/>
          <w:szCs w:val="20"/>
          <w:lang w:val="en-GB" w:eastAsia="en-GB"/>
        </w:rPr>
        <w:t>(1)</w:t>
      </w:r>
      <w:r w:rsidR="00BB5461">
        <w:rPr>
          <w:rFonts w:ascii="Times New Roman" w:hAnsi="Times New Roman" w:cs="Times New Roman"/>
          <w:sz w:val="20"/>
          <w:szCs w:val="20"/>
          <w:lang w:val="en-GB" w:eastAsia="en-GB"/>
        </w:rPr>
        <w:fldChar w:fldCharType="end"/>
      </w:r>
      <w:r w:rsidRPr="00F812E4">
        <w:rPr>
          <w:rFonts w:ascii="Times New Roman" w:hAnsi="Times New Roman" w:cs="Times New Roman"/>
          <w:sz w:val="20"/>
          <w:szCs w:val="20"/>
          <w:lang w:val="en-GB" w:eastAsia="en-GB"/>
        </w:rPr>
        <w:t xml:space="preserve">, SES, Socioeconomic status measured as </w:t>
      </w:r>
      <w:r w:rsidRPr="00F812E4">
        <w:rPr>
          <w:rFonts w:ascii="Times New Roman" w:hAnsi="Times New Roman" w:cs="Times New Roman"/>
          <w:sz w:val="20"/>
          <w:szCs w:val="20"/>
          <w:lang w:val="en-US" w:eastAsia="en-GB"/>
        </w:rPr>
        <w:t>highest level education rated on 9-point scale from 0= no formal qualifications to 9= MD/PhD/JD/PharmD</w:t>
      </w:r>
      <w:r w:rsidRPr="00F812E4">
        <w:rPr>
          <w:rFonts w:ascii="Times New Roman" w:hAnsi="Times New Roman" w:cs="Times New Roman"/>
          <w:sz w:val="20"/>
          <w:szCs w:val="20"/>
          <w:lang w:val="en-GB" w:eastAsia="en-GB"/>
        </w:rPr>
        <w:t>; CTQ, Childhood Trauma Questionnaire</w:t>
      </w:r>
      <w:r>
        <w:rPr>
          <w:rFonts w:ascii="Times New Roman" w:hAnsi="Times New Roman" w:cs="Times New Roman"/>
          <w:sz w:val="20"/>
          <w:szCs w:val="20"/>
          <w:lang w:val="en-GB" w:eastAsia="en-GB"/>
        </w:rPr>
        <w:t xml:space="preserve">. </w:t>
      </w:r>
    </w:p>
    <w:p w14:paraId="7D148864" w14:textId="77777777" w:rsidR="003F344D" w:rsidRDefault="003F344D" w:rsidP="003F344D">
      <w:pPr>
        <w:spacing w:line="480" w:lineRule="auto"/>
        <w:jc w:val="both"/>
        <w:rPr>
          <w:rFonts w:ascii="Times New Roman" w:hAnsi="Times New Roman" w:cs="Times New Roman"/>
          <w:lang w:val="en-GB" w:eastAsia="en-GB"/>
        </w:rPr>
      </w:pPr>
    </w:p>
    <w:p w14:paraId="5D8E3F14" w14:textId="55BD6E7B" w:rsidR="00873EB6" w:rsidRPr="00873EB6" w:rsidRDefault="00873EB6" w:rsidP="00873EB6">
      <w:pPr>
        <w:spacing w:line="480" w:lineRule="auto"/>
        <w:jc w:val="both"/>
        <w:outlineLvl w:val="0"/>
        <w:rPr>
          <w:rFonts w:ascii="Times New Roman" w:hAnsi="Times New Roman" w:cs="Times New Roman"/>
          <w:i/>
          <w:color w:val="000000" w:themeColor="text1"/>
          <w:lang w:val="en-GB" w:eastAsia="en-GB"/>
        </w:rPr>
      </w:pPr>
      <w:r w:rsidRPr="00873EB6">
        <w:rPr>
          <w:rFonts w:ascii="Times New Roman" w:hAnsi="Times New Roman" w:cs="Times New Roman"/>
          <w:i/>
          <w:color w:val="000000" w:themeColor="text1"/>
          <w:lang w:val="en-GB" w:eastAsia="en-GB"/>
        </w:rPr>
        <w:t>Childhood Trauma Questionnaire</w:t>
      </w:r>
    </w:p>
    <w:p w14:paraId="17C15DDD" w14:textId="2B02EEA8" w:rsidR="003F344D" w:rsidRDefault="00873EB6" w:rsidP="005707AB">
      <w:pPr>
        <w:spacing w:line="480" w:lineRule="auto"/>
        <w:jc w:val="both"/>
        <w:rPr>
          <w:rFonts w:ascii="Times New Roman" w:hAnsi="Times New Roman" w:cs="Times New Roman"/>
          <w:lang w:val="en-GB" w:eastAsia="en-GB"/>
        </w:rPr>
      </w:pPr>
      <w:r w:rsidRPr="00873EB6">
        <w:rPr>
          <w:rFonts w:ascii="Times New Roman" w:hAnsi="Times New Roman" w:cs="Times New Roman"/>
          <w:lang w:val="en-GB" w:eastAsia="en-GB"/>
        </w:rPr>
        <w:t xml:space="preserve">Between group comparison of total Childhood Trauma Questionnaire (CTQ </w:t>
      </w:r>
      <w:r w:rsidRPr="00873EB6">
        <w:rPr>
          <w:rFonts w:ascii="Times New Roman" w:hAnsi="Times New Roman" w:cs="Times New Roman"/>
          <w:lang w:val="en-GB" w:eastAsia="en-GB"/>
        </w:rPr>
        <w:fldChar w:fldCharType="begin" w:fldLock="1"/>
      </w:r>
      <w:r w:rsidRPr="00873EB6">
        <w:rPr>
          <w:rFonts w:ascii="Times New Roman" w:hAnsi="Times New Roman" w:cs="Times New Roman"/>
          <w:lang w:val="en-GB" w:eastAsia="en-GB"/>
        </w:rPr>
        <w:instrText>ADDIN CSL_CITATION { "citationItems" : [ { "id" : "ITEM-1", "itemData" : { "author" : [ { "dropping-particle" : "", "family" : "Bernstein", "given" : "David P", "non-dropping-particle" : "", "parse-names" : false, "suffix" : "" }, { "dropping-particle" : "", "family" : "Fink", "given" : "L.", "non-dropping-particle" : "", "parse-names" : false, "suffix" : "" } ], "id" : "ITEM-1", "issued" : { "date-parts" : [ [ "1998" ] ] }, "publisher" : "The Psychological Corporation", "publisher-place" : "San Antonio, TX.", "title" : "CTQ Childhood Trauma Questionnaire: A retrospective self-report. Manual.", "type" : "book" }, "uris" : [ "http://www.mendeley.com/documents/?uuid=74bd297a-1a17-484a-a098-0f4953477284" ] } ], "mendeley" : { "formattedCitation" : "(25)", "plainTextFormattedCitation" : "(25)", "previouslyFormattedCitation" : "(25)" }, "properties" : {  }, "schema" : "https://github.com/citation-style-language/schema/raw/master/csl-citation.json" }</w:instrText>
      </w:r>
      <w:r w:rsidRPr="00873EB6">
        <w:rPr>
          <w:rFonts w:ascii="Times New Roman" w:hAnsi="Times New Roman" w:cs="Times New Roman"/>
          <w:lang w:val="en-GB" w:eastAsia="en-GB"/>
        </w:rPr>
        <w:fldChar w:fldCharType="separate"/>
      </w:r>
      <w:r w:rsidRPr="00873EB6">
        <w:rPr>
          <w:rFonts w:ascii="Times New Roman" w:hAnsi="Times New Roman" w:cs="Times New Roman"/>
          <w:lang w:val="en-GB" w:eastAsia="en-GB"/>
        </w:rPr>
        <w:t>(</w:t>
      </w:r>
      <w:r w:rsidR="0099106E">
        <w:rPr>
          <w:rFonts w:ascii="Times New Roman" w:hAnsi="Times New Roman" w:cs="Times New Roman"/>
          <w:lang w:val="en-GB" w:eastAsia="en-GB"/>
        </w:rPr>
        <w:t>Bernstein &amp; Fink, 1998</w:t>
      </w:r>
      <w:r w:rsidRPr="00873EB6">
        <w:rPr>
          <w:rFonts w:ascii="Times New Roman" w:hAnsi="Times New Roman" w:cs="Times New Roman"/>
          <w:lang w:val="en-GB" w:eastAsia="en-GB"/>
        </w:rPr>
        <w:t>)</w:t>
      </w:r>
      <w:r w:rsidRPr="00873EB6">
        <w:rPr>
          <w:rFonts w:ascii="Times New Roman" w:hAnsi="Times New Roman" w:cs="Times New Roman"/>
          <w:lang w:val="en-GB" w:eastAsia="en-GB"/>
        </w:rPr>
        <w:fldChar w:fldCharType="end"/>
      </w:r>
      <w:r w:rsidRPr="00873EB6">
        <w:rPr>
          <w:rFonts w:ascii="Times New Roman" w:hAnsi="Times New Roman" w:cs="Times New Roman"/>
          <w:lang w:val="en-GB" w:eastAsia="en-GB"/>
        </w:rPr>
        <w:t xml:space="preserve">) revealed significantly elevated total scores in in the NO and AO groups compared to NMT participants (AO vs. NMT: Mean difference: -18.26, </w:t>
      </w:r>
      <w:r w:rsidRPr="00873EB6">
        <w:rPr>
          <w:rFonts w:ascii="Times New Roman" w:hAnsi="Times New Roman" w:cs="Times New Roman"/>
          <w:i/>
          <w:lang w:val="en-GB" w:eastAsia="en-GB"/>
        </w:rPr>
        <w:t>p</w:t>
      </w:r>
      <w:r w:rsidRPr="00873EB6">
        <w:rPr>
          <w:rFonts w:ascii="Times New Roman" w:hAnsi="Times New Roman" w:cs="Times New Roman"/>
          <w:lang w:val="en-GB" w:eastAsia="en-GB"/>
        </w:rPr>
        <w:t xml:space="preserve">&lt; .001 NO vs NMT: -15.74, </w:t>
      </w:r>
      <w:r w:rsidRPr="00873EB6">
        <w:rPr>
          <w:rFonts w:ascii="Times New Roman" w:hAnsi="Times New Roman" w:cs="Times New Roman"/>
          <w:i/>
          <w:lang w:val="en-GB" w:eastAsia="en-GB"/>
        </w:rPr>
        <w:t>p</w:t>
      </w:r>
      <w:r w:rsidRPr="00873EB6">
        <w:rPr>
          <w:rFonts w:ascii="Times New Roman" w:hAnsi="Times New Roman" w:cs="Times New Roman"/>
          <w:lang w:val="en-GB" w:eastAsia="en-GB"/>
        </w:rPr>
        <w:t xml:space="preserve">&lt; .001; COM vs. NMT -28.81, </w:t>
      </w:r>
      <w:r w:rsidRPr="00873EB6">
        <w:rPr>
          <w:rFonts w:ascii="Times New Roman" w:hAnsi="Times New Roman" w:cs="Times New Roman"/>
          <w:i/>
          <w:lang w:val="en-GB" w:eastAsia="en-GB"/>
        </w:rPr>
        <w:t>p</w:t>
      </w:r>
      <w:r w:rsidRPr="00873EB6">
        <w:rPr>
          <w:rFonts w:ascii="Times New Roman" w:hAnsi="Times New Roman" w:cs="Times New Roman"/>
          <w:lang w:val="en-GB" w:eastAsia="en-GB"/>
        </w:rPr>
        <w:t xml:space="preserve">&lt; .001). Across the maltreatment groups, the COM group had the highest CTQ total score (COM vs. AO: Mean Difference -10.55, </w:t>
      </w:r>
      <w:r w:rsidRPr="00873EB6">
        <w:rPr>
          <w:rFonts w:ascii="Times New Roman" w:hAnsi="Times New Roman" w:cs="Times New Roman"/>
          <w:i/>
          <w:lang w:val="en-GB" w:eastAsia="en-GB"/>
        </w:rPr>
        <w:t>p</w:t>
      </w:r>
      <w:r w:rsidRPr="00873EB6">
        <w:rPr>
          <w:rFonts w:ascii="Times New Roman" w:hAnsi="Times New Roman" w:cs="Times New Roman"/>
          <w:lang w:val="en-GB" w:eastAsia="en-GB"/>
        </w:rPr>
        <w:t xml:space="preserve">&lt; .001; COM vs. NO: Mean Difference -13.07, &lt; .001), followed by the AO group (AO vs. NO: 2.52, </w:t>
      </w:r>
      <w:r w:rsidRPr="00873EB6">
        <w:rPr>
          <w:rFonts w:ascii="Times New Roman" w:hAnsi="Times New Roman" w:cs="Times New Roman"/>
          <w:i/>
          <w:lang w:val="en-GB" w:eastAsia="en-GB"/>
        </w:rPr>
        <w:t>p</w:t>
      </w:r>
      <w:r w:rsidRPr="00873EB6">
        <w:rPr>
          <w:rFonts w:ascii="Times New Roman" w:hAnsi="Times New Roman" w:cs="Times New Roman"/>
          <w:lang w:val="en-GB" w:eastAsia="en-GB"/>
        </w:rPr>
        <w:t xml:space="preserve">= .010, all comparisons Bonferroni-corrected). </w:t>
      </w:r>
    </w:p>
    <w:p w14:paraId="2404E1D7" w14:textId="77777777" w:rsidR="00E648AE" w:rsidRDefault="00E648AE" w:rsidP="005707AB">
      <w:pPr>
        <w:spacing w:line="480" w:lineRule="auto"/>
        <w:jc w:val="both"/>
        <w:rPr>
          <w:rFonts w:ascii="Times New Roman" w:hAnsi="Times New Roman" w:cs="Times New Roman"/>
          <w:i/>
          <w:lang w:val="en-GB" w:eastAsia="en-GB"/>
        </w:rPr>
      </w:pPr>
    </w:p>
    <w:p w14:paraId="71B17BBB" w14:textId="1935121F" w:rsidR="005707AB" w:rsidRPr="00E648AE" w:rsidRDefault="00E648AE" w:rsidP="005707AB">
      <w:pPr>
        <w:spacing w:line="480" w:lineRule="auto"/>
        <w:jc w:val="both"/>
        <w:rPr>
          <w:rFonts w:ascii="Times New Roman" w:hAnsi="Times New Roman" w:cs="Times New Roman"/>
          <w:i/>
          <w:lang w:val="en-GB" w:eastAsia="en-GB"/>
        </w:rPr>
      </w:pPr>
      <w:r w:rsidRPr="00E648AE">
        <w:rPr>
          <w:rFonts w:ascii="Times New Roman" w:hAnsi="Times New Roman" w:cs="Times New Roman"/>
          <w:i/>
          <w:lang w:val="en-GB" w:eastAsia="en-GB"/>
        </w:rPr>
        <w:t xml:space="preserve">Propensity Score Matching </w:t>
      </w:r>
    </w:p>
    <w:p w14:paraId="48F2E16A" w14:textId="44F4B4CB" w:rsidR="00E648AE" w:rsidRPr="00E648AE" w:rsidRDefault="00E648AE" w:rsidP="00E648AE">
      <w:pPr>
        <w:spacing w:line="480" w:lineRule="auto"/>
        <w:jc w:val="both"/>
        <w:rPr>
          <w:rFonts w:ascii="Times New Roman" w:hAnsi="Times New Roman" w:cs="Times New Roman"/>
          <w:lang w:val="en-GB" w:eastAsia="en-GB"/>
        </w:rPr>
      </w:pPr>
      <w:r w:rsidRPr="00E648AE">
        <w:rPr>
          <w:rFonts w:ascii="Times New Roman" w:hAnsi="Times New Roman" w:cs="Times New Roman"/>
          <w:lang w:val="en-GB" w:eastAsia="en-GB"/>
        </w:rPr>
        <w:t xml:space="preserve">The R software package </w:t>
      </w:r>
      <w:proofErr w:type="spellStart"/>
      <w:r w:rsidRPr="00E648AE">
        <w:rPr>
          <w:rFonts w:ascii="Times New Roman" w:hAnsi="Times New Roman" w:cs="Times New Roman"/>
          <w:lang w:val="en-GB" w:eastAsia="en-GB"/>
        </w:rPr>
        <w:t>MatchIT</w:t>
      </w:r>
      <w:proofErr w:type="spellEnd"/>
      <w:r w:rsidRPr="00E648AE">
        <w:rPr>
          <w:rFonts w:ascii="Times New Roman" w:hAnsi="Times New Roman" w:cs="Times New Roman"/>
          <w:lang w:val="en-GB" w:eastAsia="en-GB"/>
        </w:rPr>
        <w:t xml:space="preserve"> </w:t>
      </w:r>
      <w:r w:rsidRPr="00E648AE">
        <w:rPr>
          <w:rFonts w:ascii="Times New Roman" w:hAnsi="Times New Roman" w:cs="Times New Roman"/>
          <w:lang w:val="en-GB" w:eastAsia="en-GB"/>
        </w:rPr>
        <w:fldChar w:fldCharType="begin" w:fldLock="1"/>
      </w:r>
      <w:r w:rsidRPr="00E648AE">
        <w:rPr>
          <w:rFonts w:ascii="Times New Roman" w:hAnsi="Times New Roman" w:cs="Times New Roman"/>
          <w:lang w:val="en-GB" w:eastAsia="en-GB"/>
        </w:rPr>
        <w:instrText>ADDIN CSL_CITATION { "citationItems" : [ { "id" : "ITEM-1", "itemData" : { "abstract" : "MatchIt implements the suggestions of Ho, Imai, King, and Stuart (2007) for improv-ing parametric statistical models by preprocessing data with nonparametric matching methods. MatchIt implements a wide range of sophisticated matching methods, making it possible to greatly reduce the dependence of causal inferences on hard-to-justify, but commonly made, statistical modeling assumptions. The software also easily fits into ex-isting research practices since, after preprocessing data with MatchIt, researchers can use whatever parametric model they would have used without MatchIt, but produce infer-ences with substantially more robustness and less sensitivity to modeling assumptions. MatchIt is an R program, and also works seamlessly with Zelig.", "author" : [ { "dropping-particle" : "", "family" : "Ho", "given" : "Daniel E", "non-dropping-particle" : "", "parse-names" : false, "suffix" : "" }, { "dropping-particle" : "", "family" : "Imai", "given" : "Kosuke", "non-dropping-particle" : "", "parse-names" : false, "suffix" : "" }, { "dropping-particle" : "", "family" : "King", "given" : "Gary", "non-dropping-particle" : "", "parse-names" : false, "suffix" : "" }, { "dropping-particle" : "", "family" : "Stuart", "given" : "Elizabeth A", "non-dropping-particle" : "", "parse-names" : false, "suffix" : "" } ], "container-title" : "JSS Journal of Statistical Software", "id" : "ITEM-1", "issue" : "8", "issued" : { "date-parts" : [ [ "2011" ] ] }, "title" : "MatchIt: Nonparametric Preprocessing for Parametric Causal Inference", "type" : "article-journal", "volume" : "42" }, "uris" : [ "http://www.mendeley.com/documents/?uuid=4aee1747-af3e-36ae-9293-b1d1c299d54f" ] } ], "mendeley" : { "formattedCitation" : "(19)", "plainTextFormattedCitation" : "(19)", "previouslyFormattedCitation" : "(24)" }, "properties" : {  }, "schema" : "https://github.com/citation-style-language/schema/raw/master/csl-citation.json" }</w:instrText>
      </w:r>
      <w:r w:rsidRPr="00E648AE">
        <w:rPr>
          <w:rFonts w:ascii="Times New Roman" w:hAnsi="Times New Roman" w:cs="Times New Roman"/>
          <w:lang w:val="en-GB" w:eastAsia="en-GB"/>
        </w:rPr>
        <w:fldChar w:fldCharType="separate"/>
      </w:r>
      <w:r w:rsidRPr="00E648AE">
        <w:rPr>
          <w:rFonts w:ascii="Times New Roman" w:hAnsi="Times New Roman" w:cs="Times New Roman"/>
          <w:lang w:val="en-GB" w:eastAsia="en-GB"/>
        </w:rPr>
        <w:t>(</w:t>
      </w:r>
      <w:proofErr w:type="spellStart"/>
      <w:r w:rsidR="0099106E">
        <w:rPr>
          <w:rFonts w:ascii="Times New Roman" w:hAnsi="Times New Roman" w:cs="Times New Roman"/>
          <w:lang w:val="en-GB" w:eastAsia="en-GB"/>
        </w:rPr>
        <w:t>Ho</w:t>
      </w:r>
      <w:proofErr w:type="spellEnd"/>
      <w:r w:rsidR="0099106E">
        <w:rPr>
          <w:rFonts w:ascii="Times New Roman" w:hAnsi="Times New Roman" w:cs="Times New Roman"/>
          <w:lang w:val="en-GB" w:eastAsia="en-GB"/>
        </w:rPr>
        <w:t xml:space="preserve"> et al., 2011</w:t>
      </w:r>
      <w:r w:rsidRPr="00E648AE">
        <w:rPr>
          <w:rFonts w:ascii="Times New Roman" w:hAnsi="Times New Roman" w:cs="Times New Roman"/>
          <w:lang w:val="en-GB" w:eastAsia="en-GB"/>
        </w:rPr>
        <w:t>)</w:t>
      </w:r>
      <w:r w:rsidRPr="00E648AE">
        <w:rPr>
          <w:rFonts w:ascii="Times New Roman" w:hAnsi="Times New Roman" w:cs="Times New Roman"/>
          <w:lang w:val="en-GB" w:eastAsia="en-GB"/>
        </w:rPr>
        <w:fldChar w:fldCharType="end"/>
      </w:r>
      <w:r w:rsidRPr="00E648AE">
        <w:rPr>
          <w:rFonts w:ascii="Times New Roman" w:hAnsi="Times New Roman" w:cs="Times New Roman"/>
          <w:lang w:val="en-GB" w:eastAsia="en-GB"/>
        </w:rPr>
        <w:t xml:space="preserve"> was used to implement two PSM methods that use different algorithms to match participants. “Nearest neighbour”, a 1:1 matching approach – i.e. for each participant in the maltreated group one or more participants with the closest propensity score (i.e. smallest distance) is selected from the non-maltreated group - and “full matching”, which enables flexible matching within subclasses by applying weighting. The following variables were selected for the PSM analyses: age, gender, handedness, IQ, ethnicity, socio-economic status (measured by parental level of education), and psychopathology (assessed by measuring current and past history of any psychiatric conditions). </w:t>
      </w:r>
    </w:p>
    <w:p w14:paraId="6E70871B" w14:textId="77777777" w:rsidR="00E648AE" w:rsidRPr="005707AB" w:rsidRDefault="00E648AE" w:rsidP="005707AB">
      <w:pPr>
        <w:spacing w:line="480" w:lineRule="auto"/>
        <w:jc w:val="both"/>
        <w:rPr>
          <w:rFonts w:ascii="Times New Roman" w:hAnsi="Times New Roman" w:cs="Times New Roman"/>
          <w:lang w:val="en-GB" w:eastAsia="en-GB"/>
        </w:rPr>
      </w:pPr>
    </w:p>
    <w:p w14:paraId="38A43A4B" w14:textId="023CCDD8" w:rsidR="003F344D" w:rsidRDefault="005707AB" w:rsidP="00FB78D4">
      <w:pPr>
        <w:widowControl w:val="0"/>
        <w:autoSpaceDE w:val="0"/>
        <w:autoSpaceDN w:val="0"/>
        <w:adjustRightInd w:val="0"/>
        <w:spacing w:line="480" w:lineRule="auto"/>
        <w:ind w:left="640" w:hanging="640"/>
        <w:rPr>
          <w:rFonts w:ascii="Times New Roman" w:hAnsi="Times New Roman" w:cs="Times New Roman"/>
          <w:i/>
          <w:lang w:val="en-GB" w:eastAsia="en-GB"/>
        </w:rPr>
      </w:pPr>
      <w:r w:rsidRPr="005707AB">
        <w:rPr>
          <w:rFonts w:ascii="Times New Roman" w:hAnsi="Times New Roman" w:cs="Times New Roman"/>
          <w:i/>
          <w:lang w:val="en-GB" w:eastAsia="en-GB"/>
        </w:rPr>
        <w:t xml:space="preserve">Group categorization </w:t>
      </w:r>
    </w:p>
    <w:p w14:paraId="573F2920" w14:textId="77777777" w:rsidR="00BE0369" w:rsidRPr="00BE0369" w:rsidRDefault="00BE0369" w:rsidP="00BE0369">
      <w:pPr>
        <w:widowControl w:val="0"/>
        <w:autoSpaceDE w:val="0"/>
        <w:autoSpaceDN w:val="0"/>
        <w:adjustRightInd w:val="0"/>
        <w:spacing w:line="480" w:lineRule="auto"/>
        <w:ind w:left="640" w:hanging="640"/>
        <w:rPr>
          <w:rFonts w:ascii="Times New Roman" w:hAnsi="Times New Roman" w:cs="Times New Roman"/>
          <w:lang w:val="en-GB" w:eastAsia="en-GB"/>
        </w:rPr>
      </w:pPr>
      <w:r w:rsidRPr="00BE0369">
        <w:rPr>
          <w:rFonts w:ascii="Times New Roman" w:hAnsi="Times New Roman" w:cs="Times New Roman"/>
          <w:lang w:val="en-GB" w:eastAsia="en-GB"/>
        </w:rPr>
        <w:t xml:space="preserve">Maltreated groups were created using the CTQ according to the following criteria: </w:t>
      </w:r>
    </w:p>
    <w:p w14:paraId="2D19964E" w14:textId="77777777" w:rsidR="00BE0369" w:rsidRPr="00BE0369" w:rsidRDefault="00BE0369" w:rsidP="00BE0369">
      <w:pPr>
        <w:widowControl w:val="0"/>
        <w:autoSpaceDE w:val="0"/>
        <w:autoSpaceDN w:val="0"/>
        <w:adjustRightInd w:val="0"/>
        <w:spacing w:line="480" w:lineRule="auto"/>
        <w:ind w:left="640" w:hanging="640"/>
        <w:rPr>
          <w:rFonts w:ascii="Times New Roman" w:hAnsi="Times New Roman" w:cs="Times New Roman"/>
          <w:lang w:val="en-US" w:eastAsia="en-GB"/>
        </w:rPr>
      </w:pPr>
      <w:r w:rsidRPr="00BE0369">
        <w:rPr>
          <w:rFonts w:ascii="Times New Roman" w:hAnsi="Times New Roman" w:cs="Times New Roman"/>
          <w:lang w:val="en-GB" w:eastAsia="en-GB"/>
        </w:rPr>
        <w:t>Maltreated groups: Individuals who scored above the 75</w:t>
      </w:r>
      <w:r w:rsidRPr="00BE0369">
        <w:rPr>
          <w:rFonts w:ascii="Times New Roman" w:hAnsi="Times New Roman" w:cs="Times New Roman"/>
          <w:vertAlign w:val="superscript"/>
          <w:lang w:val="en-GB" w:eastAsia="en-GB"/>
        </w:rPr>
        <w:t>th</w:t>
      </w:r>
      <w:r w:rsidRPr="00BE0369">
        <w:rPr>
          <w:rFonts w:ascii="Times New Roman" w:hAnsi="Times New Roman" w:cs="Times New Roman"/>
          <w:lang w:val="en-GB" w:eastAsia="en-GB"/>
        </w:rPr>
        <w:t xml:space="preserve"> percentile on the CTQ Total Score and additionally scored in the moderate-severe category in at least one domain. This </w:t>
      </w:r>
      <w:r w:rsidRPr="00BE0369">
        <w:rPr>
          <w:rFonts w:ascii="Times New Roman" w:hAnsi="Times New Roman" w:cs="Times New Roman"/>
          <w:lang w:val="en-GB" w:eastAsia="en-GB"/>
        </w:rPr>
        <w:lastRenderedPageBreak/>
        <w:t xml:space="preserve">group was then subdivided into three further groups, depending on the type of maltreatment experiences (see figure S3): </w:t>
      </w:r>
    </w:p>
    <w:p w14:paraId="49A7F478" w14:textId="77777777" w:rsidR="00BE0369" w:rsidRPr="00BE0369" w:rsidRDefault="00BE0369" w:rsidP="00BE0369">
      <w:pPr>
        <w:widowControl w:val="0"/>
        <w:numPr>
          <w:ilvl w:val="2"/>
          <w:numId w:val="7"/>
        </w:numPr>
        <w:autoSpaceDE w:val="0"/>
        <w:autoSpaceDN w:val="0"/>
        <w:adjustRightInd w:val="0"/>
        <w:spacing w:line="480" w:lineRule="auto"/>
        <w:rPr>
          <w:rFonts w:ascii="Times New Roman" w:hAnsi="Times New Roman" w:cs="Times New Roman"/>
          <w:lang w:val="en-US" w:eastAsia="en-GB"/>
        </w:rPr>
      </w:pPr>
      <w:r w:rsidRPr="00BE0369">
        <w:rPr>
          <w:rFonts w:ascii="Times New Roman" w:hAnsi="Times New Roman" w:cs="Times New Roman"/>
          <w:u w:val="single"/>
          <w:lang w:val="en-GB" w:eastAsia="en-GB"/>
        </w:rPr>
        <w:t>Abuse-only group (AO):</w:t>
      </w:r>
      <w:r w:rsidRPr="00BE0369">
        <w:rPr>
          <w:rFonts w:ascii="Times New Roman" w:hAnsi="Times New Roman" w:cs="Times New Roman"/>
          <w:lang w:val="en-GB" w:eastAsia="en-GB"/>
        </w:rPr>
        <w:t xml:space="preserve"> Individuals who scored within the moderate to severe category on at least one abuse subscale (Emotional Abuse; Physical Abuse; Sexual Abuse) and below the moderate to severe category on both neglect subscales (Emotional and Physical Neglect). </w:t>
      </w:r>
    </w:p>
    <w:p w14:paraId="4B5A7A08" w14:textId="77777777" w:rsidR="00BE0369" w:rsidRPr="00BE0369" w:rsidRDefault="00BE0369" w:rsidP="00BE0369">
      <w:pPr>
        <w:widowControl w:val="0"/>
        <w:numPr>
          <w:ilvl w:val="2"/>
          <w:numId w:val="7"/>
        </w:numPr>
        <w:autoSpaceDE w:val="0"/>
        <w:autoSpaceDN w:val="0"/>
        <w:adjustRightInd w:val="0"/>
        <w:spacing w:line="480" w:lineRule="auto"/>
        <w:rPr>
          <w:rFonts w:ascii="Times New Roman" w:hAnsi="Times New Roman" w:cs="Times New Roman"/>
          <w:lang w:val="en-GB" w:eastAsia="en-GB"/>
        </w:rPr>
      </w:pPr>
      <w:r w:rsidRPr="00BE0369">
        <w:rPr>
          <w:rFonts w:ascii="Times New Roman" w:hAnsi="Times New Roman" w:cs="Times New Roman"/>
          <w:u w:val="single"/>
          <w:lang w:val="en-GB" w:eastAsia="en-GB"/>
        </w:rPr>
        <w:t>Neglect-only group (NO):</w:t>
      </w:r>
      <w:r w:rsidRPr="00BE0369">
        <w:rPr>
          <w:rFonts w:ascii="Times New Roman" w:hAnsi="Times New Roman" w:cs="Times New Roman"/>
          <w:lang w:val="en-GB" w:eastAsia="en-GB"/>
        </w:rPr>
        <w:t xml:space="preserve"> Individuals who scored within the moderate to severe category on at least one neglect subscale (Emotional and/or Physical Neglect) and below the moderate to severe category on both abuse subscales (Emotional Abuse; Physical Abuse; Sexual Abuse). </w:t>
      </w:r>
    </w:p>
    <w:p w14:paraId="690867F6" w14:textId="77777777" w:rsidR="00BE0369" w:rsidRPr="00BE0369" w:rsidRDefault="00BE0369" w:rsidP="00BE0369">
      <w:pPr>
        <w:widowControl w:val="0"/>
        <w:numPr>
          <w:ilvl w:val="2"/>
          <w:numId w:val="7"/>
        </w:numPr>
        <w:autoSpaceDE w:val="0"/>
        <w:autoSpaceDN w:val="0"/>
        <w:adjustRightInd w:val="0"/>
        <w:spacing w:line="480" w:lineRule="auto"/>
        <w:rPr>
          <w:rFonts w:ascii="Times New Roman" w:hAnsi="Times New Roman" w:cs="Times New Roman"/>
          <w:lang w:val="en-GB" w:eastAsia="en-GB"/>
        </w:rPr>
      </w:pPr>
      <w:r w:rsidRPr="00BE0369">
        <w:rPr>
          <w:rFonts w:ascii="Times New Roman" w:hAnsi="Times New Roman" w:cs="Times New Roman"/>
          <w:u w:val="single"/>
          <w:lang w:val="en-GB" w:eastAsia="en-GB"/>
        </w:rPr>
        <w:t>Combined Abuse and Neglect group (COM):</w:t>
      </w:r>
      <w:r w:rsidRPr="00BE0369">
        <w:rPr>
          <w:rFonts w:ascii="Times New Roman" w:hAnsi="Times New Roman" w:cs="Times New Roman"/>
          <w:lang w:val="en-GB" w:eastAsia="en-GB"/>
        </w:rPr>
        <w:t xml:space="preserve"> Individuals who scored within the moderate to severe category on at least one neglect subscale (Emotional and/or Physical Neglect) and within the moderate to severe category on at least one abuse subscale (Emotional Abuse; Physical Abuse; Sexual Abuse). </w:t>
      </w:r>
    </w:p>
    <w:p w14:paraId="02892728" w14:textId="77777777" w:rsidR="00BE0369" w:rsidRPr="00BE0369" w:rsidRDefault="00BE0369" w:rsidP="00BE0369">
      <w:pPr>
        <w:widowControl w:val="0"/>
        <w:autoSpaceDE w:val="0"/>
        <w:autoSpaceDN w:val="0"/>
        <w:adjustRightInd w:val="0"/>
        <w:spacing w:line="480" w:lineRule="auto"/>
        <w:ind w:left="640" w:hanging="640"/>
        <w:rPr>
          <w:rFonts w:ascii="Times New Roman" w:hAnsi="Times New Roman" w:cs="Times New Roman"/>
          <w:lang w:val="en-GB" w:eastAsia="en-GB"/>
        </w:rPr>
      </w:pPr>
      <w:r w:rsidRPr="00BE0369">
        <w:rPr>
          <w:rFonts w:ascii="Times New Roman" w:hAnsi="Times New Roman" w:cs="Times New Roman"/>
          <w:lang w:val="en-GB" w:eastAsia="en-GB"/>
        </w:rPr>
        <w:t xml:space="preserve">This screening procedure yielded a total of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 xml:space="preserve">=207 individuals who were assigned to the maltreated groups (AO=70; NO=87; COM=50). There </w:t>
      </w:r>
      <w:proofErr w:type="gramStart"/>
      <w:r w:rsidRPr="00BE0369">
        <w:rPr>
          <w:rFonts w:ascii="Times New Roman" w:hAnsi="Times New Roman" w:cs="Times New Roman"/>
          <w:lang w:val="en-GB" w:eastAsia="en-GB"/>
        </w:rPr>
        <w:t>were</w:t>
      </w:r>
      <w:proofErr w:type="gramEnd"/>
      <w:r w:rsidRPr="00BE0369">
        <w:rPr>
          <w:rFonts w:ascii="Times New Roman" w:hAnsi="Times New Roman" w:cs="Times New Roman"/>
          <w:lang w:val="en-GB" w:eastAsia="en-GB"/>
        </w:rPr>
        <w:t xml:space="preserve"> a total of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 xml:space="preserve">=520 individuals who did meet threshold for any form of maltreatment while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=417 participants were excluded from further consideration because their total CTQ score fell above the 75</w:t>
      </w:r>
      <w:r w:rsidRPr="00BE0369">
        <w:rPr>
          <w:rFonts w:ascii="Times New Roman" w:hAnsi="Times New Roman" w:cs="Times New Roman"/>
          <w:vertAlign w:val="superscript"/>
          <w:lang w:val="en-GB" w:eastAsia="en-GB"/>
        </w:rPr>
        <w:t>th</w:t>
      </w:r>
      <w:r w:rsidRPr="00BE0369">
        <w:rPr>
          <w:rFonts w:ascii="Times New Roman" w:hAnsi="Times New Roman" w:cs="Times New Roman"/>
          <w:lang w:val="en-GB" w:eastAsia="en-GB"/>
        </w:rPr>
        <w:t xml:space="preserve"> percentile while no single subscale reached the moderate-severe threshold or vice versa. </w:t>
      </w:r>
    </w:p>
    <w:p w14:paraId="62AFD463" w14:textId="77777777" w:rsidR="00BE0369" w:rsidRPr="00BE0369" w:rsidRDefault="00BE0369" w:rsidP="00BE0369">
      <w:pPr>
        <w:widowControl w:val="0"/>
        <w:autoSpaceDE w:val="0"/>
        <w:autoSpaceDN w:val="0"/>
        <w:adjustRightInd w:val="0"/>
        <w:spacing w:line="480" w:lineRule="auto"/>
        <w:ind w:left="640" w:hanging="640"/>
        <w:rPr>
          <w:rFonts w:ascii="Times New Roman" w:hAnsi="Times New Roman" w:cs="Times New Roman"/>
          <w:lang w:val="en-GB" w:eastAsia="en-GB"/>
        </w:rPr>
      </w:pPr>
      <w:r w:rsidRPr="00BE0369">
        <w:rPr>
          <w:rFonts w:ascii="Times New Roman" w:hAnsi="Times New Roman" w:cs="Times New Roman"/>
          <w:lang w:val="en-GB" w:eastAsia="en-GB"/>
        </w:rPr>
        <w:t xml:space="preserve">Non-Maltreated Control Participants and Propensity Score Matching: </w:t>
      </w:r>
    </w:p>
    <w:p w14:paraId="0E73D647" w14:textId="57E1CDD5" w:rsidR="00BE0369" w:rsidRPr="00BE0369" w:rsidRDefault="00BE0369" w:rsidP="00BE0369">
      <w:pPr>
        <w:widowControl w:val="0"/>
        <w:autoSpaceDE w:val="0"/>
        <w:autoSpaceDN w:val="0"/>
        <w:adjustRightInd w:val="0"/>
        <w:spacing w:line="480" w:lineRule="auto"/>
        <w:ind w:left="640" w:hanging="640"/>
        <w:rPr>
          <w:rFonts w:ascii="Times New Roman" w:hAnsi="Times New Roman" w:cs="Times New Roman"/>
          <w:i/>
          <w:lang w:val="en-GB" w:eastAsia="en-GB"/>
        </w:rPr>
      </w:pPr>
      <w:r w:rsidRPr="00BE0369">
        <w:rPr>
          <w:rFonts w:ascii="Times New Roman" w:hAnsi="Times New Roman" w:cs="Times New Roman"/>
          <w:lang w:val="en-GB" w:eastAsia="en-GB"/>
        </w:rPr>
        <w:t xml:space="preserve">In order to match the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 xml:space="preserve">=207 individuals with maltreatment experiences as closely as possible to a non-maltreated sample, 1:1 propensity score matching (PSM) procedures were applied to the 520 eligible non-maltreated participants (see ‘Propensity Score Matching’ below). This yielded a total sample size of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 xml:space="preserve">=207 matched non-maltreated </w:t>
      </w:r>
      <w:r w:rsidRPr="00BE0369">
        <w:rPr>
          <w:rFonts w:ascii="Times New Roman" w:hAnsi="Times New Roman" w:cs="Times New Roman"/>
          <w:lang w:val="en-GB" w:eastAsia="en-GB"/>
        </w:rPr>
        <w:lastRenderedPageBreak/>
        <w:t xml:space="preserve">control participants with respect to age, gender, handedness, socio-economic status and psychopathology (60.4% female; age range: 18-22). That is, </w:t>
      </w:r>
      <w:r w:rsidRPr="00BE0369">
        <w:rPr>
          <w:rFonts w:ascii="Times New Roman" w:hAnsi="Times New Roman" w:cs="Times New Roman"/>
          <w:i/>
          <w:lang w:val="en-GB" w:eastAsia="en-GB"/>
        </w:rPr>
        <w:t>n</w:t>
      </w:r>
      <w:r w:rsidRPr="00BE0369">
        <w:rPr>
          <w:rFonts w:ascii="Times New Roman" w:hAnsi="Times New Roman" w:cs="Times New Roman"/>
          <w:lang w:val="en-GB" w:eastAsia="en-GB"/>
        </w:rPr>
        <w:t xml:space="preserve">=207 participants were selected and formed the non-maltreated control group (NMT group, see </w:t>
      </w:r>
      <w:r w:rsidR="00797A10">
        <w:rPr>
          <w:rFonts w:ascii="Times New Roman" w:hAnsi="Times New Roman" w:cs="Times New Roman"/>
          <w:lang w:val="en-GB" w:eastAsia="en-GB"/>
        </w:rPr>
        <w:t>Table S2</w:t>
      </w:r>
      <w:r w:rsidRPr="00BE0369">
        <w:rPr>
          <w:rFonts w:ascii="Times New Roman" w:hAnsi="Times New Roman" w:cs="Times New Roman"/>
          <w:lang w:val="en-GB" w:eastAsia="en-GB"/>
        </w:rPr>
        <w:t xml:space="preserve"> for Demographics). There was a significant gender difference in the Abuse Only (AO) group, so the analyses of valence by group interactions for the AO group vs. NMT group were subsequently controlled for gender. </w:t>
      </w:r>
    </w:p>
    <w:p w14:paraId="20876E15" w14:textId="77777777" w:rsidR="005707AB" w:rsidRPr="00BE0369" w:rsidRDefault="005707AB" w:rsidP="00FB78D4">
      <w:pPr>
        <w:widowControl w:val="0"/>
        <w:autoSpaceDE w:val="0"/>
        <w:autoSpaceDN w:val="0"/>
        <w:adjustRightInd w:val="0"/>
        <w:spacing w:line="480" w:lineRule="auto"/>
        <w:ind w:left="640" w:hanging="640"/>
        <w:rPr>
          <w:rFonts w:ascii="Times New Roman" w:hAnsi="Times New Roman" w:cs="Times New Roman"/>
          <w:lang w:val="en-GB" w:eastAsia="en-GB"/>
        </w:rPr>
      </w:pPr>
    </w:p>
    <w:p w14:paraId="0696E177" w14:textId="77777777" w:rsidR="005707AB" w:rsidRPr="005707AB" w:rsidRDefault="005707AB" w:rsidP="00FB78D4">
      <w:pPr>
        <w:widowControl w:val="0"/>
        <w:autoSpaceDE w:val="0"/>
        <w:autoSpaceDN w:val="0"/>
        <w:adjustRightInd w:val="0"/>
        <w:spacing w:line="480" w:lineRule="auto"/>
        <w:ind w:left="640" w:hanging="640"/>
        <w:rPr>
          <w:rFonts w:ascii="Times New Roman" w:hAnsi="Times New Roman" w:cs="Times New Roman"/>
          <w:i/>
          <w:lang w:val="en-GB" w:eastAsia="en-GB"/>
        </w:rPr>
      </w:pPr>
    </w:p>
    <w:p w14:paraId="159D8A00" w14:textId="3FDF7F6C" w:rsidR="00FB78D4" w:rsidRPr="00FB78D4" w:rsidRDefault="003F344D" w:rsidP="00FB78D4">
      <w:pPr>
        <w:rPr>
          <w:rFonts w:ascii="Times New Roman" w:hAnsi="Times New Roman" w:cs="Times New Roman"/>
          <w:lang w:val="en-GB" w:eastAsia="en-GB"/>
        </w:rPr>
      </w:pPr>
      <w:r w:rsidRPr="003F344D">
        <w:rPr>
          <w:rFonts w:ascii="Times New Roman" w:hAnsi="Times New Roman" w:cs="Times New Roman"/>
          <w:b/>
          <w:lang w:val="en-GB" w:eastAsia="en-GB"/>
        </w:rPr>
        <w:t>Table S2</w:t>
      </w:r>
      <w:r>
        <w:rPr>
          <w:rFonts w:ascii="Times New Roman" w:hAnsi="Times New Roman" w:cs="Times New Roman"/>
          <w:b/>
          <w:lang w:val="en-GB" w:eastAsia="en-GB"/>
        </w:rPr>
        <w:t>.</w:t>
      </w:r>
      <w:r w:rsidR="00FB78D4" w:rsidRPr="00FB78D4">
        <w:rPr>
          <w:rFonts w:ascii="Times New Roman" w:hAnsi="Times New Roman" w:cs="Times New Roman"/>
          <w:lang w:val="en-GB" w:eastAsia="en-GB"/>
        </w:rPr>
        <w:t xml:space="preserve"> </w:t>
      </w:r>
      <w:r w:rsidR="00585FE4">
        <w:rPr>
          <w:rFonts w:ascii="Times New Roman" w:hAnsi="Times New Roman" w:cs="Times New Roman"/>
          <w:lang w:val="en-GB" w:eastAsia="en-GB"/>
        </w:rPr>
        <w:t>Exploratory w</w:t>
      </w:r>
      <w:r w:rsidR="00FB78D4" w:rsidRPr="00FB78D4">
        <w:rPr>
          <w:rFonts w:ascii="Times New Roman" w:hAnsi="Times New Roman" w:cs="Times New Roman"/>
          <w:lang w:val="en-GB" w:eastAsia="en-GB"/>
        </w:rPr>
        <w:t>hole brain and ROI within-maltreatment group results from the contrast Angry-Neutral faces</w:t>
      </w:r>
    </w:p>
    <w:p w14:paraId="57C3EECD" w14:textId="77777777" w:rsidR="00FB78D4" w:rsidRPr="00FB78D4" w:rsidRDefault="00FB78D4" w:rsidP="00FB78D4">
      <w:pPr>
        <w:rPr>
          <w:rFonts w:ascii="Times New Roman" w:hAnsi="Times New Roman" w:cs="Times New Roman"/>
          <w:lang w:val="en-GB" w:eastAsia="en-GB"/>
        </w:rPr>
      </w:pPr>
    </w:p>
    <w:tbl>
      <w:tblPr>
        <w:tblW w:w="5000" w:type="pct"/>
        <w:tblLook w:val="04A0" w:firstRow="1" w:lastRow="0" w:firstColumn="1" w:lastColumn="0" w:noHBand="0" w:noVBand="1"/>
      </w:tblPr>
      <w:tblGrid>
        <w:gridCol w:w="679"/>
        <w:gridCol w:w="2953"/>
        <w:gridCol w:w="679"/>
        <w:gridCol w:w="679"/>
        <w:gridCol w:w="679"/>
        <w:gridCol w:w="679"/>
        <w:gridCol w:w="679"/>
        <w:gridCol w:w="679"/>
        <w:gridCol w:w="680"/>
        <w:gridCol w:w="680"/>
      </w:tblGrid>
      <w:tr w:rsidR="00FB78D4" w:rsidRPr="00E80B54" w14:paraId="283F99A1" w14:textId="77777777" w:rsidTr="00BB5461">
        <w:trPr>
          <w:trHeight w:val="320"/>
        </w:trPr>
        <w:tc>
          <w:tcPr>
            <w:tcW w:w="429" w:type="pct"/>
            <w:tcBorders>
              <w:top w:val="nil"/>
              <w:left w:val="nil"/>
              <w:bottom w:val="nil"/>
              <w:right w:val="nil"/>
            </w:tcBorders>
            <w:shd w:val="clear" w:color="000000" w:fill="FFFFFF"/>
            <w:noWrap/>
            <w:vAlign w:val="bottom"/>
            <w:hideMark/>
          </w:tcPr>
          <w:p w14:paraId="12AD0F4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single" w:sz="4" w:space="0" w:color="auto"/>
              <w:right w:val="nil"/>
            </w:tcBorders>
            <w:shd w:val="clear" w:color="000000" w:fill="FFFFFF"/>
            <w:noWrap/>
            <w:vAlign w:val="center"/>
            <w:hideMark/>
          </w:tcPr>
          <w:p w14:paraId="14300AB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12179B8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2EB6080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185E855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7D2DB55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5D93A66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04645DF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1975B9A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center"/>
            <w:hideMark/>
          </w:tcPr>
          <w:p w14:paraId="5460FFB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04D72DBD" w14:textId="77777777" w:rsidTr="00BB5461">
        <w:trPr>
          <w:trHeight w:val="320"/>
        </w:trPr>
        <w:tc>
          <w:tcPr>
            <w:tcW w:w="429" w:type="pct"/>
            <w:tcBorders>
              <w:top w:val="nil"/>
              <w:left w:val="nil"/>
              <w:bottom w:val="nil"/>
              <w:right w:val="nil"/>
            </w:tcBorders>
            <w:shd w:val="clear" w:color="000000" w:fill="FFFFFF"/>
            <w:noWrap/>
            <w:vAlign w:val="bottom"/>
            <w:hideMark/>
          </w:tcPr>
          <w:p w14:paraId="2AF5702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single" w:sz="4" w:space="0" w:color="auto"/>
              <w:right w:val="nil"/>
            </w:tcBorders>
            <w:shd w:val="clear" w:color="000000" w:fill="FFFFFF"/>
            <w:noWrap/>
            <w:vAlign w:val="bottom"/>
            <w:hideMark/>
          </w:tcPr>
          <w:p w14:paraId="24DC90F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Brain region </w:t>
            </w:r>
          </w:p>
        </w:tc>
        <w:tc>
          <w:tcPr>
            <w:tcW w:w="429" w:type="pct"/>
            <w:tcBorders>
              <w:top w:val="nil"/>
              <w:left w:val="nil"/>
              <w:bottom w:val="single" w:sz="4" w:space="0" w:color="auto"/>
              <w:right w:val="nil"/>
            </w:tcBorders>
            <w:shd w:val="clear" w:color="000000" w:fill="D9D9D9"/>
            <w:noWrap/>
            <w:vAlign w:val="bottom"/>
            <w:hideMark/>
          </w:tcPr>
          <w:p w14:paraId="3CB30750"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R/L</w:t>
            </w:r>
          </w:p>
        </w:tc>
        <w:tc>
          <w:tcPr>
            <w:tcW w:w="429" w:type="pct"/>
            <w:tcBorders>
              <w:top w:val="nil"/>
              <w:left w:val="nil"/>
              <w:bottom w:val="single" w:sz="4" w:space="0" w:color="auto"/>
              <w:right w:val="nil"/>
            </w:tcBorders>
            <w:shd w:val="clear" w:color="000000" w:fill="D9D9D9"/>
            <w:noWrap/>
            <w:vAlign w:val="bottom"/>
            <w:hideMark/>
          </w:tcPr>
          <w:p w14:paraId="3B2C53E4"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x</w:t>
            </w:r>
          </w:p>
        </w:tc>
        <w:tc>
          <w:tcPr>
            <w:tcW w:w="429" w:type="pct"/>
            <w:tcBorders>
              <w:top w:val="nil"/>
              <w:left w:val="nil"/>
              <w:bottom w:val="single" w:sz="4" w:space="0" w:color="auto"/>
              <w:right w:val="nil"/>
            </w:tcBorders>
            <w:shd w:val="clear" w:color="000000" w:fill="D9D9D9"/>
            <w:noWrap/>
            <w:vAlign w:val="bottom"/>
            <w:hideMark/>
          </w:tcPr>
          <w:p w14:paraId="2E9B24C6"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y</w:t>
            </w:r>
          </w:p>
        </w:tc>
        <w:tc>
          <w:tcPr>
            <w:tcW w:w="429" w:type="pct"/>
            <w:tcBorders>
              <w:top w:val="nil"/>
              <w:left w:val="nil"/>
              <w:bottom w:val="single" w:sz="4" w:space="0" w:color="auto"/>
              <w:right w:val="nil"/>
            </w:tcBorders>
            <w:shd w:val="clear" w:color="000000" w:fill="D9D9D9"/>
            <w:noWrap/>
            <w:vAlign w:val="bottom"/>
            <w:hideMark/>
          </w:tcPr>
          <w:p w14:paraId="10DE9CB2"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z</w:t>
            </w:r>
          </w:p>
        </w:tc>
        <w:tc>
          <w:tcPr>
            <w:tcW w:w="429" w:type="pct"/>
            <w:tcBorders>
              <w:top w:val="nil"/>
              <w:left w:val="nil"/>
              <w:bottom w:val="nil"/>
              <w:right w:val="nil"/>
            </w:tcBorders>
            <w:shd w:val="clear" w:color="000000" w:fill="FFFFFF"/>
            <w:noWrap/>
            <w:vAlign w:val="bottom"/>
            <w:hideMark/>
          </w:tcPr>
          <w:p w14:paraId="472E0732"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single" w:sz="4" w:space="0" w:color="auto"/>
              <w:right w:val="nil"/>
            </w:tcBorders>
            <w:shd w:val="clear" w:color="000000" w:fill="D9D9D9"/>
            <w:noWrap/>
            <w:vAlign w:val="bottom"/>
            <w:hideMark/>
          </w:tcPr>
          <w:p w14:paraId="4BD6DB49"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proofErr w:type="spellStart"/>
            <w:r w:rsidRPr="00FB78D4">
              <w:rPr>
                <w:rFonts w:ascii="Times New Roman" w:eastAsia="Times New Roman" w:hAnsi="Times New Roman" w:cs="Times New Roman"/>
                <w:b/>
                <w:bCs/>
                <w:i/>
                <w:iCs/>
                <w:color w:val="000000"/>
                <w:sz w:val="22"/>
                <w:szCs w:val="22"/>
                <w:lang w:val="en-GB" w:eastAsia="en-GB"/>
              </w:rPr>
              <w:t>ke</w:t>
            </w:r>
            <w:proofErr w:type="spellEnd"/>
          </w:p>
        </w:tc>
        <w:tc>
          <w:tcPr>
            <w:tcW w:w="429" w:type="pct"/>
            <w:tcBorders>
              <w:top w:val="nil"/>
              <w:left w:val="nil"/>
              <w:bottom w:val="single" w:sz="4" w:space="0" w:color="auto"/>
              <w:right w:val="nil"/>
            </w:tcBorders>
            <w:shd w:val="clear" w:color="000000" w:fill="D9D9D9"/>
            <w:noWrap/>
            <w:vAlign w:val="bottom"/>
            <w:hideMark/>
          </w:tcPr>
          <w:p w14:paraId="0CA75C5C"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t</w:t>
            </w:r>
          </w:p>
        </w:tc>
        <w:tc>
          <w:tcPr>
            <w:tcW w:w="429" w:type="pct"/>
            <w:tcBorders>
              <w:top w:val="nil"/>
              <w:left w:val="nil"/>
              <w:bottom w:val="single" w:sz="4" w:space="0" w:color="auto"/>
              <w:right w:val="nil"/>
            </w:tcBorders>
            <w:shd w:val="clear" w:color="000000" w:fill="D9D9D9"/>
            <w:noWrap/>
            <w:vAlign w:val="bottom"/>
            <w:hideMark/>
          </w:tcPr>
          <w:p w14:paraId="0B8EEAED"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Z</w:t>
            </w:r>
          </w:p>
        </w:tc>
      </w:tr>
      <w:tr w:rsidR="00FB78D4" w:rsidRPr="00FB78D4" w14:paraId="01B92E79" w14:textId="77777777" w:rsidTr="00BB5461">
        <w:trPr>
          <w:trHeight w:val="320"/>
        </w:trPr>
        <w:tc>
          <w:tcPr>
            <w:tcW w:w="429" w:type="pct"/>
            <w:tcBorders>
              <w:top w:val="nil"/>
              <w:left w:val="nil"/>
              <w:bottom w:val="nil"/>
              <w:right w:val="nil"/>
            </w:tcBorders>
            <w:shd w:val="clear" w:color="000000" w:fill="FFFFFF"/>
            <w:noWrap/>
            <w:vAlign w:val="bottom"/>
            <w:hideMark/>
          </w:tcPr>
          <w:p w14:paraId="4E02628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4C89ED9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26BB36F"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CF8868"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CB0EAE1"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A2F7F33"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B2F899E"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BF2DD1"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64D8657"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7278229"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r>
      <w:tr w:rsidR="00FB78D4" w:rsidRPr="00FB78D4" w14:paraId="4EDCCDBA" w14:textId="77777777" w:rsidTr="00BB5461">
        <w:trPr>
          <w:trHeight w:val="320"/>
        </w:trPr>
        <w:tc>
          <w:tcPr>
            <w:tcW w:w="429" w:type="pct"/>
            <w:tcBorders>
              <w:top w:val="nil"/>
              <w:left w:val="nil"/>
              <w:bottom w:val="nil"/>
              <w:right w:val="nil"/>
            </w:tcBorders>
            <w:shd w:val="clear" w:color="000000" w:fill="FFFFFF"/>
            <w:noWrap/>
            <w:vAlign w:val="bottom"/>
            <w:hideMark/>
          </w:tcPr>
          <w:p w14:paraId="383887B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BBA3976" w14:textId="04312CAE" w:rsidR="00FB78D4" w:rsidRPr="00FB78D4" w:rsidRDefault="00503391" w:rsidP="00FB78D4">
            <w:pPr>
              <w:rPr>
                <w:rFonts w:ascii="Times New Roman" w:eastAsia="Times New Roman" w:hAnsi="Times New Roman" w:cs="Times New Roman"/>
                <w:b/>
                <w:bCs/>
                <w:i/>
                <w:iCs/>
                <w:color w:val="000000"/>
                <w:sz w:val="22"/>
                <w:szCs w:val="22"/>
                <w:lang w:val="en-GB" w:eastAsia="en-GB"/>
              </w:rPr>
            </w:pPr>
            <w:r>
              <w:rPr>
                <w:rFonts w:ascii="Times New Roman" w:eastAsia="Times New Roman" w:hAnsi="Times New Roman" w:cs="Times New Roman"/>
                <w:b/>
                <w:bCs/>
                <w:i/>
                <w:iCs/>
                <w:color w:val="000000"/>
                <w:sz w:val="22"/>
                <w:szCs w:val="22"/>
                <w:lang w:val="en-GB" w:eastAsia="en-GB"/>
              </w:rPr>
              <w:t>NO vs. AO</w:t>
            </w:r>
            <w:r w:rsidR="00FB78D4" w:rsidRPr="00FB78D4">
              <w:rPr>
                <w:rFonts w:ascii="Times New Roman" w:eastAsia="Times New Roman" w:hAnsi="Times New Roman" w:cs="Times New Roman"/>
                <w:b/>
                <w:bCs/>
                <w:i/>
                <w:iCs/>
                <w:color w:val="000000"/>
                <w:sz w:val="22"/>
                <w:szCs w:val="22"/>
                <w:lang w:val="en-GB" w:eastAsia="en-GB"/>
              </w:rPr>
              <w:t xml:space="preserve"> </w:t>
            </w:r>
          </w:p>
        </w:tc>
        <w:tc>
          <w:tcPr>
            <w:tcW w:w="429" w:type="pct"/>
            <w:tcBorders>
              <w:top w:val="nil"/>
              <w:left w:val="nil"/>
              <w:bottom w:val="nil"/>
              <w:right w:val="nil"/>
            </w:tcBorders>
            <w:shd w:val="clear" w:color="000000" w:fill="FFFFFF"/>
            <w:noWrap/>
            <w:vAlign w:val="bottom"/>
            <w:hideMark/>
          </w:tcPr>
          <w:p w14:paraId="623B627F"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B3E7B14"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704790B"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1A47F7A"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EBB350C"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EF0360"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26130A6"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59421AD"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r>
      <w:tr w:rsidR="00FB78D4" w:rsidRPr="00FB78D4" w14:paraId="6C2C0152"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07CD375C"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Whole brain </w:t>
            </w:r>
          </w:p>
        </w:tc>
        <w:tc>
          <w:tcPr>
            <w:tcW w:w="429" w:type="pct"/>
            <w:tcBorders>
              <w:top w:val="nil"/>
              <w:left w:val="nil"/>
              <w:bottom w:val="nil"/>
              <w:right w:val="nil"/>
            </w:tcBorders>
            <w:shd w:val="clear" w:color="000000" w:fill="FFFFFF"/>
            <w:noWrap/>
            <w:vAlign w:val="bottom"/>
            <w:hideMark/>
          </w:tcPr>
          <w:p w14:paraId="66D16F4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BA6F31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C8ED0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D3A3BC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E13FC0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FB8CEB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DE4BF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E144F1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740F5056" w14:textId="77777777" w:rsidTr="00BB5461">
        <w:trPr>
          <w:trHeight w:val="320"/>
        </w:trPr>
        <w:tc>
          <w:tcPr>
            <w:tcW w:w="429" w:type="pct"/>
            <w:tcBorders>
              <w:top w:val="nil"/>
              <w:left w:val="nil"/>
              <w:bottom w:val="nil"/>
              <w:right w:val="nil"/>
            </w:tcBorders>
            <w:shd w:val="clear" w:color="000000" w:fill="FFFFFF"/>
            <w:noWrap/>
            <w:vAlign w:val="bottom"/>
            <w:hideMark/>
          </w:tcPr>
          <w:p w14:paraId="6F3B954E"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auto" w:fill="auto"/>
            <w:noWrap/>
            <w:vAlign w:val="bottom"/>
            <w:hideMark/>
          </w:tcPr>
          <w:p w14:paraId="5BDBCE8A" w14:textId="77777777" w:rsidR="00FB78D4" w:rsidRPr="00FB78D4" w:rsidRDefault="00FB78D4" w:rsidP="00FB78D4">
            <w:pPr>
              <w:rPr>
                <w:rFonts w:ascii="Times New Roman" w:eastAsia="Times New Roman" w:hAnsi="Times New Roman" w:cs="Times New Roman"/>
                <w:color w:val="000000"/>
                <w:sz w:val="22"/>
                <w:szCs w:val="22"/>
                <w:lang w:val="en-GB" w:eastAsia="en-GB"/>
              </w:rPr>
            </w:pPr>
            <w:proofErr w:type="spellStart"/>
            <w:r w:rsidRPr="00FB78D4">
              <w:rPr>
                <w:rFonts w:ascii="Times New Roman" w:eastAsia="Times New Roman" w:hAnsi="Times New Roman" w:cs="Times New Roman"/>
                <w:color w:val="000000"/>
                <w:sz w:val="22"/>
                <w:szCs w:val="22"/>
                <w:lang w:val="en-GB" w:eastAsia="en-GB"/>
              </w:rPr>
              <w:t>Hippcampus</w:t>
            </w:r>
            <w:proofErr w:type="spellEnd"/>
            <w:r w:rsidRPr="00FB78D4">
              <w:rPr>
                <w:rFonts w:ascii="Times New Roman" w:eastAsia="Times New Roman" w:hAnsi="Times New Roman" w:cs="Times New Roman"/>
                <w:color w:val="000000"/>
                <w:sz w:val="22"/>
                <w:szCs w:val="22"/>
                <w:lang w:val="en-GB" w:eastAsia="en-GB"/>
              </w:rPr>
              <w:t xml:space="preserve"> (Dentate gyrus)</w:t>
            </w:r>
          </w:p>
        </w:tc>
        <w:tc>
          <w:tcPr>
            <w:tcW w:w="429" w:type="pct"/>
            <w:tcBorders>
              <w:top w:val="nil"/>
              <w:left w:val="nil"/>
              <w:bottom w:val="nil"/>
              <w:right w:val="nil"/>
            </w:tcBorders>
            <w:shd w:val="clear" w:color="000000" w:fill="FFFFFF"/>
            <w:noWrap/>
            <w:vAlign w:val="bottom"/>
            <w:hideMark/>
          </w:tcPr>
          <w:p w14:paraId="1A8F720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C17487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7444051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70838FC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0230ACE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064DB8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19</w:t>
            </w:r>
          </w:p>
        </w:tc>
        <w:tc>
          <w:tcPr>
            <w:tcW w:w="429" w:type="pct"/>
            <w:tcBorders>
              <w:top w:val="nil"/>
              <w:left w:val="nil"/>
              <w:bottom w:val="nil"/>
              <w:right w:val="nil"/>
            </w:tcBorders>
            <w:shd w:val="clear" w:color="000000" w:fill="FFFFFF"/>
            <w:noWrap/>
            <w:vAlign w:val="bottom"/>
            <w:hideMark/>
          </w:tcPr>
          <w:p w14:paraId="58468E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4.26</w:t>
            </w:r>
          </w:p>
        </w:tc>
        <w:tc>
          <w:tcPr>
            <w:tcW w:w="429" w:type="pct"/>
            <w:tcBorders>
              <w:top w:val="nil"/>
              <w:left w:val="nil"/>
              <w:bottom w:val="nil"/>
              <w:right w:val="nil"/>
            </w:tcBorders>
            <w:shd w:val="clear" w:color="000000" w:fill="FFFFFF"/>
            <w:noWrap/>
            <w:vAlign w:val="bottom"/>
            <w:hideMark/>
          </w:tcPr>
          <w:p w14:paraId="25E2421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4.21</w:t>
            </w:r>
          </w:p>
        </w:tc>
      </w:tr>
      <w:tr w:rsidR="00FB78D4" w:rsidRPr="00FB78D4" w14:paraId="67FE94B1" w14:textId="77777777" w:rsidTr="00BB5461">
        <w:trPr>
          <w:trHeight w:val="320"/>
        </w:trPr>
        <w:tc>
          <w:tcPr>
            <w:tcW w:w="429" w:type="pct"/>
            <w:tcBorders>
              <w:top w:val="nil"/>
              <w:left w:val="nil"/>
              <w:bottom w:val="nil"/>
              <w:right w:val="nil"/>
            </w:tcBorders>
            <w:shd w:val="clear" w:color="000000" w:fill="FFFFFF"/>
            <w:noWrap/>
            <w:vAlign w:val="bottom"/>
            <w:hideMark/>
          </w:tcPr>
          <w:p w14:paraId="0A89F27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927CFEA" w14:textId="77777777" w:rsidR="00FB78D4" w:rsidRPr="00FB78D4" w:rsidRDefault="00FB78D4" w:rsidP="00FB78D4">
            <w:pPr>
              <w:rPr>
                <w:rFonts w:ascii="Times New Roman" w:eastAsia="Times New Roman" w:hAnsi="Times New Roman" w:cs="Times New Roman"/>
                <w:color w:val="000000"/>
                <w:sz w:val="22"/>
                <w:szCs w:val="22"/>
                <w:lang w:val="en-GB" w:eastAsia="en-GB"/>
              </w:rPr>
            </w:pPr>
            <w:proofErr w:type="spellStart"/>
            <w:r w:rsidRPr="00FB78D4">
              <w:rPr>
                <w:rFonts w:ascii="Times New Roman" w:eastAsia="Times New Roman" w:hAnsi="Times New Roman" w:cs="Times New Roman"/>
                <w:color w:val="000000"/>
                <w:sz w:val="22"/>
                <w:szCs w:val="22"/>
                <w:lang w:val="en-GB" w:eastAsia="en-GB"/>
              </w:rPr>
              <w:t>Subgenual</w:t>
            </w:r>
            <w:proofErr w:type="spellEnd"/>
            <w:r w:rsidRPr="00FB78D4">
              <w:rPr>
                <w:rFonts w:ascii="Times New Roman" w:eastAsia="Times New Roman" w:hAnsi="Times New Roman" w:cs="Times New Roman"/>
                <w:color w:val="000000"/>
                <w:sz w:val="22"/>
                <w:szCs w:val="22"/>
                <w:lang w:val="en-GB" w:eastAsia="en-GB"/>
              </w:rPr>
              <w:t xml:space="preserve"> anterior cingulate</w:t>
            </w:r>
          </w:p>
        </w:tc>
        <w:tc>
          <w:tcPr>
            <w:tcW w:w="429" w:type="pct"/>
            <w:tcBorders>
              <w:top w:val="nil"/>
              <w:left w:val="nil"/>
              <w:bottom w:val="nil"/>
              <w:right w:val="nil"/>
            </w:tcBorders>
            <w:shd w:val="clear" w:color="000000" w:fill="FFFFFF"/>
            <w:noWrap/>
            <w:vAlign w:val="bottom"/>
            <w:hideMark/>
          </w:tcPr>
          <w:p w14:paraId="37603A8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1B2CDF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43949D6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3766568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0</w:t>
            </w:r>
          </w:p>
        </w:tc>
        <w:tc>
          <w:tcPr>
            <w:tcW w:w="429" w:type="pct"/>
            <w:tcBorders>
              <w:top w:val="nil"/>
              <w:left w:val="nil"/>
              <w:bottom w:val="nil"/>
              <w:right w:val="nil"/>
            </w:tcBorders>
            <w:shd w:val="clear" w:color="000000" w:fill="FFFFFF"/>
            <w:noWrap/>
            <w:vAlign w:val="bottom"/>
            <w:hideMark/>
          </w:tcPr>
          <w:p w14:paraId="6C11492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E31845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88</w:t>
            </w:r>
          </w:p>
        </w:tc>
        <w:tc>
          <w:tcPr>
            <w:tcW w:w="429" w:type="pct"/>
            <w:tcBorders>
              <w:top w:val="nil"/>
              <w:left w:val="nil"/>
              <w:bottom w:val="nil"/>
              <w:right w:val="nil"/>
            </w:tcBorders>
            <w:shd w:val="clear" w:color="000000" w:fill="FFFFFF"/>
            <w:noWrap/>
            <w:vAlign w:val="bottom"/>
            <w:hideMark/>
          </w:tcPr>
          <w:p w14:paraId="7CAFBA0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4.18</w:t>
            </w:r>
          </w:p>
        </w:tc>
        <w:tc>
          <w:tcPr>
            <w:tcW w:w="429" w:type="pct"/>
            <w:tcBorders>
              <w:top w:val="nil"/>
              <w:left w:val="nil"/>
              <w:bottom w:val="nil"/>
              <w:right w:val="nil"/>
            </w:tcBorders>
            <w:shd w:val="clear" w:color="000000" w:fill="FFFFFF"/>
            <w:noWrap/>
            <w:vAlign w:val="bottom"/>
            <w:hideMark/>
          </w:tcPr>
          <w:p w14:paraId="7C807B1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4.13</w:t>
            </w:r>
          </w:p>
        </w:tc>
      </w:tr>
      <w:tr w:rsidR="00FB78D4" w:rsidRPr="00FB78D4" w14:paraId="0D82152C" w14:textId="77777777" w:rsidTr="00BB5461">
        <w:trPr>
          <w:trHeight w:val="320"/>
        </w:trPr>
        <w:tc>
          <w:tcPr>
            <w:tcW w:w="429" w:type="pct"/>
            <w:tcBorders>
              <w:top w:val="nil"/>
              <w:left w:val="nil"/>
              <w:bottom w:val="nil"/>
              <w:right w:val="nil"/>
            </w:tcBorders>
            <w:shd w:val="clear" w:color="000000" w:fill="FFFFFF"/>
            <w:noWrap/>
            <w:vAlign w:val="bottom"/>
            <w:hideMark/>
          </w:tcPr>
          <w:p w14:paraId="2C9B2FD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886B693" w14:textId="77777777" w:rsidR="00FB78D4" w:rsidRPr="00FB78D4" w:rsidRDefault="00FB78D4" w:rsidP="00FB78D4">
            <w:pPr>
              <w:rPr>
                <w:rFonts w:ascii="Times New Roman" w:eastAsia="Times New Roman" w:hAnsi="Times New Roman" w:cs="Times New Roman"/>
                <w:color w:val="000000"/>
                <w:sz w:val="22"/>
                <w:szCs w:val="22"/>
                <w:lang w:val="en-GB" w:eastAsia="en-GB"/>
              </w:rPr>
            </w:pPr>
            <w:proofErr w:type="spellStart"/>
            <w:r w:rsidRPr="00FB78D4">
              <w:rPr>
                <w:rFonts w:ascii="Times New Roman" w:eastAsia="Times New Roman" w:hAnsi="Times New Roman" w:cs="Times New Roman"/>
                <w:color w:val="000000"/>
                <w:sz w:val="22"/>
                <w:szCs w:val="22"/>
                <w:lang w:val="en-GB" w:eastAsia="en-GB"/>
              </w:rPr>
              <w:t>Somatosenory</w:t>
            </w:r>
            <w:proofErr w:type="spellEnd"/>
            <w:r w:rsidRPr="00FB78D4">
              <w:rPr>
                <w:rFonts w:ascii="Times New Roman" w:eastAsia="Times New Roman" w:hAnsi="Times New Roman" w:cs="Times New Roman"/>
                <w:color w:val="000000"/>
                <w:sz w:val="22"/>
                <w:szCs w:val="22"/>
                <w:lang w:val="en-GB" w:eastAsia="en-GB"/>
              </w:rPr>
              <w:t xml:space="preserve"> cortex </w:t>
            </w:r>
          </w:p>
        </w:tc>
        <w:tc>
          <w:tcPr>
            <w:tcW w:w="429" w:type="pct"/>
            <w:tcBorders>
              <w:top w:val="nil"/>
              <w:left w:val="nil"/>
              <w:bottom w:val="nil"/>
              <w:right w:val="nil"/>
            </w:tcBorders>
            <w:shd w:val="clear" w:color="000000" w:fill="FFFFFF"/>
            <w:noWrap/>
            <w:vAlign w:val="bottom"/>
            <w:hideMark/>
          </w:tcPr>
          <w:p w14:paraId="4317081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59DEFE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770A89A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6A4F9FB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0BAFE80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664601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3C7BB5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3.66</w:t>
            </w:r>
          </w:p>
        </w:tc>
        <w:tc>
          <w:tcPr>
            <w:tcW w:w="429" w:type="pct"/>
            <w:tcBorders>
              <w:top w:val="nil"/>
              <w:left w:val="nil"/>
              <w:bottom w:val="nil"/>
              <w:right w:val="nil"/>
            </w:tcBorders>
            <w:shd w:val="clear" w:color="000000" w:fill="FFFFFF"/>
            <w:noWrap/>
            <w:vAlign w:val="center"/>
            <w:hideMark/>
          </w:tcPr>
          <w:p w14:paraId="206994E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3.63</w:t>
            </w:r>
          </w:p>
        </w:tc>
      </w:tr>
      <w:tr w:rsidR="00FB78D4" w:rsidRPr="00FB78D4" w14:paraId="01296600" w14:textId="77777777" w:rsidTr="00BB5461">
        <w:trPr>
          <w:trHeight w:val="320"/>
        </w:trPr>
        <w:tc>
          <w:tcPr>
            <w:tcW w:w="429" w:type="pct"/>
            <w:tcBorders>
              <w:top w:val="nil"/>
              <w:left w:val="nil"/>
              <w:bottom w:val="nil"/>
              <w:right w:val="nil"/>
            </w:tcBorders>
            <w:shd w:val="clear" w:color="000000" w:fill="FFFFFF"/>
            <w:noWrap/>
            <w:vAlign w:val="bottom"/>
            <w:hideMark/>
          </w:tcPr>
          <w:p w14:paraId="5272F5C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1F4AAC8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Fusiform gyrus</w:t>
            </w:r>
          </w:p>
        </w:tc>
        <w:tc>
          <w:tcPr>
            <w:tcW w:w="429" w:type="pct"/>
            <w:tcBorders>
              <w:top w:val="nil"/>
              <w:left w:val="nil"/>
              <w:bottom w:val="nil"/>
              <w:right w:val="nil"/>
            </w:tcBorders>
            <w:shd w:val="clear" w:color="000000" w:fill="FFFFFF"/>
            <w:noWrap/>
            <w:vAlign w:val="bottom"/>
            <w:hideMark/>
          </w:tcPr>
          <w:p w14:paraId="0EC89DF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4160E30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w:t>
            </w:r>
          </w:p>
        </w:tc>
        <w:tc>
          <w:tcPr>
            <w:tcW w:w="429" w:type="pct"/>
            <w:tcBorders>
              <w:top w:val="nil"/>
              <w:left w:val="nil"/>
              <w:bottom w:val="nil"/>
              <w:right w:val="nil"/>
            </w:tcBorders>
            <w:shd w:val="clear" w:color="000000" w:fill="FFFFFF"/>
            <w:noWrap/>
            <w:vAlign w:val="bottom"/>
            <w:hideMark/>
          </w:tcPr>
          <w:p w14:paraId="3CF326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-46</w:t>
            </w:r>
          </w:p>
        </w:tc>
        <w:tc>
          <w:tcPr>
            <w:tcW w:w="429" w:type="pct"/>
            <w:tcBorders>
              <w:top w:val="nil"/>
              <w:left w:val="nil"/>
              <w:bottom w:val="nil"/>
              <w:right w:val="nil"/>
            </w:tcBorders>
            <w:shd w:val="clear" w:color="000000" w:fill="FFFFFF"/>
            <w:noWrap/>
            <w:vAlign w:val="bottom"/>
            <w:hideMark/>
          </w:tcPr>
          <w:p w14:paraId="5723EEA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188712E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0EDBF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w:t>
            </w:r>
          </w:p>
        </w:tc>
        <w:tc>
          <w:tcPr>
            <w:tcW w:w="429" w:type="pct"/>
            <w:tcBorders>
              <w:top w:val="nil"/>
              <w:left w:val="nil"/>
              <w:bottom w:val="nil"/>
              <w:right w:val="nil"/>
            </w:tcBorders>
            <w:shd w:val="clear" w:color="000000" w:fill="FFFFFF"/>
            <w:noWrap/>
            <w:vAlign w:val="center"/>
            <w:hideMark/>
          </w:tcPr>
          <w:p w14:paraId="0BDA599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3.94</w:t>
            </w:r>
          </w:p>
        </w:tc>
        <w:tc>
          <w:tcPr>
            <w:tcW w:w="429" w:type="pct"/>
            <w:tcBorders>
              <w:top w:val="nil"/>
              <w:left w:val="nil"/>
              <w:bottom w:val="nil"/>
              <w:right w:val="nil"/>
            </w:tcBorders>
            <w:shd w:val="clear" w:color="000000" w:fill="FFFFFF"/>
            <w:noWrap/>
            <w:vAlign w:val="center"/>
            <w:hideMark/>
          </w:tcPr>
          <w:p w14:paraId="52AAE53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3.91</w:t>
            </w:r>
          </w:p>
        </w:tc>
      </w:tr>
      <w:tr w:rsidR="00FB78D4" w:rsidRPr="00FB78D4" w14:paraId="4D7118AD" w14:textId="77777777" w:rsidTr="00BB5461">
        <w:trPr>
          <w:trHeight w:val="320"/>
        </w:trPr>
        <w:tc>
          <w:tcPr>
            <w:tcW w:w="429" w:type="pct"/>
            <w:tcBorders>
              <w:top w:val="nil"/>
              <w:left w:val="nil"/>
              <w:bottom w:val="nil"/>
              <w:right w:val="nil"/>
            </w:tcBorders>
            <w:shd w:val="clear" w:color="000000" w:fill="FFFFFF"/>
            <w:noWrap/>
            <w:vAlign w:val="bottom"/>
            <w:hideMark/>
          </w:tcPr>
          <w:p w14:paraId="2C3AC5C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vAlign w:val="center"/>
            <w:hideMark/>
          </w:tcPr>
          <w:p w14:paraId="65C10F9F" w14:textId="77777777" w:rsidR="00FB78D4" w:rsidRPr="00FB78D4" w:rsidRDefault="00FB78D4" w:rsidP="00FB78D4">
            <w:pPr>
              <w:rPr>
                <w:rFonts w:ascii="Times New Roman" w:eastAsia="Times New Roman" w:hAnsi="Times New Roman" w:cs="Times New Roman"/>
                <w:b/>
                <w:bCs/>
                <w:i/>
                <w:iCs/>
                <w:sz w:val="22"/>
                <w:szCs w:val="22"/>
                <w:lang w:val="en-GB" w:eastAsia="en-GB"/>
              </w:rPr>
            </w:pPr>
            <w:r w:rsidRPr="00FB78D4">
              <w:rPr>
                <w:rFonts w:ascii="Times New Roman" w:eastAsia="Times New Roman" w:hAnsi="Times New Roman" w:cs="Times New Roman"/>
                <w:b/>
                <w:bCs/>
                <w:i/>
                <w:iCs/>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A8126E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7BF6AA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w:t>
            </w:r>
          </w:p>
        </w:tc>
        <w:tc>
          <w:tcPr>
            <w:tcW w:w="429" w:type="pct"/>
            <w:tcBorders>
              <w:top w:val="nil"/>
              <w:left w:val="nil"/>
              <w:bottom w:val="nil"/>
              <w:right w:val="nil"/>
            </w:tcBorders>
            <w:shd w:val="clear" w:color="000000" w:fill="FFFFFF"/>
            <w:noWrap/>
            <w:vAlign w:val="bottom"/>
            <w:hideMark/>
          </w:tcPr>
          <w:p w14:paraId="556B5B9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w:t>
            </w:r>
          </w:p>
        </w:tc>
        <w:tc>
          <w:tcPr>
            <w:tcW w:w="429" w:type="pct"/>
            <w:tcBorders>
              <w:top w:val="nil"/>
              <w:left w:val="nil"/>
              <w:bottom w:val="nil"/>
              <w:right w:val="nil"/>
            </w:tcBorders>
            <w:shd w:val="clear" w:color="000000" w:fill="FFFFFF"/>
            <w:noWrap/>
            <w:vAlign w:val="bottom"/>
            <w:hideMark/>
          </w:tcPr>
          <w:p w14:paraId="12A672C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center"/>
            <w:hideMark/>
          </w:tcPr>
          <w:p w14:paraId="168ED102"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7FF4E57B"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17</w:t>
            </w:r>
          </w:p>
        </w:tc>
        <w:tc>
          <w:tcPr>
            <w:tcW w:w="429" w:type="pct"/>
            <w:tcBorders>
              <w:top w:val="nil"/>
              <w:left w:val="nil"/>
              <w:bottom w:val="nil"/>
              <w:right w:val="nil"/>
            </w:tcBorders>
            <w:shd w:val="clear" w:color="000000" w:fill="FFFFFF"/>
            <w:noWrap/>
            <w:vAlign w:val="center"/>
            <w:hideMark/>
          </w:tcPr>
          <w:p w14:paraId="7114A2E1"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3.8</w:t>
            </w:r>
          </w:p>
        </w:tc>
        <w:tc>
          <w:tcPr>
            <w:tcW w:w="429" w:type="pct"/>
            <w:tcBorders>
              <w:top w:val="nil"/>
              <w:left w:val="nil"/>
              <w:bottom w:val="nil"/>
              <w:right w:val="nil"/>
            </w:tcBorders>
            <w:shd w:val="clear" w:color="000000" w:fill="FFFFFF"/>
            <w:noWrap/>
            <w:vAlign w:val="center"/>
            <w:hideMark/>
          </w:tcPr>
          <w:p w14:paraId="3FB9940A"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3.77</w:t>
            </w:r>
          </w:p>
        </w:tc>
      </w:tr>
      <w:tr w:rsidR="00FB78D4" w:rsidRPr="00FB78D4" w14:paraId="7FFD1C3C" w14:textId="77777777" w:rsidTr="00BB5461">
        <w:trPr>
          <w:trHeight w:val="320"/>
        </w:trPr>
        <w:tc>
          <w:tcPr>
            <w:tcW w:w="429" w:type="pct"/>
            <w:tcBorders>
              <w:top w:val="nil"/>
              <w:left w:val="nil"/>
              <w:bottom w:val="nil"/>
              <w:right w:val="nil"/>
            </w:tcBorders>
            <w:shd w:val="clear" w:color="000000" w:fill="FFFFFF"/>
            <w:noWrap/>
            <w:vAlign w:val="bottom"/>
            <w:hideMark/>
          </w:tcPr>
          <w:p w14:paraId="06CC84E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vAlign w:val="center"/>
            <w:hideMark/>
          </w:tcPr>
          <w:p w14:paraId="6F138CD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temporal sulcus</w:t>
            </w:r>
          </w:p>
        </w:tc>
        <w:tc>
          <w:tcPr>
            <w:tcW w:w="429" w:type="pct"/>
            <w:tcBorders>
              <w:top w:val="nil"/>
              <w:left w:val="nil"/>
              <w:bottom w:val="nil"/>
              <w:right w:val="nil"/>
            </w:tcBorders>
            <w:shd w:val="clear" w:color="000000" w:fill="FFFFFF"/>
            <w:noWrap/>
            <w:vAlign w:val="bottom"/>
            <w:hideMark/>
          </w:tcPr>
          <w:p w14:paraId="5C1049F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7F335D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bottom"/>
            <w:hideMark/>
          </w:tcPr>
          <w:p w14:paraId="4866600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1A7E2F5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75EA73F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E70C63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66</w:t>
            </w:r>
          </w:p>
        </w:tc>
        <w:tc>
          <w:tcPr>
            <w:tcW w:w="429" w:type="pct"/>
            <w:tcBorders>
              <w:top w:val="nil"/>
              <w:left w:val="nil"/>
              <w:bottom w:val="nil"/>
              <w:right w:val="nil"/>
            </w:tcBorders>
            <w:shd w:val="clear" w:color="000000" w:fill="FFFFFF"/>
            <w:noWrap/>
            <w:vAlign w:val="bottom"/>
            <w:hideMark/>
          </w:tcPr>
          <w:p w14:paraId="077212D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3.58</w:t>
            </w:r>
          </w:p>
        </w:tc>
        <w:tc>
          <w:tcPr>
            <w:tcW w:w="429" w:type="pct"/>
            <w:tcBorders>
              <w:top w:val="nil"/>
              <w:left w:val="nil"/>
              <w:bottom w:val="nil"/>
              <w:right w:val="nil"/>
            </w:tcBorders>
            <w:shd w:val="clear" w:color="000000" w:fill="FFFFFF"/>
            <w:noWrap/>
            <w:vAlign w:val="bottom"/>
            <w:hideMark/>
          </w:tcPr>
          <w:p w14:paraId="3E488AA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3.56</w:t>
            </w:r>
          </w:p>
        </w:tc>
      </w:tr>
      <w:tr w:rsidR="00FB78D4" w:rsidRPr="00FB78D4" w14:paraId="68D52815" w14:textId="77777777" w:rsidTr="00BB5461">
        <w:trPr>
          <w:trHeight w:val="320"/>
        </w:trPr>
        <w:tc>
          <w:tcPr>
            <w:tcW w:w="429" w:type="pct"/>
            <w:tcBorders>
              <w:top w:val="nil"/>
              <w:left w:val="nil"/>
              <w:bottom w:val="nil"/>
              <w:right w:val="nil"/>
            </w:tcBorders>
            <w:shd w:val="clear" w:color="000000" w:fill="FFFFFF"/>
            <w:noWrap/>
            <w:vAlign w:val="bottom"/>
            <w:hideMark/>
          </w:tcPr>
          <w:p w14:paraId="2C3120A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vAlign w:val="center"/>
            <w:hideMark/>
          </w:tcPr>
          <w:p w14:paraId="73BDC3FC"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temporal sulcus</w:t>
            </w:r>
          </w:p>
        </w:tc>
        <w:tc>
          <w:tcPr>
            <w:tcW w:w="429" w:type="pct"/>
            <w:tcBorders>
              <w:top w:val="nil"/>
              <w:left w:val="nil"/>
              <w:bottom w:val="nil"/>
              <w:right w:val="nil"/>
            </w:tcBorders>
            <w:shd w:val="clear" w:color="000000" w:fill="FFFFFF"/>
            <w:noWrap/>
            <w:vAlign w:val="bottom"/>
            <w:hideMark/>
          </w:tcPr>
          <w:p w14:paraId="5214924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A3CB82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bottom"/>
            <w:hideMark/>
          </w:tcPr>
          <w:p w14:paraId="0672CFB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7D97AE5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w:t>
            </w:r>
          </w:p>
        </w:tc>
        <w:tc>
          <w:tcPr>
            <w:tcW w:w="429" w:type="pct"/>
            <w:tcBorders>
              <w:top w:val="nil"/>
              <w:left w:val="nil"/>
              <w:bottom w:val="nil"/>
              <w:right w:val="nil"/>
            </w:tcBorders>
            <w:shd w:val="clear" w:color="000000" w:fill="FFFFFF"/>
            <w:noWrap/>
            <w:vAlign w:val="bottom"/>
            <w:hideMark/>
          </w:tcPr>
          <w:p w14:paraId="3F0934E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F3F32F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694398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w:t>
            </w:r>
          </w:p>
        </w:tc>
        <w:tc>
          <w:tcPr>
            <w:tcW w:w="429" w:type="pct"/>
            <w:tcBorders>
              <w:top w:val="nil"/>
              <w:left w:val="nil"/>
              <w:bottom w:val="nil"/>
              <w:right w:val="nil"/>
            </w:tcBorders>
            <w:shd w:val="clear" w:color="000000" w:fill="FFFFFF"/>
            <w:noWrap/>
            <w:vAlign w:val="bottom"/>
            <w:hideMark/>
          </w:tcPr>
          <w:p w14:paraId="4F6ECDA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3.28</w:t>
            </w:r>
          </w:p>
        </w:tc>
      </w:tr>
      <w:tr w:rsidR="00FB78D4" w:rsidRPr="00FB78D4" w14:paraId="49CA48D9" w14:textId="77777777" w:rsidTr="00BB5461">
        <w:trPr>
          <w:trHeight w:val="320"/>
        </w:trPr>
        <w:tc>
          <w:tcPr>
            <w:tcW w:w="429" w:type="pct"/>
            <w:tcBorders>
              <w:top w:val="nil"/>
              <w:left w:val="nil"/>
              <w:bottom w:val="nil"/>
              <w:right w:val="nil"/>
            </w:tcBorders>
            <w:shd w:val="clear" w:color="000000" w:fill="FFFFFF"/>
            <w:noWrap/>
            <w:vAlign w:val="bottom"/>
            <w:hideMark/>
          </w:tcPr>
          <w:p w14:paraId="546F9D5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vAlign w:val="center"/>
            <w:hideMark/>
          </w:tcPr>
          <w:p w14:paraId="58F4328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temporal sulcus</w:t>
            </w:r>
          </w:p>
        </w:tc>
        <w:tc>
          <w:tcPr>
            <w:tcW w:w="429" w:type="pct"/>
            <w:tcBorders>
              <w:top w:val="nil"/>
              <w:left w:val="nil"/>
              <w:bottom w:val="nil"/>
              <w:right w:val="nil"/>
            </w:tcBorders>
            <w:shd w:val="clear" w:color="000000" w:fill="FFFFFF"/>
            <w:noWrap/>
            <w:vAlign w:val="bottom"/>
            <w:hideMark/>
          </w:tcPr>
          <w:p w14:paraId="2B424A2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29241C2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bottom"/>
            <w:hideMark/>
          </w:tcPr>
          <w:p w14:paraId="6958D76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104CCFC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6DCBF01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3C58FCC"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D2A53D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w:t>
            </w:r>
          </w:p>
        </w:tc>
        <w:tc>
          <w:tcPr>
            <w:tcW w:w="429" w:type="pct"/>
            <w:tcBorders>
              <w:top w:val="nil"/>
              <w:left w:val="nil"/>
              <w:bottom w:val="nil"/>
              <w:right w:val="nil"/>
            </w:tcBorders>
            <w:shd w:val="clear" w:color="000000" w:fill="FFFFFF"/>
            <w:noWrap/>
            <w:vAlign w:val="bottom"/>
            <w:hideMark/>
          </w:tcPr>
          <w:p w14:paraId="2BDFF51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3.27</w:t>
            </w:r>
          </w:p>
        </w:tc>
      </w:tr>
      <w:tr w:rsidR="00FB78D4" w:rsidRPr="00FB78D4" w14:paraId="0C1A5EC2" w14:textId="77777777" w:rsidTr="00BB5461">
        <w:trPr>
          <w:trHeight w:val="320"/>
        </w:trPr>
        <w:tc>
          <w:tcPr>
            <w:tcW w:w="429" w:type="pct"/>
            <w:tcBorders>
              <w:top w:val="nil"/>
              <w:left w:val="nil"/>
              <w:bottom w:val="nil"/>
              <w:right w:val="nil"/>
            </w:tcBorders>
            <w:shd w:val="clear" w:color="000000" w:fill="FFFFFF"/>
            <w:noWrap/>
            <w:vAlign w:val="bottom"/>
            <w:hideMark/>
          </w:tcPr>
          <w:p w14:paraId="7059905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37031579" w14:textId="77777777" w:rsidR="00FB78D4" w:rsidRPr="00FB78D4" w:rsidRDefault="00FB78D4" w:rsidP="00FB78D4">
            <w:pPr>
              <w:rPr>
                <w:rFonts w:ascii="Times New Roman" w:eastAsia="Times New Roman" w:hAnsi="Times New Roman" w:cs="Times New Roman"/>
                <w:color w:val="C00000"/>
                <w:sz w:val="22"/>
                <w:szCs w:val="22"/>
                <w:lang w:val="en-GB" w:eastAsia="en-GB"/>
              </w:rPr>
            </w:pPr>
            <w:r w:rsidRPr="00FB78D4">
              <w:rPr>
                <w:rFonts w:ascii="Times New Roman" w:eastAsia="Times New Roman" w:hAnsi="Times New Roman" w:cs="Times New Roman"/>
                <w:color w:val="000000" w:themeColor="text1"/>
                <w:sz w:val="22"/>
                <w:szCs w:val="22"/>
                <w:lang w:val="en-GB" w:eastAsia="en-GB"/>
              </w:rPr>
              <w:t xml:space="preserve">White Matter / Caudate </w:t>
            </w:r>
          </w:p>
        </w:tc>
        <w:tc>
          <w:tcPr>
            <w:tcW w:w="429" w:type="pct"/>
            <w:tcBorders>
              <w:top w:val="nil"/>
              <w:left w:val="nil"/>
              <w:bottom w:val="nil"/>
              <w:right w:val="nil"/>
            </w:tcBorders>
            <w:shd w:val="clear" w:color="000000" w:fill="FFFFFF"/>
            <w:noWrap/>
            <w:vAlign w:val="bottom"/>
            <w:hideMark/>
          </w:tcPr>
          <w:p w14:paraId="0C5BA1E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325E86F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6F6D659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52DFF95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756E9A5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23B38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07AA22D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w:t>
            </w:r>
          </w:p>
        </w:tc>
        <w:tc>
          <w:tcPr>
            <w:tcW w:w="429" w:type="pct"/>
            <w:tcBorders>
              <w:top w:val="nil"/>
              <w:left w:val="nil"/>
              <w:bottom w:val="nil"/>
              <w:right w:val="nil"/>
            </w:tcBorders>
            <w:shd w:val="clear" w:color="000000" w:fill="FFFFFF"/>
            <w:noWrap/>
            <w:vAlign w:val="bottom"/>
            <w:hideMark/>
          </w:tcPr>
          <w:p w14:paraId="2506ACA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3.28</w:t>
            </w:r>
          </w:p>
        </w:tc>
      </w:tr>
      <w:tr w:rsidR="00FB78D4" w:rsidRPr="00FB78D4" w14:paraId="0EBABFA9" w14:textId="77777777" w:rsidTr="00BB5461">
        <w:trPr>
          <w:trHeight w:val="320"/>
        </w:trPr>
        <w:tc>
          <w:tcPr>
            <w:tcW w:w="429" w:type="pct"/>
            <w:tcBorders>
              <w:top w:val="nil"/>
              <w:left w:val="nil"/>
              <w:bottom w:val="nil"/>
              <w:right w:val="nil"/>
            </w:tcBorders>
            <w:shd w:val="clear" w:color="000000" w:fill="FFFFFF"/>
            <w:noWrap/>
            <w:vAlign w:val="bottom"/>
            <w:hideMark/>
          </w:tcPr>
          <w:p w14:paraId="6AB1F504"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1137" w:type="pct"/>
            <w:tcBorders>
              <w:top w:val="nil"/>
              <w:left w:val="nil"/>
              <w:bottom w:val="nil"/>
              <w:right w:val="nil"/>
            </w:tcBorders>
            <w:shd w:val="clear" w:color="000000" w:fill="FFFFFF"/>
            <w:noWrap/>
            <w:vAlign w:val="bottom"/>
            <w:hideMark/>
          </w:tcPr>
          <w:p w14:paraId="481191AA" w14:textId="77777777"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50E0038"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52B5FE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C0AE88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88359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7C25C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AC1901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EC2A66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C77105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7F785331" w14:textId="77777777" w:rsidTr="00BB5461">
        <w:trPr>
          <w:trHeight w:val="320"/>
        </w:trPr>
        <w:tc>
          <w:tcPr>
            <w:tcW w:w="429" w:type="pct"/>
            <w:tcBorders>
              <w:top w:val="nil"/>
              <w:left w:val="nil"/>
              <w:bottom w:val="nil"/>
              <w:right w:val="nil"/>
            </w:tcBorders>
            <w:shd w:val="clear" w:color="auto" w:fill="auto"/>
            <w:noWrap/>
            <w:vAlign w:val="bottom"/>
            <w:hideMark/>
          </w:tcPr>
          <w:p w14:paraId="2D577902" w14:textId="77777777" w:rsidR="00FB78D4" w:rsidRPr="00FB78D4" w:rsidRDefault="00FB78D4" w:rsidP="00FB78D4">
            <w:pPr>
              <w:rPr>
                <w:rFonts w:ascii="Times New Roman" w:eastAsia="Times New Roman" w:hAnsi="Times New Roman" w:cs="Times New Roman"/>
                <w:color w:val="000000"/>
                <w:sz w:val="22"/>
                <w:szCs w:val="22"/>
                <w:lang w:val="en-GB" w:eastAsia="en-GB"/>
              </w:rPr>
            </w:pPr>
          </w:p>
        </w:tc>
        <w:tc>
          <w:tcPr>
            <w:tcW w:w="1137" w:type="pct"/>
            <w:tcBorders>
              <w:top w:val="nil"/>
              <w:left w:val="nil"/>
              <w:bottom w:val="nil"/>
              <w:right w:val="nil"/>
            </w:tcBorders>
            <w:shd w:val="clear" w:color="000000" w:fill="FFFFFF"/>
            <w:noWrap/>
            <w:vAlign w:val="bottom"/>
            <w:hideMark/>
          </w:tcPr>
          <w:p w14:paraId="0FCA0790"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Ventral amygdala </w:t>
            </w:r>
          </w:p>
        </w:tc>
        <w:tc>
          <w:tcPr>
            <w:tcW w:w="429" w:type="pct"/>
            <w:tcBorders>
              <w:top w:val="nil"/>
              <w:left w:val="nil"/>
              <w:bottom w:val="nil"/>
              <w:right w:val="nil"/>
            </w:tcBorders>
            <w:shd w:val="clear" w:color="000000" w:fill="FFFFFF"/>
            <w:noWrap/>
            <w:vAlign w:val="bottom"/>
            <w:hideMark/>
          </w:tcPr>
          <w:p w14:paraId="5490DDE0"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49CCDE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E94674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E4B87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729C2E3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CA6202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C2CD4F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EF3866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496EA2A7" w14:textId="77777777" w:rsidTr="00BB5461">
        <w:trPr>
          <w:trHeight w:val="320"/>
        </w:trPr>
        <w:tc>
          <w:tcPr>
            <w:tcW w:w="429" w:type="pct"/>
            <w:tcBorders>
              <w:top w:val="nil"/>
              <w:left w:val="nil"/>
              <w:bottom w:val="nil"/>
              <w:right w:val="nil"/>
            </w:tcBorders>
            <w:shd w:val="clear" w:color="000000" w:fill="FFFFFF"/>
            <w:noWrap/>
            <w:vAlign w:val="bottom"/>
            <w:hideMark/>
          </w:tcPr>
          <w:p w14:paraId="461C71F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4C4CF19D"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Dorsal amygdala </w:t>
            </w:r>
          </w:p>
        </w:tc>
        <w:tc>
          <w:tcPr>
            <w:tcW w:w="429" w:type="pct"/>
            <w:tcBorders>
              <w:top w:val="nil"/>
              <w:left w:val="nil"/>
              <w:bottom w:val="nil"/>
              <w:right w:val="nil"/>
            </w:tcBorders>
            <w:shd w:val="clear" w:color="000000" w:fill="FFFFFF"/>
            <w:noWrap/>
            <w:vAlign w:val="bottom"/>
            <w:hideMark/>
          </w:tcPr>
          <w:p w14:paraId="3EDDE88E"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622F653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F4B538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7CFA29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39CE76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5651F0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363F82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7D33DB3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483D4131" w14:textId="77777777" w:rsidTr="00BB5461">
        <w:trPr>
          <w:trHeight w:val="320"/>
        </w:trPr>
        <w:tc>
          <w:tcPr>
            <w:tcW w:w="429" w:type="pct"/>
            <w:tcBorders>
              <w:top w:val="nil"/>
              <w:left w:val="nil"/>
              <w:bottom w:val="nil"/>
              <w:right w:val="nil"/>
            </w:tcBorders>
            <w:shd w:val="clear" w:color="000000" w:fill="FFFFFF"/>
            <w:noWrap/>
            <w:vAlign w:val="bottom"/>
            <w:hideMark/>
          </w:tcPr>
          <w:p w14:paraId="3462C54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4C37CC4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3A4873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9E38D5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9B205F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D9BB9E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A36F52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968DCF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6F3031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3C99A9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C919F8E" w14:textId="77777777" w:rsidTr="00BB5461">
        <w:trPr>
          <w:trHeight w:val="320"/>
        </w:trPr>
        <w:tc>
          <w:tcPr>
            <w:tcW w:w="429" w:type="pct"/>
            <w:tcBorders>
              <w:top w:val="nil"/>
              <w:left w:val="nil"/>
              <w:bottom w:val="nil"/>
              <w:right w:val="nil"/>
            </w:tcBorders>
            <w:shd w:val="clear" w:color="000000" w:fill="FFFFFF"/>
            <w:noWrap/>
            <w:vAlign w:val="bottom"/>
            <w:hideMark/>
          </w:tcPr>
          <w:p w14:paraId="70FACB9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060608D" w14:textId="77777777"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xml:space="preserve">AO vs. NO </w:t>
            </w:r>
          </w:p>
        </w:tc>
        <w:tc>
          <w:tcPr>
            <w:tcW w:w="429" w:type="pct"/>
            <w:tcBorders>
              <w:top w:val="nil"/>
              <w:left w:val="nil"/>
              <w:bottom w:val="nil"/>
              <w:right w:val="nil"/>
            </w:tcBorders>
            <w:shd w:val="clear" w:color="000000" w:fill="FFFFFF"/>
            <w:noWrap/>
            <w:vAlign w:val="bottom"/>
            <w:hideMark/>
          </w:tcPr>
          <w:p w14:paraId="6C64EA3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6796C5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B3EEA5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7B14BF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7BB672B"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B71B7C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4A55C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6CF5F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1B219926"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09A2E3AE"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Whole brain </w:t>
            </w:r>
          </w:p>
        </w:tc>
        <w:tc>
          <w:tcPr>
            <w:tcW w:w="429" w:type="pct"/>
            <w:tcBorders>
              <w:top w:val="nil"/>
              <w:left w:val="nil"/>
              <w:bottom w:val="nil"/>
              <w:right w:val="nil"/>
            </w:tcBorders>
            <w:shd w:val="clear" w:color="000000" w:fill="FFFFFF"/>
            <w:noWrap/>
            <w:vAlign w:val="bottom"/>
            <w:hideMark/>
          </w:tcPr>
          <w:p w14:paraId="49053C90"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68F13C8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9ACB7B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2103CF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400DCDB"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025655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5ADCC1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77C6B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3BF0386C"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72FCF87B"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429" w:type="pct"/>
            <w:tcBorders>
              <w:top w:val="nil"/>
              <w:left w:val="nil"/>
              <w:bottom w:val="nil"/>
              <w:right w:val="nil"/>
            </w:tcBorders>
            <w:shd w:val="clear" w:color="000000" w:fill="FFFFFF"/>
            <w:noWrap/>
            <w:vAlign w:val="bottom"/>
            <w:hideMark/>
          </w:tcPr>
          <w:p w14:paraId="6DD570EE"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05A4A2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2DC99F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40B1E4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9954E34"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FE5F48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3E2145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33323C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4D05845" w14:textId="77777777" w:rsidTr="00BB5461">
        <w:trPr>
          <w:trHeight w:val="320"/>
        </w:trPr>
        <w:tc>
          <w:tcPr>
            <w:tcW w:w="429" w:type="pct"/>
            <w:tcBorders>
              <w:top w:val="nil"/>
              <w:left w:val="nil"/>
              <w:bottom w:val="nil"/>
              <w:right w:val="nil"/>
            </w:tcBorders>
            <w:shd w:val="clear" w:color="000000" w:fill="FFFFFF"/>
            <w:noWrap/>
            <w:vAlign w:val="bottom"/>
            <w:hideMark/>
          </w:tcPr>
          <w:p w14:paraId="09B16ABE"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658B6E3"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Ventral amygdala </w:t>
            </w:r>
          </w:p>
        </w:tc>
        <w:tc>
          <w:tcPr>
            <w:tcW w:w="429" w:type="pct"/>
            <w:tcBorders>
              <w:top w:val="nil"/>
              <w:left w:val="nil"/>
              <w:bottom w:val="nil"/>
              <w:right w:val="nil"/>
            </w:tcBorders>
            <w:shd w:val="clear" w:color="000000" w:fill="FFFFFF"/>
            <w:noWrap/>
            <w:vAlign w:val="bottom"/>
            <w:hideMark/>
          </w:tcPr>
          <w:p w14:paraId="446D27B0"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A98634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3257A8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FDB524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BF1676E"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719D2C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4B82B1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785A8C9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348C5CBE" w14:textId="77777777" w:rsidTr="00BB5461">
        <w:trPr>
          <w:trHeight w:val="320"/>
        </w:trPr>
        <w:tc>
          <w:tcPr>
            <w:tcW w:w="429" w:type="pct"/>
            <w:tcBorders>
              <w:top w:val="nil"/>
              <w:left w:val="nil"/>
              <w:bottom w:val="nil"/>
              <w:right w:val="nil"/>
            </w:tcBorders>
            <w:shd w:val="clear" w:color="000000" w:fill="FFFFFF"/>
            <w:noWrap/>
            <w:vAlign w:val="bottom"/>
            <w:hideMark/>
          </w:tcPr>
          <w:p w14:paraId="07D719A0"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1FEB855"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Dorsal amygdala </w:t>
            </w:r>
          </w:p>
        </w:tc>
        <w:tc>
          <w:tcPr>
            <w:tcW w:w="429" w:type="pct"/>
            <w:tcBorders>
              <w:top w:val="nil"/>
              <w:left w:val="nil"/>
              <w:bottom w:val="nil"/>
              <w:right w:val="nil"/>
            </w:tcBorders>
            <w:shd w:val="clear" w:color="000000" w:fill="FFFFFF"/>
            <w:noWrap/>
            <w:vAlign w:val="bottom"/>
            <w:hideMark/>
          </w:tcPr>
          <w:p w14:paraId="03F29157"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BBE5EC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1466CD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5C9E2E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D116764"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B8542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D801F9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7481CF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39C4CDD6" w14:textId="77777777" w:rsidTr="00BB5461">
        <w:trPr>
          <w:trHeight w:val="320"/>
        </w:trPr>
        <w:tc>
          <w:tcPr>
            <w:tcW w:w="429" w:type="pct"/>
            <w:tcBorders>
              <w:top w:val="nil"/>
              <w:left w:val="nil"/>
              <w:bottom w:val="nil"/>
              <w:right w:val="nil"/>
            </w:tcBorders>
            <w:shd w:val="clear" w:color="000000" w:fill="FFFFFF"/>
            <w:noWrap/>
            <w:vAlign w:val="bottom"/>
            <w:hideMark/>
          </w:tcPr>
          <w:p w14:paraId="07CEA82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1E15FD2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C9D3C8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727B07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AA235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219C2F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58CD08"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6BE5C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FFC48A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C7CC6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A04638C" w14:textId="77777777" w:rsidTr="00BB5461">
        <w:trPr>
          <w:trHeight w:val="320"/>
        </w:trPr>
        <w:tc>
          <w:tcPr>
            <w:tcW w:w="429" w:type="pct"/>
            <w:tcBorders>
              <w:top w:val="nil"/>
              <w:left w:val="nil"/>
              <w:bottom w:val="nil"/>
              <w:right w:val="nil"/>
            </w:tcBorders>
            <w:shd w:val="clear" w:color="000000" w:fill="FFFFFF"/>
            <w:noWrap/>
            <w:vAlign w:val="bottom"/>
            <w:hideMark/>
          </w:tcPr>
          <w:p w14:paraId="4E194A6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single" w:sz="4" w:space="0" w:color="auto"/>
              <w:left w:val="nil"/>
              <w:bottom w:val="single" w:sz="4" w:space="0" w:color="auto"/>
              <w:right w:val="nil"/>
            </w:tcBorders>
            <w:shd w:val="clear" w:color="000000" w:fill="FFFFFF"/>
            <w:noWrap/>
            <w:vAlign w:val="bottom"/>
            <w:hideMark/>
          </w:tcPr>
          <w:p w14:paraId="3B4946F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Brain region </w:t>
            </w:r>
          </w:p>
        </w:tc>
        <w:tc>
          <w:tcPr>
            <w:tcW w:w="429" w:type="pct"/>
            <w:tcBorders>
              <w:top w:val="single" w:sz="4" w:space="0" w:color="auto"/>
              <w:left w:val="nil"/>
              <w:bottom w:val="single" w:sz="4" w:space="0" w:color="auto"/>
              <w:right w:val="nil"/>
            </w:tcBorders>
            <w:shd w:val="clear" w:color="000000" w:fill="D9D9D9"/>
            <w:noWrap/>
            <w:vAlign w:val="bottom"/>
            <w:hideMark/>
          </w:tcPr>
          <w:p w14:paraId="05332B06"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R/L</w:t>
            </w:r>
          </w:p>
        </w:tc>
        <w:tc>
          <w:tcPr>
            <w:tcW w:w="429" w:type="pct"/>
            <w:tcBorders>
              <w:top w:val="single" w:sz="4" w:space="0" w:color="auto"/>
              <w:left w:val="nil"/>
              <w:bottom w:val="single" w:sz="4" w:space="0" w:color="auto"/>
              <w:right w:val="nil"/>
            </w:tcBorders>
            <w:shd w:val="clear" w:color="000000" w:fill="D9D9D9"/>
            <w:noWrap/>
            <w:vAlign w:val="bottom"/>
            <w:hideMark/>
          </w:tcPr>
          <w:p w14:paraId="170643BF"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x</w:t>
            </w:r>
          </w:p>
        </w:tc>
        <w:tc>
          <w:tcPr>
            <w:tcW w:w="429" w:type="pct"/>
            <w:tcBorders>
              <w:top w:val="single" w:sz="4" w:space="0" w:color="auto"/>
              <w:left w:val="nil"/>
              <w:bottom w:val="single" w:sz="4" w:space="0" w:color="auto"/>
              <w:right w:val="nil"/>
            </w:tcBorders>
            <w:shd w:val="clear" w:color="000000" w:fill="D9D9D9"/>
            <w:noWrap/>
            <w:vAlign w:val="bottom"/>
            <w:hideMark/>
          </w:tcPr>
          <w:p w14:paraId="6661C390"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y</w:t>
            </w:r>
          </w:p>
        </w:tc>
        <w:tc>
          <w:tcPr>
            <w:tcW w:w="429" w:type="pct"/>
            <w:tcBorders>
              <w:top w:val="single" w:sz="4" w:space="0" w:color="auto"/>
              <w:left w:val="nil"/>
              <w:bottom w:val="single" w:sz="4" w:space="0" w:color="auto"/>
              <w:right w:val="nil"/>
            </w:tcBorders>
            <w:shd w:val="clear" w:color="000000" w:fill="D9D9D9"/>
            <w:noWrap/>
            <w:vAlign w:val="bottom"/>
            <w:hideMark/>
          </w:tcPr>
          <w:p w14:paraId="4F984899"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z</w:t>
            </w:r>
          </w:p>
        </w:tc>
        <w:tc>
          <w:tcPr>
            <w:tcW w:w="429" w:type="pct"/>
            <w:tcBorders>
              <w:top w:val="single" w:sz="4" w:space="0" w:color="auto"/>
              <w:left w:val="nil"/>
              <w:bottom w:val="nil"/>
              <w:right w:val="nil"/>
            </w:tcBorders>
            <w:shd w:val="clear" w:color="000000" w:fill="FFFFFF"/>
            <w:noWrap/>
            <w:vAlign w:val="bottom"/>
            <w:hideMark/>
          </w:tcPr>
          <w:p w14:paraId="2025F4E5"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single" w:sz="4" w:space="0" w:color="auto"/>
              <w:left w:val="nil"/>
              <w:bottom w:val="single" w:sz="4" w:space="0" w:color="auto"/>
              <w:right w:val="nil"/>
            </w:tcBorders>
            <w:shd w:val="clear" w:color="000000" w:fill="D9D9D9"/>
            <w:noWrap/>
            <w:vAlign w:val="bottom"/>
            <w:hideMark/>
          </w:tcPr>
          <w:p w14:paraId="6B30AA77"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proofErr w:type="spellStart"/>
            <w:r w:rsidRPr="00FB78D4">
              <w:rPr>
                <w:rFonts w:ascii="Times New Roman" w:eastAsia="Times New Roman" w:hAnsi="Times New Roman" w:cs="Times New Roman"/>
                <w:b/>
                <w:bCs/>
                <w:i/>
                <w:iCs/>
                <w:color w:val="000000"/>
                <w:sz w:val="22"/>
                <w:szCs w:val="22"/>
                <w:lang w:val="en-GB" w:eastAsia="en-GB"/>
              </w:rPr>
              <w:t>ke</w:t>
            </w:r>
            <w:proofErr w:type="spellEnd"/>
          </w:p>
        </w:tc>
        <w:tc>
          <w:tcPr>
            <w:tcW w:w="429" w:type="pct"/>
            <w:tcBorders>
              <w:top w:val="single" w:sz="4" w:space="0" w:color="auto"/>
              <w:left w:val="nil"/>
              <w:bottom w:val="single" w:sz="4" w:space="0" w:color="auto"/>
              <w:right w:val="nil"/>
            </w:tcBorders>
            <w:shd w:val="clear" w:color="000000" w:fill="D9D9D9"/>
            <w:noWrap/>
            <w:vAlign w:val="bottom"/>
            <w:hideMark/>
          </w:tcPr>
          <w:p w14:paraId="450876B0"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t</w:t>
            </w:r>
          </w:p>
        </w:tc>
        <w:tc>
          <w:tcPr>
            <w:tcW w:w="429" w:type="pct"/>
            <w:tcBorders>
              <w:top w:val="single" w:sz="4" w:space="0" w:color="auto"/>
              <w:left w:val="nil"/>
              <w:bottom w:val="single" w:sz="4" w:space="0" w:color="auto"/>
              <w:right w:val="nil"/>
            </w:tcBorders>
            <w:shd w:val="clear" w:color="000000" w:fill="D9D9D9"/>
            <w:noWrap/>
            <w:vAlign w:val="bottom"/>
            <w:hideMark/>
          </w:tcPr>
          <w:p w14:paraId="70BE27A9"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Z</w:t>
            </w:r>
          </w:p>
        </w:tc>
      </w:tr>
      <w:tr w:rsidR="00FB78D4" w:rsidRPr="00FB78D4" w14:paraId="36C53E3A" w14:textId="77777777" w:rsidTr="00BB5461">
        <w:trPr>
          <w:trHeight w:val="320"/>
        </w:trPr>
        <w:tc>
          <w:tcPr>
            <w:tcW w:w="429" w:type="pct"/>
            <w:tcBorders>
              <w:top w:val="nil"/>
              <w:left w:val="nil"/>
              <w:bottom w:val="nil"/>
              <w:right w:val="nil"/>
            </w:tcBorders>
            <w:shd w:val="clear" w:color="000000" w:fill="FFFFFF"/>
            <w:noWrap/>
            <w:vAlign w:val="bottom"/>
            <w:hideMark/>
          </w:tcPr>
          <w:p w14:paraId="256BD41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34B4553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535F72D"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25824CF"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A88DA2A"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F26433E"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9EE8505"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E71E3C4"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23B8C9A"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18DC4D8"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r>
      <w:tr w:rsidR="00FB78D4" w:rsidRPr="00FB78D4" w14:paraId="5FE422CA" w14:textId="77777777" w:rsidTr="00BB5461">
        <w:trPr>
          <w:trHeight w:val="320"/>
        </w:trPr>
        <w:tc>
          <w:tcPr>
            <w:tcW w:w="429" w:type="pct"/>
            <w:tcBorders>
              <w:top w:val="nil"/>
              <w:left w:val="nil"/>
              <w:bottom w:val="nil"/>
              <w:right w:val="nil"/>
            </w:tcBorders>
            <w:shd w:val="clear" w:color="000000" w:fill="FFFFFF"/>
            <w:noWrap/>
            <w:vAlign w:val="bottom"/>
            <w:hideMark/>
          </w:tcPr>
          <w:p w14:paraId="47F113E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0695929C" w14:textId="77777777"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xml:space="preserve">NO vs. COM </w:t>
            </w:r>
          </w:p>
        </w:tc>
        <w:tc>
          <w:tcPr>
            <w:tcW w:w="429" w:type="pct"/>
            <w:tcBorders>
              <w:top w:val="nil"/>
              <w:left w:val="nil"/>
              <w:bottom w:val="nil"/>
              <w:right w:val="nil"/>
            </w:tcBorders>
            <w:shd w:val="clear" w:color="000000" w:fill="FFFFFF"/>
            <w:noWrap/>
            <w:vAlign w:val="center"/>
            <w:hideMark/>
          </w:tcPr>
          <w:p w14:paraId="332630A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5B25698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54E71B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6D6CE46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58401D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448543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5D3FFD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10B0C5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301B938F"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4E179565"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Whole brain </w:t>
            </w:r>
          </w:p>
        </w:tc>
        <w:tc>
          <w:tcPr>
            <w:tcW w:w="429" w:type="pct"/>
            <w:tcBorders>
              <w:top w:val="nil"/>
              <w:left w:val="nil"/>
              <w:bottom w:val="nil"/>
              <w:right w:val="nil"/>
            </w:tcBorders>
            <w:shd w:val="clear" w:color="000000" w:fill="FFFFFF"/>
            <w:noWrap/>
            <w:vAlign w:val="center"/>
            <w:hideMark/>
          </w:tcPr>
          <w:p w14:paraId="79CB20C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0B4568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167EE0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B2367D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853C4F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0B8F53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2A506C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000F74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07B48AE" w14:textId="77777777" w:rsidTr="00BB5461">
        <w:trPr>
          <w:trHeight w:val="320"/>
        </w:trPr>
        <w:tc>
          <w:tcPr>
            <w:tcW w:w="429" w:type="pct"/>
            <w:tcBorders>
              <w:top w:val="nil"/>
              <w:left w:val="nil"/>
              <w:bottom w:val="nil"/>
              <w:right w:val="nil"/>
            </w:tcBorders>
            <w:shd w:val="clear" w:color="000000" w:fill="FFFFFF"/>
            <w:noWrap/>
            <w:vAlign w:val="bottom"/>
            <w:hideMark/>
          </w:tcPr>
          <w:p w14:paraId="2CF8A39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lastRenderedPageBreak/>
              <w:t> </w:t>
            </w:r>
          </w:p>
        </w:tc>
        <w:tc>
          <w:tcPr>
            <w:tcW w:w="1137" w:type="pct"/>
            <w:tcBorders>
              <w:top w:val="nil"/>
              <w:left w:val="nil"/>
              <w:bottom w:val="nil"/>
              <w:right w:val="nil"/>
            </w:tcBorders>
            <w:shd w:val="clear" w:color="000000" w:fill="FFFFFF"/>
            <w:noWrap/>
            <w:vAlign w:val="bottom"/>
            <w:hideMark/>
          </w:tcPr>
          <w:p w14:paraId="59A8906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Middle temporal gyrus</w:t>
            </w:r>
          </w:p>
        </w:tc>
        <w:tc>
          <w:tcPr>
            <w:tcW w:w="429" w:type="pct"/>
            <w:tcBorders>
              <w:top w:val="nil"/>
              <w:left w:val="nil"/>
              <w:bottom w:val="nil"/>
              <w:right w:val="nil"/>
            </w:tcBorders>
            <w:shd w:val="clear" w:color="000000" w:fill="FFFFFF"/>
            <w:noWrap/>
            <w:vAlign w:val="bottom"/>
            <w:hideMark/>
          </w:tcPr>
          <w:p w14:paraId="32B814D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5B039F3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bottom"/>
            <w:hideMark/>
          </w:tcPr>
          <w:p w14:paraId="34FF120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-32</w:t>
            </w:r>
          </w:p>
        </w:tc>
        <w:tc>
          <w:tcPr>
            <w:tcW w:w="429" w:type="pct"/>
            <w:tcBorders>
              <w:top w:val="nil"/>
              <w:left w:val="nil"/>
              <w:bottom w:val="nil"/>
              <w:right w:val="nil"/>
            </w:tcBorders>
            <w:shd w:val="clear" w:color="000000" w:fill="FFFFFF"/>
            <w:noWrap/>
            <w:vAlign w:val="bottom"/>
            <w:hideMark/>
          </w:tcPr>
          <w:p w14:paraId="3862D6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42CDDAC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E4EF24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229</w:t>
            </w:r>
          </w:p>
        </w:tc>
        <w:tc>
          <w:tcPr>
            <w:tcW w:w="429" w:type="pct"/>
            <w:tcBorders>
              <w:top w:val="nil"/>
              <w:left w:val="nil"/>
              <w:bottom w:val="nil"/>
              <w:right w:val="nil"/>
            </w:tcBorders>
            <w:shd w:val="clear" w:color="000000" w:fill="FFFFFF"/>
            <w:noWrap/>
            <w:vAlign w:val="bottom"/>
            <w:hideMark/>
          </w:tcPr>
          <w:p w14:paraId="65B1CD3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3.49</w:t>
            </w:r>
          </w:p>
        </w:tc>
        <w:tc>
          <w:tcPr>
            <w:tcW w:w="429" w:type="pct"/>
            <w:tcBorders>
              <w:top w:val="nil"/>
              <w:left w:val="nil"/>
              <w:bottom w:val="nil"/>
              <w:right w:val="nil"/>
            </w:tcBorders>
            <w:shd w:val="clear" w:color="000000" w:fill="FFFFFF"/>
            <w:noWrap/>
            <w:vAlign w:val="bottom"/>
            <w:hideMark/>
          </w:tcPr>
          <w:p w14:paraId="711B543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3.46</w:t>
            </w:r>
          </w:p>
        </w:tc>
      </w:tr>
      <w:tr w:rsidR="00FB78D4" w:rsidRPr="00FB78D4" w14:paraId="3C8C528F" w14:textId="77777777" w:rsidTr="00BB5461">
        <w:trPr>
          <w:trHeight w:val="320"/>
        </w:trPr>
        <w:tc>
          <w:tcPr>
            <w:tcW w:w="429" w:type="pct"/>
            <w:tcBorders>
              <w:top w:val="nil"/>
              <w:left w:val="nil"/>
              <w:bottom w:val="nil"/>
              <w:right w:val="nil"/>
            </w:tcBorders>
            <w:shd w:val="clear" w:color="000000" w:fill="FFFFFF"/>
            <w:noWrap/>
            <w:vAlign w:val="bottom"/>
            <w:hideMark/>
          </w:tcPr>
          <w:p w14:paraId="54A00EC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B62F04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DA7EE4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E6C7BD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bottom"/>
            <w:hideMark/>
          </w:tcPr>
          <w:p w14:paraId="52D70E5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1F4D09F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6984796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A3296D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1D0E2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2.61</w:t>
            </w:r>
          </w:p>
        </w:tc>
        <w:tc>
          <w:tcPr>
            <w:tcW w:w="429" w:type="pct"/>
            <w:tcBorders>
              <w:top w:val="nil"/>
              <w:left w:val="nil"/>
              <w:bottom w:val="nil"/>
              <w:right w:val="nil"/>
            </w:tcBorders>
            <w:shd w:val="clear" w:color="000000" w:fill="FFFFFF"/>
            <w:noWrap/>
            <w:vAlign w:val="bottom"/>
            <w:hideMark/>
          </w:tcPr>
          <w:p w14:paraId="6599137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r>
      <w:tr w:rsidR="00FB78D4" w:rsidRPr="00FB78D4" w14:paraId="03D50131" w14:textId="77777777" w:rsidTr="00BB5461">
        <w:trPr>
          <w:trHeight w:val="320"/>
        </w:trPr>
        <w:tc>
          <w:tcPr>
            <w:tcW w:w="429" w:type="pct"/>
            <w:tcBorders>
              <w:top w:val="nil"/>
              <w:left w:val="nil"/>
              <w:bottom w:val="nil"/>
              <w:right w:val="nil"/>
            </w:tcBorders>
            <w:shd w:val="clear" w:color="000000" w:fill="FFFFFF"/>
            <w:noWrap/>
            <w:vAlign w:val="bottom"/>
            <w:hideMark/>
          </w:tcPr>
          <w:p w14:paraId="6E4816B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E9CFB8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Hippocampus</w:t>
            </w:r>
          </w:p>
        </w:tc>
        <w:tc>
          <w:tcPr>
            <w:tcW w:w="429" w:type="pct"/>
            <w:tcBorders>
              <w:top w:val="nil"/>
              <w:left w:val="nil"/>
              <w:bottom w:val="nil"/>
              <w:right w:val="nil"/>
            </w:tcBorders>
            <w:shd w:val="clear" w:color="000000" w:fill="FFFFFF"/>
            <w:noWrap/>
            <w:vAlign w:val="bottom"/>
            <w:hideMark/>
          </w:tcPr>
          <w:p w14:paraId="4769F34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46A611E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6C0AA0F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6ECE04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-20</w:t>
            </w:r>
          </w:p>
        </w:tc>
        <w:tc>
          <w:tcPr>
            <w:tcW w:w="429" w:type="pct"/>
            <w:tcBorders>
              <w:top w:val="nil"/>
              <w:left w:val="nil"/>
              <w:bottom w:val="nil"/>
              <w:right w:val="nil"/>
            </w:tcBorders>
            <w:shd w:val="clear" w:color="000000" w:fill="FFFFFF"/>
            <w:noWrap/>
            <w:vAlign w:val="bottom"/>
            <w:hideMark/>
          </w:tcPr>
          <w:p w14:paraId="709C6F2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C618DF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102</w:t>
            </w:r>
          </w:p>
        </w:tc>
        <w:tc>
          <w:tcPr>
            <w:tcW w:w="429" w:type="pct"/>
            <w:tcBorders>
              <w:top w:val="nil"/>
              <w:left w:val="nil"/>
              <w:bottom w:val="nil"/>
              <w:right w:val="nil"/>
            </w:tcBorders>
            <w:shd w:val="clear" w:color="000000" w:fill="FFFFFF"/>
            <w:noWrap/>
            <w:vAlign w:val="bottom"/>
            <w:hideMark/>
          </w:tcPr>
          <w:p w14:paraId="0590831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400F57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B417A5B" w14:textId="77777777" w:rsidTr="00BB5461">
        <w:trPr>
          <w:trHeight w:val="320"/>
        </w:trPr>
        <w:tc>
          <w:tcPr>
            <w:tcW w:w="429" w:type="pct"/>
            <w:tcBorders>
              <w:top w:val="nil"/>
              <w:left w:val="nil"/>
              <w:bottom w:val="nil"/>
              <w:right w:val="nil"/>
            </w:tcBorders>
            <w:shd w:val="clear" w:color="000000" w:fill="FFFFFF"/>
            <w:noWrap/>
            <w:vAlign w:val="bottom"/>
            <w:hideMark/>
          </w:tcPr>
          <w:p w14:paraId="1D9B620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6D0DA83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Amygdala </w:t>
            </w:r>
          </w:p>
        </w:tc>
        <w:tc>
          <w:tcPr>
            <w:tcW w:w="429" w:type="pct"/>
            <w:tcBorders>
              <w:top w:val="nil"/>
              <w:left w:val="nil"/>
              <w:bottom w:val="nil"/>
              <w:right w:val="nil"/>
            </w:tcBorders>
            <w:shd w:val="clear" w:color="000000" w:fill="FFFFFF"/>
            <w:noWrap/>
            <w:vAlign w:val="bottom"/>
            <w:hideMark/>
          </w:tcPr>
          <w:p w14:paraId="3FFA82B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874BC5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0168EDC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3176C54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347B3AC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68A4DD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2D981D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3.73</w:t>
            </w:r>
          </w:p>
        </w:tc>
        <w:tc>
          <w:tcPr>
            <w:tcW w:w="429" w:type="pct"/>
            <w:tcBorders>
              <w:top w:val="nil"/>
              <w:left w:val="nil"/>
              <w:bottom w:val="nil"/>
              <w:right w:val="nil"/>
            </w:tcBorders>
            <w:shd w:val="clear" w:color="000000" w:fill="FFFFFF"/>
            <w:noWrap/>
            <w:vAlign w:val="bottom"/>
            <w:hideMark/>
          </w:tcPr>
          <w:p w14:paraId="5D561A7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3.69</w:t>
            </w:r>
          </w:p>
        </w:tc>
      </w:tr>
      <w:tr w:rsidR="00FB78D4" w:rsidRPr="00FB78D4" w14:paraId="65E17AD3" w14:textId="77777777" w:rsidTr="00BB5461">
        <w:trPr>
          <w:trHeight w:val="320"/>
        </w:trPr>
        <w:tc>
          <w:tcPr>
            <w:tcW w:w="429" w:type="pct"/>
            <w:tcBorders>
              <w:top w:val="nil"/>
              <w:left w:val="nil"/>
              <w:bottom w:val="nil"/>
              <w:right w:val="nil"/>
            </w:tcBorders>
            <w:shd w:val="clear" w:color="000000" w:fill="FFFFFF"/>
            <w:noWrap/>
            <w:vAlign w:val="bottom"/>
            <w:hideMark/>
          </w:tcPr>
          <w:p w14:paraId="29FFC0F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39A774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Visual cortex </w:t>
            </w:r>
          </w:p>
        </w:tc>
        <w:tc>
          <w:tcPr>
            <w:tcW w:w="429" w:type="pct"/>
            <w:tcBorders>
              <w:top w:val="nil"/>
              <w:left w:val="nil"/>
              <w:bottom w:val="nil"/>
              <w:right w:val="nil"/>
            </w:tcBorders>
            <w:shd w:val="clear" w:color="000000" w:fill="FFFFFF"/>
            <w:noWrap/>
            <w:vAlign w:val="bottom"/>
            <w:hideMark/>
          </w:tcPr>
          <w:p w14:paraId="67DEDDC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BEFB06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w:t>
            </w:r>
          </w:p>
        </w:tc>
        <w:tc>
          <w:tcPr>
            <w:tcW w:w="429" w:type="pct"/>
            <w:tcBorders>
              <w:top w:val="nil"/>
              <w:left w:val="nil"/>
              <w:bottom w:val="nil"/>
              <w:right w:val="nil"/>
            </w:tcBorders>
            <w:shd w:val="clear" w:color="000000" w:fill="FFFFFF"/>
            <w:noWrap/>
            <w:vAlign w:val="bottom"/>
            <w:hideMark/>
          </w:tcPr>
          <w:p w14:paraId="654E47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-74</w:t>
            </w:r>
          </w:p>
        </w:tc>
        <w:tc>
          <w:tcPr>
            <w:tcW w:w="429" w:type="pct"/>
            <w:tcBorders>
              <w:top w:val="nil"/>
              <w:left w:val="nil"/>
              <w:bottom w:val="nil"/>
              <w:right w:val="nil"/>
            </w:tcBorders>
            <w:shd w:val="clear" w:color="000000" w:fill="FFFFFF"/>
            <w:noWrap/>
            <w:vAlign w:val="bottom"/>
            <w:hideMark/>
          </w:tcPr>
          <w:p w14:paraId="0726CB6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76565FD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AA7E67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255</w:t>
            </w:r>
          </w:p>
        </w:tc>
        <w:tc>
          <w:tcPr>
            <w:tcW w:w="429" w:type="pct"/>
            <w:tcBorders>
              <w:top w:val="nil"/>
              <w:left w:val="nil"/>
              <w:bottom w:val="nil"/>
              <w:right w:val="nil"/>
            </w:tcBorders>
            <w:shd w:val="clear" w:color="000000" w:fill="FFFFFF"/>
            <w:noWrap/>
            <w:vAlign w:val="bottom"/>
            <w:hideMark/>
          </w:tcPr>
          <w:p w14:paraId="46414CF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2.92</w:t>
            </w:r>
          </w:p>
        </w:tc>
        <w:tc>
          <w:tcPr>
            <w:tcW w:w="429" w:type="pct"/>
            <w:tcBorders>
              <w:top w:val="nil"/>
              <w:left w:val="nil"/>
              <w:bottom w:val="nil"/>
              <w:right w:val="nil"/>
            </w:tcBorders>
            <w:shd w:val="clear" w:color="000000" w:fill="FFFFFF"/>
            <w:noWrap/>
            <w:vAlign w:val="bottom"/>
            <w:hideMark/>
          </w:tcPr>
          <w:p w14:paraId="523211C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2.9</w:t>
            </w:r>
          </w:p>
        </w:tc>
      </w:tr>
      <w:tr w:rsidR="00FB78D4" w:rsidRPr="00FB78D4" w14:paraId="34E89601" w14:textId="77777777" w:rsidTr="00BB5461">
        <w:trPr>
          <w:trHeight w:val="320"/>
        </w:trPr>
        <w:tc>
          <w:tcPr>
            <w:tcW w:w="429" w:type="pct"/>
            <w:tcBorders>
              <w:top w:val="nil"/>
              <w:left w:val="nil"/>
              <w:bottom w:val="nil"/>
              <w:right w:val="nil"/>
            </w:tcBorders>
            <w:shd w:val="clear" w:color="000000" w:fill="FFFFFF"/>
            <w:noWrap/>
            <w:vAlign w:val="bottom"/>
            <w:hideMark/>
          </w:tcPr>
          <w:p w14:paraId="1631E7F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39BC2A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861ED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959BFC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531DF19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-72</w:t>
            </w:r>
          </w:p>
        </w:tc>
        <w:tc>
          <w:tcPr>
            <w:tcW w:w="429" w:type="pct"/>
            <w:tcBorders>
              <w:top w:val="nil"/>
              <w:left w:val="nil"/>
              <w:bottom w:val="nil"/>
              <w:right w:val="nil"/>
            </w:tcBorders>
            <w:shd w:val="clear" w:color="000000" w:fill="FFFFFF"/>
            <w:noWrap/>
            <w:vAlign w:val="bottom"/>
            <w:hideMark/>
          </w:tcPr>
          <w:p w14:paraId="3EC9A9E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59872B4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193228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4A034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0FFEB0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765C8A0D" w14:textId="77777777" w:rsidTr="00BB5461">
        <w:trPr>
          <w:trHeight w:val="320"/>
        </w:trPr>
        <w:tc>
          <w:tcPr>
            <w:tcW w:w="429" w:type="pct"/>
            <w:tcBorders>
              <w:top w:val="nil"/>
              <w:left w:val="nil"/>
              <w:bottom w:val="nil"/>
              <w:right w:val="nil"/>
            </w:tcBorders>
            <w:shd w:val="clear" w:color="000000" w:fill="FFFFFF"/>
            <w:noWrap/>
            <w:vAlign w:val="bottom"/>
            <w:hideMark/>
          </w:tcPr>
          <w:p w14:paraId="59CF871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097F732D" w14:textId="77777777" w:rsidR="00FB78D4" w:rsidRPr="00FB78D4" w:rsidRDefault="00FB78D4" w:rsidP="00FB78D4">
            <w:pP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97240B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2F289AB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43C5602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-60</w:t>
            </w:r>
          </w:p>
        </w:tc>
        <w:tc>
          <w:tcPr>
            <w:tcW w:w="429" w:type="pct"/>
            <w:tcBorders>
              <w:top w:val="nil"/>
              <w:left w:val="nil"/>
              <w:bottom w:val="nil"/>
              <w:right w:val="nil"/>
            </w:tcBorders>
            <w:shd w:val="clear" w:color="000000" w:fill="FFFFFF"/>
            <w:noWrap/>
            <w:vAlign w:val="bottom"/>
            <w:hideMark/>
          </w:tcPr>
          <w:p w14:paraId="0605F4E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2D90579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57D45BA"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E8AC71"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62C238C"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w:t>
            </w:r>
          </w:p>
        </w:tc>
      </w:tr>
      <w:tr w:rsidR="00FB78D4" w:rsidRPr="00FB78D4" w14:paraId="4D95D0EE" w14:textId="77777777" w:rsidTr="00BB5461">
        <w:trPr>
          <w:trHeight w:val="320"/>
        </w:trPr>
        <w:tc>
          <w:tcPr>
            <w:tcW w:w="429" w:type="pct"/>
            <w:tcBorders>
              <w:top w:val="nil"/>
              <w:left w:val="nil"/>
              <w:bottom w:val="nil"/>
              <w:right w:val="nil"/>
            </w:tcBorders>
            <w:shd w:val="clear" w:color="000000" w:fill="FFFFFF"/>
            <w:noWrap/>
            <w:vAlign w:val="bottom"/>
            <w:hideMark/>
          </w:tcPr>
          <w:p w14:paraId="5728FD8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A93C23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Hypothalamus</w:t>
            </w:r>
          </w:p>
        </w:tc>
        <w:tc>
          <w:tcPr>
            <w:tcW w:w="429" w:type="pct"/>
            <w:tcBorders>
              <w:top w:val="nil"/>
              <w:left w:val="nil"/>
              <w:bottom w:val="nil"/>
              <w:right w:val="nil"/>
            </w:tcBorders>
            <w:shd w:val="clear" w:color="000000" w:fill="FFFFFF"/>
            <w:noWrap/>
            <w:vAlign w:val="bottom"/>
            <w:hideMark/>
          </w:tcPr>
          <w:p w14:paraId="718DC5F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6EF76D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w:t>
            </w:r>
          </w:p>
        </w:tc>
        <w:tc>
          <w:tcPr>
            <w:tcW w:w="429" w:type="pct"/>
            <w:tcBorders>
              <w:top w:val="nil"/>
              <w:left w:val="nil"/>
              <w:bottom w:val="nil"/>
              <w:right w:val="nil"/>
            </w:tcBorders>
            <w:shd w:val="clear" w:color="000000" w:fill="FFFFFF"/>
            <w:noWrap/>
            <w:vAlign w:val="bottom"/>
            <w:hideMark/>
          </w:tcPr>
          <w:p w14:paraId="0BAF945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69DA8CD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005A20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C8A583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46</w:t>
            </w:r>
          </w:p>
        </w:tc>
        <w:tc>
          <w:tcPr>
            <w:tcW w:w="429" w:type="pct"/>
            <w:tcBorders>
              <w:top w:val="nil"/>
              <w:left w:val="nil"/>
              <w:bottom w:val="nil"/>
              <w:right w:val="nil"/>
            </w:tcBorders>
            <w:shd w:val="clear" w:color="000000" w:fill="FFFFFF"/>
            <w:noWrap/>
            <w:vAlign w:val="bottom"/>
            <w:hideMark/>
          </w:tcPr>
          <w:p w14:paraId="026658D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4.32</w:t>
            </w:r>
          </w:p>
        </w:tc>
        <w:tc>
          <w:tcPr>
            <w:tcW w:w="429" w:type="pct"/>
            <w:tcBorders>
              <w:top w:val="nil"/>
              <w:left w:val="nil"/>
              <w:bottom w:val="nil"/>
              <w:right w:val="nil"/>
            </w:tcBorders>
            <w:shd w:val="clear" w:color="000000" w:fill="FFFFFF"/>
            <w:noWrap/>
            <w:vAlign w:val="bottom"/>
            <w:hideMark/>
          </w:tcPr>
          <w:p w14:paraId="2B6B472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4.27</w:t>
            </w:r>
          </w:p>
        </w:tc>
      </w:tr>
      <w:tr w:rsidR="00FB78D4" w:rsidRPr="00FB78D4" w14:paraId="7009EB2C" w14:textId="77777777" w:rsidTr="00BB5461">
        <w:trPr>
          <w:trHeight w:val="320"/>
        </w:trPr>
        <w:tc>
          <w:tcPr>
            <w:tcW w:w="429" w:type="pct"/>
            <w:tcBorders>
              <w:top w:val="nil"/>
              <w:left w:val="nil"/>
              <w:bottom w:val="nil"/>
              <w:right w:val="nil"/>
            </w:tcBorders>
            <w:shd w:val="clear" w:color="000000" w:fill="FFFFFF"/>
            <w:noWrap/>
            <w:vAlign w:val="bottom"/>
            <w:hideMark/>
          </w:tcPr>
          <w:p w14:paraId="077D0D8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37DEB48"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0B81C2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21D96D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w:t>
            </w:r>
          </w:p>
        </w:tc>
        <w:tc>
          <w:tcPr>
            <w:tcW w:w="429" w:type="pct"/>
            <w:tcBorders>
              <w:top w:val="nil"/>
              <w:left w:val="nil"/>
              <w:bottom w:val="nil"/>
              <w:right w:val="nil"/>
            </w:tcBorders>
            <w:shd w:val="clear" w:color="000000" w:fill="FFFFFF"/>
            <w:noWrap/>
            <w:vAlign w:val="bottom"/>
            <w:hideMark/>
          </w:tcPr>
          <w:p w14:paraId="2431258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0C78867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06CAD9A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0C700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B3365C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3.75</w:t>
            </w:r>
          </w:p>
        </w:tc>
        <w:tc>
          <w:tcPr>
            <w:tcW w:w="429" w:type="pct"/>
            <w:tcBorders>
              <w:top w:val="nil"/>
              <w:left w:val="nil"/>
              <w:bottom w:val="nil"/>
              <w:right w:val="nil"/>
            </w:tcBorders>
            <w:shd w:val="clear" w:color="000000" w:fill="FFFFFF"/>
            <w:noWrap/>
            <w:vAlign w:val="bottom"/>
            <w:hideMark/>
          </w:tcPr>
          <w:p w14:paraId="4DD4994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3.72</w:t>
            </w:r>
          </w:p>
        </w:tc>
      </w:tr>
      <w:tr w:rsidR="00FB78D4" w:rsidRPr="00FB78D4" w14:paraId="2E56AD8F" w14:textId="77777777" w:rsidTr="00BB5461">
        <w:trPr>
          <w:trHeight w:val="320"/>
        </w:trPr>
        <w:tc>
          <w:tcPr>
            <w:tcW w:w="429" w:type="pct"/>
            <w:tcBorders>
              <w:top w:val="nil"/>
              <w:left w:val="nil"/>
              <w:bottom w:val="nil"/>
              <w:right w:val="nil"/>
            </w:tcBorders>
            <w:shd w:val="clear" w:color="000000" w:fill="FFFFFF"/>
            <w:noWrap/>
            <w:vAlign w:val="bottom"/>
            <w:hideMark/>
          </w:tcPr>
          <w:p w14:paraId="478FECC6"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77B301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Superior parietal cortex </w:t>
            </w:r>
          </w:p>
        </w:tc>
        <w:tc>
          <w:tcPr>
            <w:tcW w:w="429" w:type="pct"/>
            <w:tcBorders>
              <w:top w:val="nil"/>
              <w:left w:val="nil"/>
              <w:bottom w:val="nil"/>
              <w:right w:val="nil"/>
            </w:tcBorders>
            <w:shd w:val="clear" w:color="000000" w:fill="FFFFFF"/>
            <w:noWrap/>
            <w:vAlign w:val="bottom"/>
            <w:hideMark/>
          </w:tcPr>
          <w:p w14:paraId="4BF092C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73B038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5E023C5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16D18C3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7FFD76D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9C60EC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73</w:t>
            </w:r>
          </w:p>
        </w:tc>
        <w:tc>
          <w:tcPr>
            <w:tcW w:w="429" w:type="pct"/>
            <w:tcBorders>
              <w:top w:val="nil"/>
              <w:left w:val="nil"/>
              <w:bottom w:val="nil"/>
              <w:right w:val="nil"/>
            </w:tcBorders>
            <w:shd w:val="clear" w:color="000000" w:fill="FFFFFF"/>
            <w:noWrap/>
            <w:vAlign w:val="bottom"/>
            <w:hideMark/>
          </w:tcPr>
          <w:p w14:paraId="7E31799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4.15</w:t>
            </w:r>
          </w:p>
        </w:tc>
        <w:tc>
          <w:tcPr>
            <w:tcW w:w="429" w:type="pct"/>
            <w:tcBorders>
              <w:top w:val="nil"/>
              <w:left w:val="nil"/>
              <w:bottom w:val="nil"/>
              <w:right w:val="nil"/>
            </w:tcBorders>
            <w:shd w:val="clear" w:color="000000" w:fill="FFFFFF"/>
            <w:noWrap/>
            <w:vAlign w:val="bottom"/>
            <w:hideMark/>
          </w:tcPr>
          <w:p w14:paraId="4B12E1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4.11</w:t>
            </w:r>
          </w:p>
        </w:tc>
      </w:tr>
      <w:tr w:rsidR="00FB78D4" w:rsidRPr="00FB78D4" w14:paraId="47049987" w14:textId="77777777" w:rsidTr="00BB5461">
        <w:trPr>
          <w:trHeight w:val="320"/>
        </w:trPr>
        <w:tc>
          <w:tcPr>
            <w:tcW w:w="429" w:type="pct"/>
            <w:tcBorders>
              <w:top w:val="nil"/>
              <w:left w:val="nil"/>
              <w:bottom w:val="nil"/>
              <w:right w:val="nil"/>
            </w:tcBorders>
            <w:shd w:val="clear" w:color="000000" w:fill="FFFFFF"/>
            <w:noWrap/>
            <w:vAlign w:val="bottom"/>
            <w:hideMark/>
          </w:tcPr>
          <w:p w14:paraId="4E4D11BA"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DADF10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505497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6DFB6C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4F74407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39D91FD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64</w:t>
            </w:r>
          </w:p>
        </w:tc>
        <w:tc>
          <w:tcPr>
            <w:tcW w:w="429" w:type="pct"/>
            <w:tcBorders>
              <w:top w:val="nil"/>
              <w:left w:val="nil"/>
              <w:bottom w:val="nil"/>
              <w:right w:val="nil"/>
            </w:tcBorders>
            <w:shd w:val="clear" w:color="000000" w:fill="FFFFFF"/>
            <w:noWrap/>
            <w:vAlign w:val="bottom"/>
            <w:hideMark/>
          </w:tcPr>
          <w:p w14:paraId="59A67CE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3136E6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B80661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3.98</w:t>
            </w:r>
          </w:p>
        </w:tc>
        <w:tc>
          <w:tcPr>
            <w:tcW w:w="429" w:type="pct"/>
            <w:tcBorders>
              <w:top w:val="nil"/>
              <w:left w:val="nil"/>
              <w:bottom w:val="nil"/>
              <w:right w:val="nil"/>
            </w:tcBorders>
            <w:shd w:val="clear" w:color="000000" w:fill="FFFFFF"/>
            <w:noWrap/>
            <w:vAlign w:val="bottom"/>
            <w:hideMark/>
          </w:tcPr>
          <w:p w14:paraId="07D9BBC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3.94</w:t>
            </w:r>
          </w:p>
        </w:tc>
      </w:tr>
      <w:tr w:rsidR="00FB78D4" w:rsidRPr="00FB78D4" w14:paraId="0EC60386" w14:textId="77777777" w:rsidTr="00BB5461">
        <w:trPr>
          <w:trHeight w:val="320"/>
        </w:trPr>
        <w:tc>
          <w:tcPr>
            <w:tcW w:w="429" w:type="pct"/>
            <w:tcBorders>
              <w:top w:val="nil"/>
              <w:left w:val="nil"/>
              <w:bottom w:val="nil"/>
              <w:right w:val="nil"/>
            </w:tcBorders>
            <w:shd w:val="clear" w:color="000000" w:fill="FFFFFF"/>
            <w:noWrap/>
            <w:vAlign w:val="bottom"/>
            <w:hideMark/>
          </w:tcPr>
          <w:p w14:paraId="1682B5A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2F7F607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Ventromedial prefrontal cortex </w:t>
            </w:r>
          </w:p>
        </w:tc>
        <w:tc>
          <w:tcPr>
            <w:tcW w:w="429" w:type="pct"/>
            <w:tcBorders>
              <w:top w:val="nil"/>
              <w:left w:val="nil"/>
              <w:bottom w:val="nil"/>
              <w:right w:val="nil"/>
            </w:tcBorders>
            <w:shd w:val="clear" w:color="000000" w:fill="FFFFFF"/>
            <w:noWrap/>
            <w:vAlign w:val="bottom"/>
            <w:hideMark/>
          </w:tcPr>
          <w:p w14:paraId="44A4BA2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E864CD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013F032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bottom"/>
            <w:hideMark/>
          </w:tcPr>
          <w:p w14:paraId="69683B8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center"/>
            <w:hideMark/>
          </w:tcPr>
          <w:p w14:paraId="5EC1179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0B1F35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187</w:t>
            </w:r>
          </w:p>
        </w:tc>
        <w:tc>
          <w:tcPr>
            <w:tcW w:w="429" w:type="pct"/>
            <w:tcBorders>
              <w:top w:val="nil"/>
              <w:left w:val="nil"/>
              <w:bottom w:val="nil"/>
              <w:right w:val="nil"/>
            </w:tcBorders>
            <w:shd w:val="clear" w:color="000000" w:fill="FFFFFF"/>
            <w:noWrap/>
            <w:vAlign w:val="center"/>
            <w:hideMark/>
          </w:tcPr>
          <w:p w14:paraId="35D1060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4.04</w:t>
            </w:r>
          </w:p>
        </w:tc>
        <w:tc>
          <w:tcPr>
            <w:tcW w:w="429" w:type="pct"/>
            <w:tcBorders>
              <w:top w:val="nil"/>
              <w:left w:val="nil"/>
              <w:bottom w:val="nil"/>
              <w:right w:val="nil"/>
            </w:tcBorders>
            <w:shd w:val="clear" w:color="000000" w:fill="FFFFFF"/>
            <w:noWrap/>
            <w:vAlign w:val="center"/>
            <w:hideMark/>
          </w:tcPr>
          <w:p w14:paraId="2EE127F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r>
      <w:tr w:rsidR="00FB78D4" w:rsidRPr="00FB78D4" w14:paraId="41771917" w14:textId="77777777" w:rsidTr="00BB5461">
        <w:trPr>
          <w:trHeight w:val="320"/>
        </w:trPr>
        <w:tc>
          <w:tcPr>
            <w:tcW w:w="429" w:type="pct"/>
            <w:tcBorders>
              <w:top w:val="nil"/>
              <w:left w:val="nil"/>
              <w:bottom w:val="nil"/>
              <w:right w:val="nil"/>
            </w:tcBorders>
            <w:shd w:val="clear" w:color="000000" w:fill="FFFFFF"/>
            <w:noWrap/>
            <w:vAlign w:val="bottom"/>
            <w:hideMark/>
          </w:tcPr>
          <w:p w14:paraId="5D81DD4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A12F66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484F40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1B92025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4B6F8E2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52</w:t>
            </w:r>
          </w:p>
        </w:tc>
        <w:tc>
          <w:tcPr>
            <w:tcW w:w="429" w:type="pct"/>
            <w:tcBorders>
              <w:top w:val="nil"/>
              <w:left w:val="nil"/>
              <w:bottom w:val="nil"/>
              <w:right w:val="nil"/>
            </w:tcBorders>
            <w:shd w:val="clear" w:color="000000" w:fill="FFFFFF"/>
            <w:noWrap/>
            <w:vAlign w:val="bottom"/>
            <w:hideMark/>
          </w:tcPr>
          <w:p w14:paraId="11AC646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center"/>
            <w:hideMark/>
          </w:tcPr>
          <w:p w14:paraId="1D938F4B"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0ECF09C"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5CD76BA2"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3.58</w:t>
            </w:r>
          </w:p>
        </w:tc>
        <w:tc>
          <w:tcPr>
            <w:tcW w:w="429" w:type="pct"/>
            <w:tcBorders>
              <w:top w:val="nil"/>
              <w:left w:val="nil"/>
              <w:bottom w:val="nil"/>
              <w:right w:val="nil"/>
            </w:tcBorders>
            <w:shd w:val="clear" w:color="000000" w:fill="FFFFFF"/>
            <w:noWrap/>
            <w:vAlign w:val="center"/>
            <w:hideMark/>
          </w:tcPr>
          <w:p w14:paraId="4F491352"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3.55</w:t>
            </w:r>
          </w:p>
        </w:tc>
      </w:tr>
      <w:tr w:rsidR="00FB78D4" w:rsidRPr="00FB78D4" w14:paraId="67CBCDDA" w14:textId="77777777" w:rsidTr="00BB5461">
        <w:trPr>
          <w:trHeight w:val="406"/>
        </w:trPr>
        <w:tc>
          <w:tcPr>
            <w:tcW w:w="429" w:type="pct"/>
            <w:tcBorders>
              <w:top w:val="nil"/>
              <w:left w:val="nil"/>
              <w:bottom w:val="nil"/>
              <w:right w:val="nil"/>
            </w:tcBorders>
            <w:shd w:val="clear" w:color="000000" w:fill="FFFFFF"/>
            <w:noWrap/>
            <w:vAlign w:val="bottom"/>
            <w:hideMark/>
          </w:tcPr>
          <w:p w14:paraId="110A5B34"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559972E"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909AFE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33AD215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13E579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bottom"/>
            <w:hideMark/>
          </w:tcPr>
          <w:p w14:paraId="655FBFC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center"/>
            <w:hideMark/>
          </w:tcPr>
          <w:p w14:paraId="254D19C6"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19E28AA9"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2EE450C"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3.32</w:t>
            </w:r>
          </w:p>
        </w:tc>
        <w:tc>
          <w:tcPr>
            <w:tcW w:w="429" w:type="pct"/>
            <w:tcBorders>
              <w:top w:val="nil"/>
              <w:left w:val="nil"/>
              <w:bottom w:val="nil"/>
              <w:right w:val="nil"/>
            </w:tcBorders>
            <w:shd w:val="clear" w:color="000000" w:fill="FFFFFF"/>
            <w:noWrap/>
            <w:vAlign w:val="center"/>
            <w:hideMark/>
          </w:tcPr>
          <w:p w14:paraId="29DB940F"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3.29</w:t>
            </w:r>
          </w:p>
        </w:tc>
      </w:tr>
      <w:tr w:rsidR="00FB78D4" w:rsidRPr="00FB78D4" w14:paraId="02B2D4B1" w14:textId="77777777" w:rsidTr="00BB5461">
        <w:trPr>
          <w:trHeight w:val="320"/>
        </w:trPr>
        <w:tc>
          <w:tcPr>
            <w:tcW w:w="429" w:type="pct"/>
            <w:tcBorders>
              <w:top w:val="nil"/>
              <w:left w:val="nil"/>
              <w:bottom w:val="nil"/>
              <w:right w:val="nil"/>
            </w:tcBorders>
            <w:shd w:val="clear" w:color="000000" w:fill="FFFFFF"/>
            <w:noWrap/>
            <w:vAlign w:val="bottom"/>
            <w:hideMark/>
          </w:tcPr>
          <w:p w14:paraId="10A50C3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26D1B88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Inferior parietal cortex </w:t>
            </w:r>
          </w:p>
        </w:tc>
        <w:tc>
          <w:tcPr>
            <w:tcW w:w="429" w:type="pct"/>
            <w:tcBorders>
              <w:top w:val="nil"/>
              <w:left w:val="nil"/>
              <w:bottom w:val="nil"/>
              <w:right w:val="nil"/>
            </w:tcBorders>
            <w:shd w:val="clear" w:color="000000" w:fill="FFFFFF"/>
            <w:noWrap/>
            <w:vAlign w:val="bottom"/>
            <w:hideMark/>
          </w:tcPr>
          <w:p w14:paraId="569FD44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4C9F701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46</w:t>
            </w:r>
          </w:p>
        </w:tc>
        <w:tc>
          <w:tcPr>
            <w:tcW w:w="429" w:type="pct"/>
            <w:tcBorders>
              <w:top w:val="nil"/>
              <w:left w:val="nil"/>
              <w:bottom w:val="nil"/>
              <w:right w:val="nil"/>
            </w:tcBorders>
            <w:shd w:val="clear" w:color="000000" w:fill="FFFFFF"/>
            <w:noWrap/>
            <w:vAlign w:val="bottom"/>
            <w:hideMark/>
          </w:tcPr>
          <w:p w14:paraId="1B9C53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574724A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center"/>
            <w:hideMark/>
          </w:tcPr>
          <w:p w14:paraId="5F560451"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F0759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307</w:t>
            </w:r>
          </w:p>
        </w:tc>
        <w:tc>
          <w:tcPr>
            <w:tcW w:w="429" w:type="pct"/>
            <w:tcBorders>
              <w:top w:val="nil"/>
              <w:left w:val="nil"/>
              <w:bottom w:val="nil"/>
              <w:right w:val="nil"/>
            </w:tcBorders>
            <w:shd w:val="clear" w:color="000000" w:fill="FFFFFF"/>
            <w:noWrap/>
            <w:vAlign w:val="bottom"/>
            <w:hideMark/>
          </w:tcPr>
          <w:p w14:paraId="00DCC7E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4.03</w:t>
            </w:r>
          </w:p>
        </w:tc>
        <w:tc>
          <w:tcPr>
            <w:tcW w:w="429" w:type="pct"/>
            <w:tcBorders>
              <w:top w:val="nil"/>
              <w:left w:val="nil"/>
              <w:bottom w:val="nil"/>
              <w:right w:val="nil"/>
            </w:tcBorders>
            <w:shd w:val="clear" w:color="000000" w:fill="FFFFFF"/>
            <w:noWrap/>
            <w:vAlign w:val="bottom"/>
            <w:hideMark/>
          </w:tcPr>
          <w:p w14:paraId="30ECACE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3.99</w:t>
            </w:r>
          </w:p>
        </w:tc>
      </w:tr>
      <w:tr w:rsidR="00FB78D4" w:rsidRPr="00FB78D4" w14:paraId="2D0E1E73" w14:textId="77777777" w:rsidTr="00BB5461">
        <w:trPr>
          <w:trHeight w:val="320"/>
        </w:trPr>
        <w:tc>
          <w:tcPr>
            <w:tcW w:w="429" w:type="pct"/>
            <w:tcBorders>
              <w:top w:val="nil"/>
              <w:left w:val="nil"/>
              <w:bottom w:val="nil"/>
              <w:right w:val="nil"/>
            </w:tcBorders>
            <w:shd w:val="clear" w:color="000000" w:fill="FFFFFF"/>
            <w:noWrap/>
            <w:vAlign w:val="bottom"/>
            <w:hideMark/>
          </w:tcPr>
          <w:p w14:paraId="21962D6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958B93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BC6AF0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1034EC7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5960F99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7853AD3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center"/>
            <w:hideMark/>
          </w:tcPr>
          <w:p w14:paraId="3D29A40C"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8744B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D62F61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3.69</w:t>
            </w:r>
          </w:p>
        </w:tc>
        <w:tc>
          <w:tcPr>
            <w:tcW w:w="429" w:type="pct"/>
            <w:tcBorders>
              <w:top w:val="nil"/>
              <w:left w:val="nil"/>
              <w:bottom w:val="nil"/>
              <w:right w:val="nil"/>
            </w:tcBorders>
            <w:shd w:val="clear" w:color="000000" w:fill="FFFFFF"/>
            <w:noWrap/>
            <w:vAlign w:val="bottom"/>
            <w:hideMark/>
          </w:tcPr>
          <w:p w14:paraId="1887CE9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3.66</w:t>
            </w:r>
          </w:p>
        </w:tc>
      </w:tr>
      <w:tr w:rsidR="00FB78D4" w:rsidRPr="00FB78D4" w14:paraId="596A0B89" w14:textId="77777777" w:rsidTr="00BB5461">
        <w:trPr>
          <w:trHeight w:val="320"/>
        </w:trPr>
        <w:tc>
          <w:tcPr>
            <w:tcW w:w="429" w:type="pct"/>
            <w:tcBorders>
              <w:top w:val="nil"/>
              <w:left w:val="nil"/>
              <w:bottom w:val="nil"/>
              <w:right w:val="nil"/>
            </w:tcBorders>
            <w:shd w:val="clear" w:color="000000" w:fill="FFFFFF"/>
            <w:noWrap/>
            <w:vAlign w:val="bottom"/>
            <w:hideMark/>
          </w:tcPr>
          <w:p w14:paraId="11B2EB3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7F62A6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C52BD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C30F94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w:t>
            </w:r>
          </w:p>
        </w:tc>
        <w:tc>
          <w:tcPr>
            <w:tcW w:w="429" w:type="pct"/>
            <w:tcBorders>
              <w:top w:val="nil"/>
              <w:left w:val="nil"/>
              <w:bottom w:val="nil"/>
              <w:right w:val="nil"/>
            </w:tcBorders>
            <w:shd w:val="clear" w:color="000000" w:fill="FFFFFF"/>
            <w:noWrap/>
            <w:vAlign w:val="bottom"/>
            <w:hideMark/>
          </w:tcPr>
          <w:p w14:paraId="7DD80EE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64BFB1C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center"/>
            <w:hideMark/>
          </w:tcPr>
          <w:p w14:paraId="291398ED"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FDE851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6A426F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3.95</w:t>
            </w:r>
          </w:p>
        </w:tc>
        <w:tc>
          <w:tcPr>
            <w:tcW w:w="429" w:type="pct"/>
            <w:tcBorders>
              <w:top w:val="nil"/>
              <w:left w:val="nil"/>
              <w:bottom w:val="nil"/>
              <w:right w:val="nil"/>
            </w:tcBorders>
            <w:shd w:val="clear" w:color="000000" w:fill="FFFFFF"/>
            <w:noWrap/>
            <w:vAlign w:val="bottom"/>
            <w:hideMark/>
          </w:tcPr>
          <w:p w14:paraId="227764F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3.91</w:t>
            </w:r>
          </w:p>
        </w:tc>
      </w:tr>
      <w:tr w:rsidR="00FB78D4" w:rsidRPr="00FB78D4" w14:paraId="54EA3E4B" w14:textId="77777777" w:rsidTr="00BB5461">
        <w:trPr>
          <w:trHeight w:val="320"/>
        </w:trPr>
        <w:tc>
          <w:tcPr>
            <w:tcW w:w="429" w:type="pct"/>
            <w:tcBorders>
              <w:top w:val="nil"/>
              <w:left w:val="nil"/>
              <w:bottom w:val="nil"/>
              <w:right w:val="nil"/>
            </w:tcBorders>
            <w:shd w:val="clear" w:color="000000" w:fill="FFFFFF"/>
            <w:noWrap/>
            <w:vAlign w:val="bottom"/>
            <w:hideMark/>
          </w:tcPr>
          <w:p w14:paraId="5449678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F148673"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Somatosensory cortex</w:t>
            </w:r>
          </w:p>
        </w:tc>
        <w:tc>
          <w:tcPr>
            <w:tcW w:w="429" w:type="pct"/>
            <w:tcBorders>
              <w:top w:val="nil"/>
              <w:left w:val="nil"/>
              <w:bottom w:val="nil"/>
              <w:right w:val="nil"/>
            </w:tcBorders>
            <w:shd w:val="clear" w:color="000000" w:fill="FFFFFF"/>
            <w:noWrap/>
            <w:vAlign w:val="bottom"/>
            <w:hideMark/>
          </w:tcPr>
          <w:p w14:paraId="7176A14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F16D14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5968580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130500E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20</w:t>
            </w:r>
          </w:p>
        </w:tc>
        <w:tc>
          <w:tcPr>
            <w:tcW w:w="429" w:type="pct"/>
            <w:tcBorders>
              <w:top w:val="nil"/>
              <w:left w:val="nil"/>
              <w:bottom w:val="nil"/>
              <w:right w:val="nil"/>
            </w:tcBorders>
            <w:shd w:val="clear" w:color="000000" w:fill="FFFFFF"/>
            <w:noWrap/>
            <w:vAlign w:val="center"/>
            <w:hideMark/>
          </w:tcPr>
          <w:p w14:paraId="4200259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AADCD0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70</w:t>
            </w:r>
          </w:p>
        </w:tc>
        <w:tc>
          <w:tcPr>
            <w:tcW w:w="429" w:type="pct"/>
            <w:tcBorders>
              <w:top w:val="nil"/>
              <w:left w:val="nil"/>
              <w:bottom w:val="nil"/>
              <w:right w:val="nil"/>
            </w:tcBorders>
            <w:shd w:val="clear" w:color="000000" w:fill="FFFFFF"/>
            <w:noWrap/>
            <w:vAlign w:val="bottom"/>
            <w:hideMark/>
          </w:tcPr>
          <w:p w14:paraId="189F0C2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3.17</w:t>
            </w:r>
          </w:p>
        </w:tc>
        <w:tc>
          <w:tcPr>
            <w:tcW w:w="429" w:type="pct"/>
            <w:tcBorders>
              <w:top w:val="nil"/>
              <w:left w:val="nil"/>
              <w:bottom w:val="nil"/>
              <w:right w:val="nil"/>
            </w:tcBorders>
            <w:shd w:val="clear" w:color="000000" w:fill="FFFFFF"/>
            <w:noWrap/>
            <w:vAlign w:val="bottom"/>
            <w:hideMark/>
          </w:tcPr>
          <w:p w14:paraId="28A173F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3.14</w:t>
            </w:r>
          </w:p>
        </w:tc>
      </w:tr>
      <w:tr w:rsidR="00FB78D4" w:rsidRPr="00FB78D4" w14:paraId="756E7C61" w14:textId="77777777" w:rsidTr="00BB5461">
        <w:trPr>
          <w:trHeight w:val="320"/>
        </w:trPr>
        <w:tc>
          <w:tcPr>
            <w:tcW w:w="429" w:type="pct"/>
            <w:tcBorders>
              <w:top w:val="nil"/>
              <w:left w:val="nil"/>
              <w:bottom w:val="nil"/>
              <w:right w:val="nil"/>
            </w:tcBorders>
            <w:shd w:val="clear" w:color="000000" w:fill="FFFFFF"/>
            <w:noWrap/>
            <w:vAlign w:val="bottom"/>
            <w:hideMark/>
          </w:tcPr>
          <w:p w14:paraId="3964973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630AF0C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5C2DDA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FBF0D3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bottom"/>
            <w:hideMark/>
          </w:tcPr>
          <w:p w14:paraId="2F6AC8E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2EA927A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w:t>
            </w:r>
          </w:p>
        </w:tc>
        <w:tc>
          <w:tcPr>
            <w:tcW w:w="429" w:type="pct"/>
            <w:tcBorders>
              <w:top w:val="nil"/>
              <w:left w:val="nil"/>
              <w:bottom w:val="nil"/>
              <w:right w:val="nil"/>
            </w:tcBorders>
            <w:shd w:val="clear" w:color="000000" w:fill="FFFFFF"/>
            <w:noWrap/>
            <w:vAlign w:val="center"/>
            <w:hideMark/>
          </w:tcPr>
          <w:p w14:paraId="2A63B359"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DE42A3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5341B0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3.87</w:t>
            </w:r>
          </w:p>
        </w:tc>
        <w:tc>
          <w:tcPr>
            <w:tcW w:w="429" w:type="pct"/>
            <w:tcBorders>
              <w:top w:val="nil"/>
              <w:left w:val="nil"/>
              <w:bottom w:val="nil"/>
              <w:right w:val="nil"/>
            </w:tcBorders>
            <w:shd w:val="clear" w:color="000000" w:fill="FFFFFF"/>
            <w:noWrap/>
            <w:vAlign w:val="bottom"/>
            <w:hideMark/>
          </w:tcPr>
          <w:p w14:paraId="7AFDCB5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3.83</w:t>
            </w:r>
          </w:p>
        </w:tc>
      </w:tr>
      <w:tr w:rsidR="00FB78D4" w:rsidRPr="00FB78D4" w14:paraId="154CD608" w14:textId="77777777" w:rsidTr="00BB5461">
        <w:trPr>
          <w:trHeight w:val="320"/>
        </w:trPr>
        <w:tc>
          <w:tcPr>
            <w:tcW w:w="429" w:type="pct"/>
            <w:tcBorders>
              <w:top w:val="nil"/>
              <w:left w:val="nil"/>
              <w:bottom w:val="nil"/>
              <w:right w:val="nil"/>
            </w:tcBorders>
            <w:shd w:val="clear" w:color="000000" w:fill="FFFFFF"/>
            <w:noWrap/>
            <w:vAlign w:val="bottom"/>
            <w:hideMark/>
          </w:tcPr>
          <w:p w14:paraId="2AA682D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0F701D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Visual cortex </w:t>
            </w:r>
          </w:p>
        </w:tc>
        <w:tc>
          <w:tcPr>
            <w:tcW w:w="429" w:type="pct"/>
            <w:tcBorders>
              <w:top w:val="nil"/>
              <w:left w:val="nil"/>
              <w:bottom w:val="nil"/>
              <w:right w:val="nil"/>
            </w:tcBorders>
            <w:shd w:val="clear" w:color="000000" w:fill="FFFFFF"/>
            <w:noWrap/>
            <w:vAlign w:val="bottom"/>
            <w:hideMark/>
          </w:tcPr>
          <w:p w14:paraId="2F0F9A9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4AA266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bottom"/>
            <w:hideMark/>
          </w:tcPr>
          <w:p w14:paraId="0E9073A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-72</w:t>
            </w:r>
          </w:p>
        </w:tc>
        <w:tc>
          <w:tcPr>
            <w:tcW w:w="429" w:type="pct"/>
            <w:tcBorders>
              <w:top w:val="nil"/>
              <w:left w:val="nil"/>
              <w:bottom w:val="nil"/>
              <w:right w:val="nil"/>
            </w:tcBorders>
            <w:shd w:val="clear" w:color="000000" w:fill="FFFFFF"/>
            <w:noWrap/>
            <w:vAlign w:val="bottom"/>
            <w:hideMark/>
          </w:tcPr>
          <w:p w14:paraId="56B1513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center"/>
            <w:hideMark/>
          </w:tcPr>
          <w:p w14:paraId="6B848CE1"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71D89E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w:t>
            </w:r>
          </w:p>
        </w:tc>
        <w:tc>
          <w:tcPr>
            <w:tcW w:w="429" w:type="pct"/>
            <w:tcBorders>
              <w:top w:val="nil"/>
              <w:left w:val="nil"/>
              <w:bottom w:val="nil"/>
              <w:right w:val="nil"/>
            </w:tcBorders>
            <w:shd w:val="clear" w:color="000000" w:fill="FFFFFF"/>
            <w:noWrap/>
            <w:vAlign w:val="bottom"/>
            <w:hideMark/>
          </w:tcPr>
          <w:p w14:paraId="234027A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3.76</w:t>
            </w:r>
          </w:p>
        </w:tc>
        <w:tc>
          <w:tcPr>
            <w:tcW w:w="429" w:type="pct"/>
            <w:tcBorders>
              <w:top w:val="nil"/>
              <w:left w:val="nil"/>
              <w:bottom w:val="nil"/>
              <w:right w:val="nil"/>
            </w:tcBorders>
            <w:shd w:val="clear" w:color="000000" w:fill="FFFFFF"/>
            <w:noWrap/>
            <w:vAlign w:val="bottom"/>
            <w:hideMark/>
          </w:tcPr>
          <w:p w14:paraId="6F3D149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3.73</w:t>
            </w:r>
          </w:p>
        </w:tc>
      </w:tr>
      <w:tr w:rsidR="00FB78D4" w:rsidRPr="00FB78D4" w14:paraId="7C3500DB" w14:textId="77777777" w:rsidTr="00BB5461">
        <w:trPr>
          <w:trHeight w:val="320"/>
        </w:trPr>
        <w:tc>
          <w:tcPr>
            <w:tcW w:w="429" w:type="pct"/>
            <w:tcBorders>
              <w:top w:val="nil"/>
              <w:left w:val="nil"/>
              <w:bottom w:val="nil"/>
              <w:right w:val="nil"/>
            </w:tcBorders>
            <w:shd w:val="clear" w:color="000000" w:fill="FFFFFF"/>
            <w:noWrap/>
            <w:vAlign w:val="bottom"/>
            <w:hideMark/>
          </w:tcPr>
          <w:p w14:paraId="3FBBA24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C4D98E6"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Amygdala ext. Hippocampus </w:t>
            </w:r>
          </w:p>
        </w:tc>
        <w:tc>
          <w:tcPr>
            <w:tcW w:w="429" w:type="pct"/>
            <w:tcBorders>
              <w:top w:val="nil"/>
              <w:left w:val="nil"/>
              <w:bottom w:val="nil"/>
              <w:right w:val="nil"/>
            </w:tcBorders>
            <w:shd w:val="clear" w:color="000000" w:fill="FFFFFF"/>
            <w:noWrap/>
            <w:vAlign w:val="bottom"/>
            <w:hideMark/>
          </w:tcPr>
          <w:p w14:paraId="67EF62E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5B13B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5B51625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5C37CA5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center"/>
            <w:hideMark/>
          </w:tcPr>
          <w:p w14:paraId="635AB17D"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957FD9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104</w:t>
            </w:r>
          </w:p>
        </w:tc>
        <w:tc>
          <w:tcPr>
            <w:tcW w:w="429" w:type="pct"/>
            <w:tcBorders>
              <w:top w:val="nil"/>
              <w:left w:val="nil"/>
              <w:bottom w:val="nil"/>
              <w:right w:val="nil"/>
            </w:tcBorders>
            <w:shd w:val="clear" w:color="000000" w:fill="FFFFFF"/>
            <w:noWrap/>
            <w:vAlign w:val="bottom"/>
            <w:hideMark/>
          </w:tcPr>
          <w:p w14:paraId="2FA8B3B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3.61</w:t>
            </w:r>
          </w:p>
        </w:tc>
        <w:tc>
          <w:tcPr>
            <w:tcW w:w="429" w:type="pct"/>
            <w:tcBorders>
              <w:top w:val="nil"/>
              <w:left w:val="nil"/>
              <w:bottom w:val="nil"/>
              <w:right w:val="nil"/>
            </w:tcBorders>
            <w:shd w:val="clear" w:color="000000" w:fill="FFFFFF"/>
            <w:noWrap/>
            <w:vAlign w:val="bottom"/>
            <w:hideMark/>
          </w:tcPr>
          <w:p w14:paraId="76036B3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3.58</w:t>
            </w:r>
          </w:p>
        </w:tc>
      </w:tr>
      <w:tr w:rsidR="00FB78D4" w:rsidRPr="00FB78D4" w14:paraId="315D7576" w14:textId="77777777" w:rsidTr="00BB5461">
        <w:trPr>
          <w:trHeight w:val="320"/>
        </w:trPr>
        <w:tc>
          <w:tcPr>
            <w:tcW w:w="429" w:type="pct"/>
            <w:tcBorders>
              <w:top w:val="nil"/>
              <w:left w:val="nil"/>
              <w:bottom w:val="nil"/>
              <w:right w:val="nil"/>
            </w:tcBorders>
            <w:shd w:val="clear" w:color="000000" w:fill="FFFFFF"/>
            <w:noWrap/>
            <w:vAlign w:val="bottom"/>
            <w:hideMark/>
          </w:tcPr>
          <w:p w14:paraId="186ED6B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6F2FAF0C"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35B62A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33E3C3A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43D6DA7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248771B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center"/>
            <w:hideMark/>
          </w:tcPr>
          <w:p w14:paraId="7B22C163"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F61E47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98723B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3.74</w:t>
            </w:r>
          </w:p>
        </w:tc>
        <w:tc>
          <w:tcPr>
            <w:tcW w:w="429" w:type="pct"/>
            <w:tcBorders>
              <w:top w:val="nil"/>
              <w:left w:val="nil"/>
              <w:bottom w:val="nil"/>
              <w:right w:val="nil"/>
            </w:tcBorders>
            <w:shd w:val="clear" w:color="000000" w:fill="FFFFFF"/>
            <w:noWrap/>
            <w:vAlign w:val="bottom"/>
            <w:hideMark/>
          </w:tcPr>
          <w:p w14:paraId="0072060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3.71</w:t>
            </w:r>
          </w:p>
        </w:tc>
      </w:tr>
      <w:tr w:rsidR="00FB78D4" w:rsidRPr="00FB78D4" w14:paraId="40D899AA" w14:textId="77777777" w:rsidTr="00BB5461">
        <w:trPr>
          <w:trHeight w:val="320"/>
        </w:trPr>
        <w:tc>
          <w:tcPr>
            <w:tcW w:w="429" w:type="pct"/>
            <w:tcBorders>
              <w:top w:val="nil"/>
              <w:left w:val="nil"/>
              <w:bottom w:val="nil"/>
              <w:right w:val="nil"/>
            </w:tcBorders>
            <w:shd w:val="clear" w:color="000000" w:fill="FFFFFF"/>
            <w:noWrap/>
            <w:vAlign w:val="bottom"/>
            <w:hideMark/>
          </w:tcPr>
          <w:p w14:paraId="696FF79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0779A13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Superior parietal cortex </w:t>
            </w:r>
          </w:p>
        </w:tc>
        <w:tc>
          <w:tcPr>
            <w:tcW w:w="429" w:type="pct"/>
            <w:tcBorders>
              <w:top w:val="nil"/>
              <w:left w:val="nil"/>
              <w:bottom w:val="nil"/>
              <w:right w:val="nil"/>
            </w:tcBorders>
            <w:shd w:val="clear" w:color="000000" w:fill="FFFFFF"/>
            <w:noWrap/>
            <w:vAlign w:val="bottom"/>
            <w:hideMark/>
          </w:tcPr>
          <w:p w14:paraId="602AEF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A35115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w:t>
            </w:r>
          </w:p>
        </w:tc>
        <w:tc>
          <w:tcPr>
            <w:tcW w:w="429" w:type="pct"/>
            <w:tcBorders>
              <w:top w:val="nil"/>
              <w:left w:val="nil"/>
              <w:bottom w:val="nil"/>
              <w:right w:val="nil"/>
            </w:tcBorders>
            <w:shd w:val="clear" w:color="000000" w:fill="FFFFFF"/>
            <w:noWrap/>
            <w:vAlign w:val="bottom"/>
            <w:hideMark/>
          </w:tcPr>
          <w:p w14:paraId="10E7595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165B994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center"/>
            <w:hideMark/>
          </w:tcPr>
          <w:p w14:paraId="531317F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8C731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75</w:t>
            </w:r>
          </w:p>
        </w:tc>
        <w:tc>
          <w:tcPr>
            <w:tcW w:w="429" w:type="pct"/>
            <w:tcBorders>
              <w:top w:val="nil"/>
              <w:left w:val="nil"/>
              <w:bottom w:val="nil"/>
              <w:right w:val="nil"/>
            </w:tcBorders>
            <w:shd w:val="clear" w:color="000000" w:fill="FFFFFF"/>
            <w:noWrap/>
            <w:vAlign w:val="bottom"/>
            <w:hideMark/>
          </w:tcPr>
          <w:p w14:paraId="0D292BC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3.73</w:t>
            </w:r>
          </w:p>
        </w:tc>
        <w:tc>
          <w:tcPr>
            <w:tcW w:w="429" w:type="pct"/>
            <w:tcBorders>
              <w:top w:val="nil"/>
              <w:left w:val="nil"/>
              <w:bottom w:val="nil"/>
              <w:right w:val="nil"/>
            </w:tcBorders>
            <w:shd w:val="clear" w:color="000000" w:fill="FFFFFF"/>
            <w:noWrap/>
            <w:vAlign w:val="bottom"/>
            <w:hideMark/>
          </w:tcPr>
          <w:p w14:paraId="7F82328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3.69</w:t>
            </w:r>
          </w:p>
        </w:tc>
      </w:tr>
      <w:tr w:rsidR="00FB78D4" w:rsidRPr="00FB78D4" w14:paraId="1DBE7953" w14:textId="77777777" w:rsidTr="00BB5461">
        <w:trPr>
          <w:trHeight w:val="320"/>
        </w:trPr>
        <w:tc>
          <w:tcPr>
            <w:tcW w:w="429" w:type="pct"/>
            <w:tcBorders>
              <w:top w:val="nil"/>
              <w:left w:val="nil"/>
              <w:bottom w:val="nil"/>
              <w:right w:val="nil"/>
            </w:tcBorders>
            <w:shd w:val="clear" w:color="000000" w:fill="FFFFFF"/>
            <w:noWrap/>
            <w:vAlign w:val="bottom"/>
            <w:hideMark/>
          </w:tcPr>
          <w:p w14:paraId="508BF31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23F97526"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4100AB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6772AF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bottom"/>
            <w:hideMark/>
          </w:tcPr>
          <w:p w14:paraId="04B88A4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369D3D8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center"/>
            <w:hideMark/>
          </w:tcPr>
          <w:p w14:paraId="494F24D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C440A3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47D05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3.66</w:t>
            </w:r>
          </w:p>
        </w:tc>
        <w:tc>
          <w:tcPr>
            <w:tcW w:w="429" w:type="pct"/>
            <w:tcBorders>
              <w:top w:val="nil"/>
              <w:left w:val="nil"/>
              <w:bottom w:val="nil"/>
              <w:right w:val="nil"/>
            </w:tcBorders>
            <w:shd w:val="clear" w:color="000000" w:fill="FFFFFF"/>
            <w:noWrap/>
            <w:vAlign w:val="bottom"/>
            <w:hideMark/>
          </w:tcPr>
          <w:p w14:paraId="3310920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3.63</w:t>
            </w:r>
          </w:p>
        </w:tc>
      </w:tr>
      <w:tr w:rsidR="00FB78D4" w:rsidRPr="00FB78D4" w14:paraId="5314EE5C" w14:textId="77777777" w:rsidTr="00BB5461">
        <w:trPr>
          <w:trHeight w:val="320"/>
        </w:trPr>
        <w:tc>
          <w:tcPr>
            <w:tcW w:w="429" w:type="pct"/>
            <w:tcBorders>
              <w:top w:val="nil"/>
              <w:left w:val="nil"/>
              <w:bottom w:val="nil"/>
              <w:right w:val="nil"/>
            </w:tcBorders>
            <w:shd w:val="clear" w:color="000000" w:fill="FFFFFF"/>
            <w:noWrap/>
            <w:vAlign w:val="bottom"/>
            <w:hideMark/>
          </w:tcPr>
          <w:p w14:paraId="2F411EC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70465F8E"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parietal cortex</w:t>
            </w:r>
          </w:p>
        </w:tc>
        <w:tc>
          <w:tcPr>
            <w:tcW w:w="429" w:type="pct"/>
            <w:tcBorders>
              <w:top w:val="nil"/>
              <w:left w:val="nil"/>
              <w:bottom w:val="nil"/>
              <w:right w:val="nil"/>
            </w:tcBorders>
            <w:shd w:val="clear" w:color="000000" w:fill="FFFFFF"/>
            <w:noWrap/>
            <w:vAlign w:val="bottom"/>
            <w:hideMark/>
          </w:tcPr>
          <w:p w14:paraId="56CCAB5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4D52F7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w:t>
            </w:r>
          </w:p>
        </w:tc>
        <w:tc>
          <w:tcPr>
            <w:tcW w:w="429" w:type="pct"/>
            <w:tcBorders>
              <w:top w:val="nil"/>
              <w:left w:val="nil"/>
              <w:bottom w:val="nil"/>
              <w:right w:val="nil"/>
            </w:tcBorders>
            <w:shd w:val="clear" w:color="000000" w:fill="FFFFFF"/>
            <w:noWrap/>
            <w:vAlign w:val="bottom"/>
            <w:hideMark/>
          </w:tcPr>
          <w:p w14:paraId="018A0D4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282BD64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64</w:t>
            </w:r>
          </w:p>
        </w:tc>
        <w:tc>
          <w:tcPr>
            <w:tcW w:w="429" w:type="pct"/>
            <w:tcBorders>
              <w:top w:val="nil"/>
              <w:left w:val="nil"/>
              <w:bottom w:val="nil"/>
              <w:right w:val="nil"/>
            </w:tcBorders>
            <w:shd w:val="clear" w:color="000000" w:fill="FFFFFF"/>
            <w:noWrap/>
            <w:vAlign w:val="center"/>
            <w:hideMark/>
          </w:tcPr>
          <w:p w14:paraId="34C81CD7"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C07282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66</w:t>
            </w:r>
          </w:p>
        </w:tc>
        <w:tc>
          <w:tcPr>
            <w:tcW w:w="429" w:type="pct"/>
            <w:tcBorders>
              <w:top w:val="nil"/>
              <w:left w:val="nil"/>
              <w:bottom w:val="nil"/>
              <w:right w:val="nil"/>
            </w:tcBorders>
            <w:shd w:val="clear" w:color="000000" w:fill="FFFFFF"/>
            <w:noWrap/>
            <w:vAlign w:val="bottom"/>
            <w:hideMark/>
          </w:tcPr>
          <w:p w14:paraId="399D342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3.67</w:t>
            </w:r>
          </w:p>
        </w:tc>
        <w:tc>
          <w:tcPr>
            <w:tcW w:w="429" w:type="pct"/>
            <w:tcBorders>
              <w:top w:val="nil"/>
              <w:left w:val="nil"/>
              <w:bottom w:val="nil"/>
              <w:right w:val="nil"/>
            </w:tcBorders>
            <w:shd w:val="clear" w:color="000000" w:fill="FFFFFF"/>
            <w:noWrap/>
            <w:vAlign w:val="bottom"/>
            <w:hideMark/>
          </w:tcPr>
          <w:p w14:paraId="5EE6B0A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3.64</w:t>
            </w:r>
          </w:p>
        </w:tc>
      </w:tr>
      <w:tr w:rsidR="00FB78D4" w:rsidRPr="00FB78D4" w14:paraId="5EA0C79C" w14:textId="77777777" w:rsidTr="00BB5461">
        <w:trPr>
          <w:trHeight w:val="320"/>
        </w:trPr>
        <w:tc>
          <w:tcPr>
            <w:tcW w:w="429" w:type="pct"/>
            <w:tcBorders>
              <w:top w:val="nil"/>
              <w:left w:val="nil"/>
              <w:bottom w:val="nil"/>
              <w:right w:val="nil"/>
            </w:tcBorders>
            <w:shd w:val="clear" w:color="000000" w:fill="FFFFFF"/>
            <w:noWrap/>
            <w:vAlign w:val="bottom"/>
            <w:hideMark/>
          </w:tcPr>
          <w:p w14:paraId="65090F8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27A541D3"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9DB13B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348F578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w:t>
            </w:r>
          </w:p>
        </w:tc>
        <w:tc>
          <w:tcPr>
            <w:tcW w:w="429" w:type="pct"/>
            <w:tcBorders>
              <w:top w:val="nil"/>
              <w:left w:val="nil"/>
              <w:bottom w:val="nil"/>
              <w:right w:val="nil"/>
            </w:tcBorders>
            <w:shd w:val="clear" w:color="000000" w:fill="FFFFFF"/>
            <w:noWrap/>
            <w:vAlign w:val="bottom"/>
            <w:hideMark/>
          </w:tcPr>
          <w:p w14:paraId="7A1E856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7FF1923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58</w:t>
            </w:r>
          </w:p>
        </w:tc>
        <w:tc>
          <w:tcPr>
            <w:tcW w:w="429" w:type="pct"/>
            <w:tcBorders>
              <w:top w:val="nil"/>
              <w:left w:val="nil"/>
              <w:bottom w:val="nil"/>
              <w:right w:val="nil"/>
            </w:tcBorders>
            <w:shd w:val="clear" w:color="000000" w:fill="FFFFFF"/>
            <w:noWrap/>
            <w:vAlign w:val="center"/>
            <w:hideMark/>
          </w:tcPr>
          <w:p w14:paraId="71825BB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1051CF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C355D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3.62</w:t>
            </w:r>
          </w:p>
        </w:tc>
        <w:tc>
          <w:tcPr>
            <w:tcW w:w="429" w:type="pct"/>
            <w:tcBorders>
              <w:top w:val="nil"/>
              <w:left w:val="nil"/>
              <w:bottom w:val="nil"/>
              <w:right w:val="nil"/>
            </w:tcBorders>
            <w:shd w:val="clear" w:color="000000" w:fill="FFFFFF"/>
            <w:noWrap/>
            <w:vAlign w:val="bottom"/>
            <w:hideMark/>
          </w:tcPr>
          <w:p w14:paraId="165BE65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3.59</w:t>
            </w:r>
          </w:p>
        </w:tc>
      </w:tr>
      <w:tr w:rsidR="00FB78D4" w:rsidRPr="00FB78D4" w14:paraId="0D2F0599" w14:textId="77777777" w:rsidTr="00BB5461">
        <w:trPr>
          <w:trHeight w:val="320"/>
        </w:trPr>
        <w:tc>
          <w:tcPr>
            <w:tcW w:w="429" w:type="pct"/>
            <w:tcBorders>
              <w:top w:val="nil"/>
              <w:left w:val="nil"/>
              <w:bottom w:val="nil"/>
              <w:right w:val="nil"/>
            </w:tcBorders>
            <w:shd w:val="clear" w:color="000000" w:fill="FFFFFF"/>
            <w:noWrap/>
            <w:vAlign w:val="bottom"/>
            <w:hideMark/>
          </w:tcPr>
          <w:p w14:paraId="59169F5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3EC77A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1B6CC0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4CBD451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w:t>
            </w:r>
          </w:p>
        </w:tc>
        <w:tc>
          <w:tcPr>
            <w:tcW w:w="429" w:type="pct"/>
            <w:tcBorders>
              <w:top w:val="nil"/>
              <w:left w:val="nil"/>
              <w:bottom w:val="nil"/>
              <w:right w:val="nil"/>
            </w:tcBorders>
            <w:shd w:val="clear" w:color="000000" w:fill="FFFFFF"/>
            <w:noWrap/>
            <w:vAlign w:val="bottom"/>
            <w:hideMark/>
          </w:tcPr>
          <w:p w14:paraId="141141F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751BEE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center"/>
            <w:hideMark/>
          </w:tcPr>
          <w:p w14:paraId="4B867753"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09C98C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29DB3C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3.65</w:t>
            </w:r>
          </w:p>
        </w:tc>
        <w:tc>
          <w:tcPr>
            <w:tcW w:w="429" w:type="pct"/>
            <w:tcBorders>
              <w:top w:val="nil"/>
              <w:left w:val="nil"/>
              <w:bottom w:val="nil"/>
              <w:right w:val="nil"/>
            </w:tcBorders>
            <w:shd w:val="clear" w:color="000000" w:fill="FFFFFF"/>
            <w:noWrap/>
            <w:vAlign w:val="bottom"/>
            <w:hideMark/>
          </w:tcPr>
          <w:p w14:paraId="4707B17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3.62</w:t>
            </w:r>
          </w:p>
        </w:tc>
      </w:tr>
      <w:tr w:rsidR="00FB78D4" w:rsidRPr="00FB78D4" w14:paraId="415ABDC0" w14:textId="77777777" w:rsidTr="00BB5461">
        <w:trPr>
          <w:trHeight w:val="320"/>
        </w:trPr>
        <w:tc>
          <w:tcPr>
            <w:tcW w:w="429" w:type="pct"/>
            <w:tcBorders>
              <w:top w:val="nil"/>
              <w:left w:val="nil"/>
              <w:bottom w:val="nil"/>
              <w:right w:val="nil"/>
            </w:tcBorders>
            <w:shd w:val="clear" w:color="000000" w:fill="FFFFFF"/>
            <w:noWrap/>
            <w:vAlign w:val="bottom"/>
            <w:hideMark/>
          </w:tcPr>
          <w:p w14:paraId="5FF6699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0B3DA9BD"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parietal cortex</w:t>
            </w:r>
          </w:p>
        </w:tc>
        <w:tc>
          <w:tcPr>
            <w:tcW w:w="429" w:type="pct"/>
            <w:tcBorders>
              <w:top w:val="nil"/>
              <w:left w:val="nil"/>
              <w:bottom w:val="nil"/>
              <w:right w:val="nil"/>
            </w:tcBorders>
            <w:shd w:val="clear" w:color="000000" w:fill="FFFFFF"/>
            <w:noWrap/>
            <w:vAlign w:val="bottom"/>
            <w:hideMark/>
          </w:tcPr>
          <w:p w14:paraId="57A5700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0C6C6F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64CC653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w:t>
            </w:r>
          </w:p>
        </w:tc>
        <w:tc>
          <w:tcPr>
            <w:tcW w:w="429" w:type="pct"/>
            <w:tcBorders>
              <w:top w:val="nil"/>
              <w:left w:val="nil"/>
              <w:bottom w:val="nil"/>
              <w:right w:val="nil"/>
            </w:tcBorders>
            <w:shd w:val="clear" w:color="000000" w:fill="FFFFFF"/>
            <w:noWrap/>
            <w:vAlign w:val="bottom"/>
            <w:hideMark/>
          </w:tcPr>
          <w:p w14:paraId="1055087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60</w:t>
            </w:r>
          </w:p>
        </w:tc>
        <w:tc>
          <w:tcPr>
            <w:tcW w:w="429" w:type="pct"/>
            <w:tcBorders>
              <w:top w:val="nil"/>
              <w:left w:val="nil"/>
              <w:bottom w:val="nil"/>
              <w:right w:val="nil"/>
            </w:tcBorders>
            <w:shd w:val="clear" w:color="000000" w:fill="FFFFFF"/>
            <w:noWrap/>
            <w:vAlign w:val="center"/>
            <w:hideMark/>
          </w:tcPr>
          <w:p w14:paraId="293295B9"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4A6A18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51</w:t>
            </w:r>
          </w:p>
        </w:tc>
        <w:tc>
          <w:tcPr>
            <w:tcW w:w="429" w:type="pct"/>
            <w:tcBorders>
              <w:top w:val="nil"/>
              <w:left w:val="nil"/>
              <w:bottom w:val="nil"/>
              <w:right w:val="nil"/>
            </w:tcBorders>
            <w:shd w:val="clear" w:color="000000" w:fill="FFFFFF"/>
            <w:noWrap/>
            <w:vAlign w:val="bottom"/>
            <w:hideMark/>
          </w:tcPr>
          <w:p w14:paraId="579001F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3.64</w:t>
            </w:r>
          </w:p>
        </w:tc>
        <w:tc>
          <w:tcPr>
            <w:tcW w:w="429" w:type="pct"/>
            <w:tcBorders>
              <w:top w:val="nil"/>
              <w:left w:val="nil"/>
              <w:bottom w:val="nil"/>
              <w:right w:val="nil"/>
            </w:tcBorders>
            <w:shd w:val="clear" w:color="000000" w:fill="FFFFFF"/>
            <w:noWrap/>
            <w:vAlign w:val="bottom"/>
            <w:hideMark/>
          </w:tcPr>
          <w:p w14:paraId="4AA89B4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3.61</w:t>
            </w:r>
          </w:p>
        </w:tc>
      </w:tr>
      <w:tr w:rsidR="00FB78D4" w:rsidRPr="00FB78D4" w14:paraId="30C25C05" w14:textId="77777777" w:rsidTr="00BB5461">
        <w:trPr>
          <w:trHeight w:val="320"/>
        </w:trPr>
        <w:tc>
          <w:tcPr>
            <w:tcW w:w="429" w:type="pct"/>
            <w:tcBorders>
              <w:top w:val="nil"/>
              <w:left w:val="nil"/>
              <w:bottom w:val="nil"/>
              <w:right w:val="nil"/>
            </w:tcBorders>
            <w:shd w:val="clear" w:color="000000" w:fill="FFFFFF"/>
            <w:noWrap/>
            <w:vAlign w:val="bottom"/>
            <w:hideMark/>
          </w:tcPr>
          <w:p w14:paraId="512E545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7966E638"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parietal cortex</w:t>
            </w:r>
          </w:p>
        </w:tc>
        <w:tc>
          <w:tcPr>
            <w:tcW w:w="429" w:type="pct"/>
            <w:tcBorders>
              <w:top w:val="nil"/>
              <w:left w:val="nil"/>
              <w:bottom w:val="nil"/>
              <w:right w:val="nil"/>
            </w:tcBorders>
            <w:shd w:val="clear" w:color="000000" w:fill="FFFFFF"/>
            <w:noWrap/>
            <w:vAlign w:val="bottom"/>
            <w:hideMark/>
          </w:tcPr>
          <w:p w14:paraId="7B9AF74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030CCE8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1D5C27B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-20</w:t>
            </w:r>
          </w:p>
        </w:tc>
        <w:tc>
          <w:tcPr>
            <w:tcW w:w="429" w:type="pct"/>
            <w:tcBorders>
              <w:top w:val="nil"/>
              <w:left w:val="nil"/>
              <w:bottom w:val="nil"/>
              <w:right w:val="nil"/>
            </w:tcBorders>
            <w:shd w:val="clear" w:color="000000" w:fill="FFFFFF"/>
            <w:noWrap/>
            <w:vAlign w:val="bottom"/>
            <w:hideMark/>
          </w:tcPr>
          <w:p w14:paraId="736CC8C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70</w:t>
            </w:r>
          </w:p>
        </w:tc>
        <w:tc>
          <w:tcPr>
            <w:tcW w:w="429" w:type="pct"/>
            <w:tcBorders>
              <w:top w:val="nil"/>
              <w:left w:val="nil"/>
              <w:bottom w:val="nil"/>
              <w:right w:val="nil"/>
            </w:tcBorders>
            <w:shd w:val="clear" w:color="000000" w:fill="FFFFFF"/>
            <w:noWrap/>
            <w:vAlign w:val="center"/>
            <w:hideMark/>
          </w:tcPr>
          <w:p w14:paraId="2F5EC88B"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2403EF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55BC1B4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3.61</w:t>
            </w:r>
          </w:p>
        </w:tc>
        <w:tc>
          <w:tcPr>
            <w:tcW w:w="429" w:type="pct"/>
            <w:tcBorders>
              <w:top w:val="nil"/>
              <w:left w:val="nil"/>
              <w:bottom w:val="nil"/>
              <w:right w:val="nil"/>
            </w:tcBorders>
            <w:shd w:val="clear" w:color="000000" w:fill="FFFFFF"/>
            <w:noWrap/>
            <w:vAlign w:val="bottom"/>
            <w:hideMark/>
          </w:tcPr>
          <w:p w14:paraId="2C6EC68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3.58</w:t>
            </w:r>
          </w:p>
        </w:tc>
      </w:tr>
      <w:tr w:rsidR="00FB78D4" w:rsidRPr="00FB78D4" w14:paraId="065FBE9D" w14:textId="77777777" w:rsidTr="00BB5461">
        <w:trPr>
          <w:trHeight w:val="320"/>
        </w:trPr>
        <w:tc>
          <w:tcPr>
            <w:tcW w:w="429" w:type="pct"/>
            <w:tcBorders>
              <w:top w:val="nil"/>
              <w:left w:val="nil"/>
              <w:bottom w:val="nil"/>
              <w:right w:val="nil"/>
            </w:tcBorders>
            <w:shd w:val="clear" w:color="000000" w:fill="FFFFFF"/>
            <w:noWrap/>
            <w:vAlign w:val="bottom"/>
            <w:hideMark/>
          </w:tcPr>
          <w:p w14:paraId="2B50E9C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A257FD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Occipitotemporal cortex </w:t>
            </w:r>
          </w:p>
        </w:tc>
        <w:tc>
          <w:tcPr>
            <w:tcW w:w="429" w:type="pct"/>
            <w:tcBorders>
              <w:top w:val="nil"/>
              <w:left w:val="nil"/>
              <w:bottom w:val="nil"/>
              <w:right w:val="nil"/>
            </w:tcBorders>
            <w:shd w:val="clear" w:color="000000" w:fill="FFFFFF"/>
            <w:noWrap/>
            <w:vAlign w:val="bottom"/>
            <w:hideMark/>
          </w:tcPr>
          <w:p w14:paraId="6BA5267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39C10C7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w:t>
            </w:r>
          </w:p>
        </w:tc>
        <w:tc>
          <w:tcPr>
            <w:tcW w:w="429" w:type="pct"/>
            <w:tcBorders>
              <w:top w:val="nil"/>
              <w:left w:val="nil"/>
              <w:bottom w:val="nil"/>
              <w:right w:val="nil"/>
            </w:tcBorders>
            <w:shd w:val="clear" w:color="000000" w:fill="FFFFFF"/>
            <w:noWrap/>
            <w:vAlign w:val="bottom"/>
            <w:hideMark/>
          </w:tcPr>
          <w:p w14:paraId="3E078F9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w:t>
            </w:r>
          </w:p>
        </w:tc>
        <w:tc>
          <w:tcPr>
            <w:tcW w:w="429" w:type="pct"/>
            <w:tcBorders>
              <w:top w:val="nil"/>
              <w:left w:val="nil"/>
              <w:bottom w:val="nil"/>
              <w:right w:val="nil"/>
            </w:tcBorders>
            <w:shd w:val="clear" w:color="000000" w:fill="FFFFFF"/>
            <w:noWrap/>
            <w:vAlign w:val="bottom"/>
            <w:hideMark/>
          </w:tcPr>
          <w:p w14:paraId="431C585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center"/>
            <w:hideMark/>
          </w:tcPr>
          <w:p w14:paraId="3175DC32"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18D34C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11</w:t>
            </w:r>
          </w:p>
        </w:tc>
        <w:tc>
          <w:tcPr>
            <w:tcW w:w="429" w:type="pct"/>
            <w:tcBorders>
              <w:top w:val="nil"/>
              <w:left w:val="nil"/>
              <w:bottom w:val="nil"/>
              <w:right w:val="nil"/>
            </w:tcBorders>
            <w:shd w:val="clear" w:color="000000" w:fill="FFFFFF"/>
            <w:noWrap/>
            <w:vAlign w:val="bottom"/>
            <w:hideMark/>
          </w:tcPr>
          <w:p w14:paraId="712F264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3.63</w:t>
            </w:r>
          </w:p>
        </w:tc>
        <w:tc>
          <w:tcPr>
            <w:tcW w:w="429" w:type="pct"/>
            <w:tcBorders>
              <w:top w:val="nil"/>
              <w:left w:val="nil"/>
              <w:bottom w:val="nil"/>
              <w:right w:val="nil"/>
            </w:tcBorders>
            <w:shd w:val="clear" w:color="000000" w:fill="FFFFFF"/>
            <w:noWrap/>
            <w:vAlign w:val="bottom"/>
            <w:hideMark/>
          </w:tcPr>
          <w:p w14:paraId="38DCB6D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w:t>
            </w:r>
          </w:p>
        </w:tc>
      </w:tr>
      <w:tr w:rsidR="00FB78D4" w:rsidRPr="00FB78D4" w14:paraId="7AFF2325" w14:textId="77777777" w:rsidTr="00BB5461">
        <w:trPr>
          <w:trHeight w:val="320"/>
        </w:trPr>
        <w:tc>
          <w:tcPr>
            <w:tcW w:w="429" w:type="pct"/>
            <w:tcBorders>
              <w:top w:val="nil"/>
              <w:left w:val="nil"/>
              <w:bottom w:val="nil"/>
              <w:right w:val="nil"/>
            </w:tcBorders>
            <w:shd w:val="clear" w:color="000000" w:fill="FFFFFF"/>
            <w:noWrap/>
            <w:vAlign w:val="bottom"/>
            <w:hideMark/>
          </w:tcPr>
          <w:p w14:paraId="2220325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48386BB4"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parietal cortex</w:t>
            </w:r>
          </w:p>
        </w:tc>
        <w:tc>
          <w:tcPr>
            <w:tcW w:w="429" w:type="pct"/>
            <w:tcBorders>
              <w:top w:val="nil"/>
              <w:left w:val="nil"/>
              <w:bottom w:val="nil"/>
              <w:right w:val="nil"/>
            </w:tcBorders>
            <w:shd w:val="clear" w:color="000000" w:fill="FFFFFF"/>
            <w:noWrap/>
            <w:vAlign w:val="bottom"/>
            <w:hideMark/>
          </w:tcPr>
          <w:p w14:paraId="3788BD6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13D69FD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w:t>
            </w:r>
          </w:p>
        </w:tc>
        <w:tc>
          <w:tcPr>
            <w:tcW w:w="429" w:type="pct"/>
            <w:tcBorders>
              <w:top w:val="nil"/>
              <w:left w:val="nil"/>
              <w:bottom w:val="nil"/>
              <w:right w:val="nil"/>
            </w:tcBorders>
            <w:shd w:val="clear" w:color="000000" w:fill="FFFFFF"/>
            <w:noWrap/>
            <w:vAlign w:val="bottom"/>
            <w:hideMark/>
          </w:tcPr>
          <w:p w14:paraId="2BBEADE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4D227CF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50</w:t>
            </w:r>
          </w:p>
        </w:tc>
        <w:tc>
          <w:tcPr>
            <w:tcW w:w="429" w:type="pct"/>
            <w:tcBorders>
              <w:top w:val="nil"/>
              <w:left w:val="nil"/>
              <w:bottom w:val="nil"/>
              <w:right w:val="nil"/>
            </w:tcBorders>
            <w:shd w:val="clear" w:color="000000" w:fill="FFFFFF"/>
            <w:noWrap/>
            <w:vAlign w:val="center"/>
            <w:hideMark/>
          </w:tcPr>
          <w:p w14:paraId="3F20E7D9"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C6B3AA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19</w:t>
            </w:r>
          </w:p>
        </w:tc>
        <w:tc>
          <w:tcPr>
            <w:tcW w:w="429" w:type="pct"/>
            <w:tcBorders>
              <w:top w:val="nil"/>
              <w:left w:val="nil"/>
              <w:bottom w:val="nil"/>
              <w:right w:val="nil"/>
            </w:tcBorders>
            <w:shd w:val="clear" w:color="000000" w:fill="FFFFFF"/>
            <w:noWrap/>
            <w:vAlign w:val="bottom"/>
            <w:hideMark/>
          </w:tcPr>
          <w:p w14:paraId="68B7370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3.46</w:t>
            </w:r>
          </w:p>
        </w:tc>
        <w:tc>
          <w:tcPr>
            <w:tcW w:w="429" w:type="pct"/>
            <w:tcBorders>
              <w:top w:val="nil"/>
              <w:left w:val="nil"/>
              <w:bottom w:val="nil"/>
              <w:right w:val="nil"/>
            </w:tcBorders>
            <w:shd w:val="clear" w:color="000000" w:fill="FFFFFF"/>
            <w:noWrap/>
            <w:vAlign w:val="bottom"/>
            <w:hideMark/>
          </w:tcPr>
          <w:p w14:paraId="57C6A6F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3.43</w:t>
            </w:r>
          </w:p>
        </w:tc>
      </w:tr>
      <w:tr w:rsidR="00FB78D4" w:rsidRPr="00FB78D4" w14:paraId="380B694A" w14:textId="77777777" w:rsidTr="00BB5461">
        <w:trPr>
          <w:trHeight w:val="320"/>
        </w:trPr>
        <w:tc>
          <w:tcPr>
            <w:tcW w:w="429" w:type="pct"/>
            <w:tcBorders>
              <w:top w:val="nil"/>
              <w:left w:val="nil"/>
              <w:bottom w:val="nil"/>
              <w:right w:val="nil"/>
            </w:tcBorders>
            <w:shd w:val="clear" w:color="000000" w:fill="FFFFFF"/>
            <w:noWrap/>
            <w:vAlign w:val="bottom"/>
            <w:hideMark/>
          </w:tcPr>
          <w:p w14:paraId="28F43A1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3C65D46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Posterior cingulate cortex</w:t>
            </w:r>
          </w:p>
        </w:tc>
        <w:tc>
          <w:tcPr>
            <w:tcW w:w="429" w:type="pct"/>
            <w:tcBorders>
              <w:top w:val="nil"/>
              <w:left w:val="nil"/>
              <w:bottom w:val="nil"/>
              <w:right w:val="nil"/>
            </w:tcBorders>
            <w:shd w:val="clear" w:color="000000" w:fill="FFFFFF"/>
            <w:noWrap/>
            <w:vAlign w:val="bottom"/>
            <w:hideMark/>
          </w:tcPr>
          <w:p w14:paraId="299369C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174D239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055B828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bottom"/>
            <w:hideMark/>
          </w:tcPr>
          <w:p w14:paraId="22ABDFC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center"/>
            <w:hideMark/>
          </w:tcPr>
          <w:p w14:paraId="36B54BA8"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4244ED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32</w:t>
            </w:r>
          </w:p>
        </w:tc>
        <w:tc>
          <w:tcPr>
            <w:tcW w:w="429" w:type="pct"/>
            <w:tcBorders>
              <w:top w:val="nil"/>
              <w:left w:val="nil"/>
              <w:bottom w:val="nil"/>
              <w:right w:val="nil"/>
            </w:tcBorders>
            <w:shd w:val="clear" w:color="000000" w:fill="FFFFFF"/>
            <w:noWrap/>
            <w:vAlign w:val="bottom"/>
            <w:hideMark/>
          </w:tcPr>
          <w:p w14:paraId="5FF23E2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3.59</w:t>
            </w:r>
          </w:p>
        </w:tc>
        <w:tc>
          <w:tcPr>
            <w:tcW w:w="429" w:type="pct"/>
            <w:tcBorders>
              <w:top w:val="nil"/>
              <w:left w:val="nil"/>
              <w:bottom w:val="nil"/>
              <w:right w:val="nil"/>
            </w:tcBorders>
            <w:shd w:val="clear" w:color="000000" w:fill="FFFFFF"/>
            <w:noWrap/>
            <w:vAlign w:val="bottom"/>
            <w:hideMark/>
          </w:tcPr>
          <w:p w14:paraId="6B47AED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3.56</w:t>
            </w:r>
          </w:p>
        </w:tc>
      </w:tr>
      <w:tr w:rsidR="00FB78D4" w:rsidRPr="00FB78D4" w14:paraId="1DA9F9B8" w14:textId="77777777" w:rsidTr="00BB5461">
        <w:trPr>
          <w:trHeight w:val="320"/>
        </w:trPr>
        <w:tc>
          <w:tcPr>
            <w:tcW w:w="429" w:type="pct"/>
            <w:tcBorders>
              <w:top w:val="nil"/>
              <w:left w:val="nil"/>
              <w:bottom w:val="nil"/>
              <w:right w:val="nil"/>
            </w:tcBorders>
            <w:shd w:val="clear" w:color="000000" w:fill="FFFFFF"/>
            <w:noWrap/>
            <w:vAlign w:val="bottom"/>
            <w:hideMark/>
          </w:tcPr>
          <w:p w14:paraId="28D3070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42C1C53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Dorsomedial prefrontal cortex</w:t>
            </w:r>
          </w:p>
        </w:tc>
        <w:tc>
          <w:tcPr>
            <w:tcW w:w="429" w:type="pct"/>
            <w:tcBorders>
              <w:top w:val="nil"/>
              <w:left w:val="nil"/>
              <w:bottom w:val="nil"/>
              <w:right w:val="nil"/>
            </w:tcBorders>
            <w:shd w:val="clear" w:color="000000" w:fill="FFFFFF"/>
            <w:noWrap/>
            <w:vAlign w:val="bottom"/>
            <w:hideMark/>
          </w:tcPr>
          <w:p w14:paraId="1EB81D8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1852C87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3AE1956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bottom"/>
            <w:hideMark/>
          </w:tcPr>
          <w:p w14:paraId="7B2DB39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center"/>
            <w:hideMark/>
          </w:tcPr>
          <w:p w14:paraId="2350590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C74A7B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w:t>
            </w:r>
          </w:p>
        </w:tc>
        <w:tc>
          <w:tcPr>
            <w:tcW w:w="429" w:type="pct"/>
            <w:tcBorders>
              <w:top w:val="nil"/>
              <w:left w:val="nil"/>
              <w:bottom w:val="nil"/>
              <w:right w:val="nil"/>
            </w:tcBorders>
            <w:shd w:val="clear" w:color="000000" w:fill="FFFFFF"/>
            <w:noWrap/>
            <w:vAlign w:val="bottom"/>
            <w:hideMark/>
          </w:tcPr>
          <w:p w14:paraId="0253754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3.37</w:t>
            </w:r>
          </w:p>
        </w:tc>
        <w:tc>
          <w:tcPr>
            <w:tcW w:w="429" w:type="pct"/>
            <w:tcBorders>
              <w:top w:val="nil"/>
              <w:left w:val="nil"/>
              <w:bottom w:val="nil"/>
              <w:right w:val="nil"/>
            </w:tcBorders>
            <w:shd w:val="clear" w:color="000000" w:fill="FFFFFF"/>
            <w:noWrap/>
            <w:vAlign w:val="bottom"/>
            <w:hideMark/>
          </w:tcPr>
          <w:p w14:paraId="56C6A4B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3.34</w:t>
            </w:r>
          </w:p>
        </w:tc>
      </w:tr>
      <w:tr w:rsidR="00FB78D4" w:rsidRPr="00FB78D4" w14:paraId="2F1955EA" w14:textId="77777777" w:rsidTr="00BB5461">
        <w:trPr>
          <w:trHeight w:val="320"/>
        </w:trPr>
        <w:tc>
          <w:tcPr>
            <w:tcW w:w="429" w:type="pct"/>
            <w:tcBorders>
              <w:top w:val="nil"/>
              <w:left w:val="nil"/>
              <w:bottom w:val="nil"/>
              <w:right w:val="nil"/>
            </w:tcBorders>
            <w:shd w:val="clear" w:color="000000" w:fill="FFFFFF"/>
            <w:noWrap/>
            <w:vAlign w:val="bottom"/>
            <w:hideMark/>
          </w:tcPr>
          <w:p w14:paraId="1CDDCE4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043F49B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Temporal Sulcus</w:t>
            </w:r>
          </w:p>
        </w:tc>
        <w:tc>
          <w:tcPr>
            <w:tcW w:w="429" w:type="pct"/>
            <w:tcBorders>
              <w:top w:val="nil"/>
              <w:left w:val="nil"/>
              <w:bottom w:val="nil"/>
              <w:right w:val="nil"/>
            </w:tcBorders>
            <w:shd w:val="clear" w:color="000000" w:fill="FFFFFF"/>
            <w:noWrap/>
            <w:vAlign w:val="bottom"/>
            <w:hideMark/>
          </w:tcPr>
          <w:p w14:paraId="0AFCD09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1FDB378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-52</w:t>
            </w:r>
          </w:p>
        </w:tc>
        <w:tc>
          <w:tcPr>
            <w:tcW w:w="429" w:type="pct"/>
            <w:tcBorders>
              <w:top w:val="nil"/>
              <w:left w:val="nil"/>
              <w:bottom w:val="nil"/>
              <w:right w:val="nil"/>
            </w:tcBorders>
            <w:shd w:val="clear" w:color="000000" w:fill="FFFFFF"/>
            <w:noWrap/>
            <w:vAlign w:val="bottom"/>
            <w:hideMark/>
          </w:tcPr>
          <w:p w14:paraId="37ED13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1CFEB74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center"/>
            <w:hideMark/>
          </w:tcPr>
          <w:p w14:paraId="72C8DA54"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6CBEA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23</w:t>
            </w:r>
          </w:p>
        </w:tc>
        <w:tc>
          <w:tcPr>
            <w:tcW w:w="429" w:type="pct"/>
            <w:tcBorders>
              <w:top w:val="nil"/>
              <w:left w:val="nil"/>
              <w:bottom w:val="nil"/>
              <w:right w:val="nil"/>
            </w:tcBorders>
            <w:shd w:val="clear" w:color="000000" w:fill="FFFFFF"/>
            <w:noWrap/>
            <w:vAlign w:val="bottom"/>
            <w:hideMark/>
          </w:tcPr>
          <w:p w14:paraId="4CDBDDE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3.35</w:t>
            </w:r>
          </w:p>
        </w:tc>
        <w:tc>
          <w:tcPr>
            <w:tcW w:w="429" w:type="pct"/>
            <w:tcBorders>
              <w:top w:val="nil"/>
              <w:left w:val="nil"/>
              <w:bottom w:val="nil"/>
              <w:right w:val="nil"/>
            </w:tcBorders>
            <w:shd w:val="clear" w:color="000000" w:fill="FFFFFF"/>
            <w:noWrap/>
            <w:vAlign w:val="bottom"/>
            <w:hideMark/>
          </w:tcPr>
          <w:p w14:paraId="29DD6FD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3.32</w:t>
            </w:r>
          </w:p>
        </w:tc>
      </w:tr>
      <w:tr w:rsidR="00FB78D4" w:rsidRPr="00FB78D4" w14:paraId="21EF5F42" w14:textId="77777777" w:rsidTr="00BB5461">
        <w:trPr>
          <w:trHeight w:val="320"/>
        </w:trPr>
        <w:tc>
          <w:tcPr>
            <w:tcW w:w="429" w:type="pct"/>
            <w:tcBorders>
              <w:top w:val="nil"/>
              <w:left w:val="nil"/>
              <w:bottom w:val="nil"/>
              <w:right w:val="nil"/>
            </w:tcBorders>
            <w:shd w:val="clear" w:color="000000" w:fill="FFFFFF"/>
            <w:noWrap/>
            <w:vAlign w:val="bottom"/>
            <w:hideMark/>
          </w:tcPr>
          <w:p w14:paraId="7A01C9A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31A2B941"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xml:space="preserve">Posterior Insula </w:t>
            </w:r>
          </w:p>
        </w:tc>
        <w:tc>
          <w:tcPr>
            <w:tcW w:w="429" w:type="pct"/>
            <w:tcBorders>
              <w:top w:val="nil"/>
              <w:left w:val="nil"/>
              <w:bottom w:val="nil"/>
              <w:right w:val="nil"/>
            </w:tcBorders>
            <w:shd w:val="clear" w:color="000000" w:fill="FFFFFF"/>
            <w:noWrap/>
            <w:vAlign w:val="bottom"/>
            <w:hideMark/>
          </w:tcPr>
          <w:p w14:paraId="4AA9D08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FB088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w:t>
            </w:r>
          </w:p>
        </w:tc>
        <w:tc>
          <w:tcPr>
            <w:tcW w:w="429" w:type="pct"/>
            <w:tcBorders>
              <w:top w:val="nil"/>
              <w:left w:val="nil"/>
              <w:bottom w:val="nil"/>
              <w:right w:val="nil"/>
            </w:tcBorders>
            <w:shd w:val="clear" w:color="000000" w:fill="FFFFFF"/>
            <w:noWrap/>
            <w:vAlign w:val="bottom"/>
            <w:hideMark/>
          </w:tcPr>
          <w:p w14:paraId="627E0E0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w:t>
            </w:r>
          </w:p>
        </w:tc>
        <w:tc>
          <w:tcPr>
            <w:tcW w:w="429" w:type="pct"/>
            <w:tcBorders>
              <w:top w:val="nil"/>
              <w:left w:val="nil"/>
              <w:bottom w:val="nil"/>
              <w:right w:val="nil"/>
            </w:tcBorders>
            <w:shd w:val="clear" w:color="000000" w:fill="FFFFFF"/>
            <w:noWrap/>
            <w:vAlign w:val="bottom"/>
            <w:hideMark/>
          </w:tcPr>
          <w:p w14:paraId="18EDC4E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center"/>
            <w:hideMark/>
          </w:tcPr>
          <w:p w14:paraId="74A73332"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D63F33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0E77183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3.55</w:t>
            </w:r>
          </w:p>
        </w:tc>
        <w:tc>
          <w:tcPr>
            <w:tcW w:w="429" w:type="pct"/>
            <w:tcBorders>
              <w:top w:val="nil"/>
              <w:left w:val="nil"/>
              <w:bottom w:val="nil"/>
              <w:right w:val="nil"/>
            </w:tcBorders>
            <w:shd w:val="clear" w:color="000000" w:fill="FFFFFF"/>
            <w:noWrap/>
            <w:vAlign w:val="bottom"/>
            <w:hideMark/>
          </w:tcPr>
          <w:p w14:paraId="09E7F00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3.53</w:t>
            </w:r>
          </w:p>
        </w:tc>
      </w:tr>
      <w:tr w:rsidR="00FB78D4" w:rsidRPr="00FB78D4" w14:paraId="65EC76A5" w14:textId="77777777" w:rsidTr="00BB5461">
        <w:trPr>
          <w:trHeight w:val="320"/>
        </w:trPr>
        <w:tc>
          <w:tcPr>
            <w:tcW w:w="429" w:type="pct"/>
            <w:tcBorders>
              <w:top w:val="nil"/>
              <w:left w:val="nil"/>
              <w:bottom w:val="nil"/>
              <w:right w:val="nil"/>
            </w:tcBorders>
            <w:shd w:val="clear" w:color="000000" w:fill="FFFFFF"/>
            <w:noWrap/>
            <w:vAlign w:val="bottom"/>
            <w:hideMark/>
          </w:tcPr>
          <w:p w14:paraId="77263B5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0BF8D0B"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1F928C08"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5412C8C0"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6FAC5047"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090AE87"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98438E7"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087B0D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096EC8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8FE115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2D39A5F4" w14:textId="77777777" w:rsidTr="00BB5461">
        <w:trPr>
          <w:trHeight w:val="320"/>
        </w:trPr>
        <w:tc>
          <w:tcPr>
            <w:tcW w:w="429" w:type="pct"/>
            <w:tcBorders>
              <w:top w:val="nil"/>
              <w:left w:val="nil"/>
              <w:bottom w:val="nil"/>
              <w:right w:val="nil"/>
            </w:tcBorders>
            <w:shd w:val="clear" w:color="000000" w:fill="FFFFFF"/>
            <w:noWrap/>
            <w:vAlign w:val="bottom"/>
            <w:hideMark/>
          </w:tcPr>
          <w:p w14:paraId="3B9086B0"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1137" w:type="pct"/>
            <w:tcBorders>
              <w:top w:val="nil"/>
              <w:left w:val="nil"/>
              <w:bottom w:val="nil"/>
              <w:right w:val="nil"/>
            </w:tcBorders>
            <w:shd w:val="clear" w:color="000000" w:fill="FFFFFF"/>
            <w:noWrap/>
            <w:vAlign w:val="bottom"/>
            <w:hideMark/>
          </w:tcPr>
          <w:p w14:paraId="328BD33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933F26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8E71D1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55362E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B07160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9E60FF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9FE903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5EFEEB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0A4CC2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480EDD8F" w14:textId="77777777" w:rsidTr="00BB5461">
        <w:trPr>
          <w:trHeight w:val="320"/>
        </w:trPr>
        <w:tc>
          <w:tcPr>
            <w:tcW w:w="429" w:type="pct"/>
            <w:tcBorders>
              <w:top w:val="nil"/>
              <w:left w:val="nil"/>
              <w:bottom w:val="nil"/>
              <w:right w:val="nil"/>
            </w:tcBorders>
            <w:shd w:val="clear" w:color="000000" w:fill="FFFFFF"/>
            <w:noWrap/>
            <w:vAlign w:val="bottom"/>
            <w:hideMark/>
          </w:tcPr>
          <w:p w14:paraId="17A03FA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9B7DF55"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Ventral amygdala </w:t>
            </w:r>
          </w:p>
        </w:tc>
        <w:tc>
          <w:tcPr>
            <w:tcW w:w="429" w:type="pct"/>
            <w:tcBorders>
              <w:top w:val="nil"/>
              <w:left w:val="nil"/>
              <w:bottom w:val="nil"/>
              <w:right w:val="nil"/>
            </w:tcBorders>
            <w:shd w:val="clear" w:color="000000" w:fill="FFFFFF"/>
            <w:noWrap/>
            <w:vAlign w:val="bottom"/>
            <w:hideMark/>
          </w:tcPr>
          <w:p w14:paraId="1DFFBA0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68FE1E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08DB1CF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58F2D78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7742CE1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E98B8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15</w:t>
            </w:r>
          </w:p>
        </w:tc>
        <w:tc>
          <w:tcPr>
            <w:tcW w:w="429" w:type="pct"/>
            <w:tcBorders>
              <w:top w:val="nil"/>
              <w:left w:val="nil"/>
              <w:bottom w:val="nil"/>
              <w:right w:val="nil"/>
            </w:tcBorders>
            <w:shd w:val="clear" w:color="000000" w:fill="FFFFFF"/>
            <w:noWrap/>
            <w:vAlign w:val="bottom"/>
            <w:hideMark/>
          </w:tcPr>
          <w:p w14:paraId="129B341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3.73</w:t>
            </w:r>
          </w:p>
        </w:tc>
        <w:tc>
          <w:tcPr>
            <w:tcW w:w="429" w:type="pct"/>
            <w:tcBorders>
              <w:top w:val="nil"/>
              <w:left w:val="nil"/>
              <w:bottom w:val="nil"/>
              <w:right w:val="nil"/>
            </w:tcBorders>
            <w:shd w:val="clear" w:color="000000" w:fill="FFFFFF"/>
            <w:noWrap/>
            <w:vAlign w:val="bottom"/>
            <w:hideMark/>
          </w:tcPr>
          <w:p w14:paraId="6729C24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3.69</w:t>
            </w:r>
          </w:p>
        </w:tc>
      </w:tr>
      <w:tr w:rsidR="00FB78D4" w:rsidRPr="00FB78D4" w14:paraId="776A8C13" w14:textId="77777777" w:rsidTr="00BB5461">
        <w:trPr>
          <w:trHeight w:val="320"/>
        </w:trPr>
        <w:tc>
          <w:tcPr>
            <w:tcW w:w="429" w:type="pct"/>
            <w:tcBorders>
              <w:top w:val="nil"/>
              <w:left w:val="nil"/>
              <w:bottom w:val="nil"/>
              <w:right w:val="nil"/>
            </w:tcBorders>
            <w:shd w:val="clear" w:color="000000" w:fill="FFFFFF"/>
            <w:noWrap/>
            <w:vAlign w:val="bottom"/>
            <w:hideMark/>
          </w:tcPr>
          <w:p w14:paraId="7D56808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auto" w:fill="auto"/>
            <w:noWrap/>
            <w:vAlign w:val="bottom"/>
            <w:hideMark/>
          </w:tcPr>
          <w:p w14:paraId="7A8DA31D" w14:textId="77777777" w:rsidR="00FB78D4" w:rsidRPr="00FB78D4" w:rsidRDefault="00FB78D4" w:rsidP="00FB78D4">
            <w:pPr>
              <w:rPr>
                <w:rFonts w:ascii="Times New Roman" w:eastAsia="Times New Roman" w:hAnsi="Times New Roman" w:cs="Times New Roman"/>
                <w:color w:val="000000"/>
                <w:sz w:val="22"/>
                <w:szCs w:val="22"/>
                <w:lang w:val="en-GB" w:eastAsia="en-GB"/>
              </w:rPr>
            </w:pPr>
          </w:p>
        </w:tc>
        <w:tc>
          <w:tcPr>
            <w:tcW w:w="429" w:type="pct"/>
            <w:tcBorders>
              <w:top w:val="nil"/>
              <w:left w:val="nil"/>
              <w:bottom w:val="nil"/>
              <w:right w:val="nil"/>
            </w:tcBorders>
            <w:shd w:val="clear" w:color="000000" w:fill="FFFFFF"/>
            <w:noWrap/>
            <w:vAlign w:val="center"/>
            <w:hideMark/>
          </w:tcPr>
          <w:p w14:paraId="26B79B47"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CCCC37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0674844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3F045B6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-20</w:t>
            </w:r>
          </w:p>
        </w:tc>
        <w:tc>
          <w:tcPr>
            <w:tcW w:w="429" w:type="pct"/>
            <w:tcBorders>
              <w:top w:val="nil"/>
              <w:left w:val="nil"/>
              <w:bottom w:val="nil"/>
              <w:right w:val="nil"/>
            </w:tcBorders>
            <w:shd w:val="clear" w:color="000000" w:fill="FFFFFF"/>
            <w:noWrap/>
            <w:vAlign w:val="center"/>
            <w:hideMark/>
          </w:tcPr>
          <w:p w14:paraId="25339207"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675E9F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349C7C6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3.06</w:t>
            </w:r>
          </w:p>
        </w:tc>
        <w:tc>
          <w:tcPr>
            <w:tcW w:w="429" w:type="pct"/>
            <w:tcBorders>
              <w:top w:val="nil"/>
              <w:left w:val="nil"/>
              <w:bottom w:val="nil"/>
              <w:right w:val="nil"/>
            </w:tcBorders>
            <w:shd w:val="clear" w:color="000000" w:fill="FFFFFF"/>
            <w:noWrap/>
            <w:vAlign w:val="bottom"/>
            <w:hideMark/>
          </w:tcPr>
          <w:p w14:paraId="725D113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3.04</w:t>
            </w:r>
          </w:p>
        </w:tc>
      </w:tr>
      <w:tr w:rsidR="00FB78D4" w:rsidRPr="00FB78D4" w14:paraId="74028EE9" w14:textId="77777777" w:rsidTr="00BB5461">
        <w:trPr>
          <w:trHeight w:val="320"/>
        </w:trPr>
        <w:tc>
          <w:tcPr>
            <w:tcW w:w="429" w:type="pct"/>
            <w:tcBorders>
              <w:top w:val="nil"/>
              <w:left w:val="nil"/>
              <w:bottom w:val="nil"/>
              <w:right w:val="nil"/>
            </w:tcBorders>
            <w:shd w:val="clear" w:color="000000" w:fill="FFFFFF"/>
            <w:noWrap/>
            <w:vAlign w:val="bottom"/>
            <w:hideMark/>
          </w:tcPr>
          <w:p w14:paraId="4D8CA31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275ABD98"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Dorsal amygdala </w:t>
            </w:r>
          </w:p>
        </w:tc>
        <w:tc>
          <w:tcPr>
            <w:tcW w:w="429" w:type="pct"/>
            <w:tcBorders>
              <w:top w:val="nil"/>
              <w:left w:val="nil"/>
              <w:bottom w:val="nil"/>
              <w:right w:val="nil"/>
            </w:tcBorders>
            <w:shd w:val="clear" w:color="000000" w:fill="FFFFFF"/>
            <w:noWrap/>
            <w:vAlign w:val="center"/>
            <w:hideMark/>
          </w:tcPr>
          <w:p w14:paraId="5F28482F" w14:textId="77777777" w:rsidR="00FB78D4" w:rsidRPr="00FB78D4" w:rsidRDefault="00FB78D4" w:rsidP="00FB78D4">
            <w:pPr>
              <w:jc w:val="cente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2766165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12746E6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17BB90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11AFC5B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F41003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45</w:t>
            </w:r>
          </w:p>
        </w:tc>
        <w:tc>
          <w:tcPr>
            <w:tcW w:w="429" w:type="pct"/>
            <w:tcBorders>
              <w:top w:val="nil"/>
              <w:left w:val="nil"/>
              <w:bottom w:val="nil"/>
              <w:right w:val="nil"/>
            </w:tcBorders>
            <w:shd w:val="clear" w:color="000000" w:fill="FFFFFF"/>
            <w:noWrap/>
            <w:vAlign w:val="bottom"/>
            <w:hideMark/>
          </w:tcPr>
          <w:p w14:paraId="1BB2AFD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3.13</w:t>
            </w:r>
          </w:p>
        </w:tc>
        <w:tc>
          <w:tcPr>
            <w:tcW w:w="429" w:type="pct"/>
            <w:tcBorders>
              <w:top w:val="nil"/>
              <w:left w:val="nil"/>
              <w:bottom w:val="nil"/>
              <w:right w:val="nil"/>
            </w:tcBorders>
            <w:shd w:val="clear" w:color="000000" w:fill="FFFFFF"/>
            <w:noWrap/>
            <w:vAlign w:val="bottom"/>
            <w:hideMark/>
          </w:tcPr>
          <w:p w14:paraId="3110FE8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3.11</w:t>
            </w:r>
          </w:p>
        </w:tc>
      </w:tr>
      <w:tr w:rsidR="00FB78D4" w:rsidRPr="00FB78D4" w14:paraId="425E1D70" w14:textId="77777777" w:rsidTr="00BB5461">
        <w:trPr>
          <w:trHeight w:val="320"/>
        </w:trPr>
        <w:tc>
          <w:tcPr>
            <w:tcW w:w="429" w:type="pct"/>
            <w:tcBorders>
              <w:top w:val="nil"/>
              <w:left w:val="nil"/>
              <w:bottom w:val="nil"/>
              <w:right w:val="nil"/>
            </w:tcBorders>
            <w:shd w:val="clear" w:color="000000" w:fill="FFFFFF"/>
            <w:noWrap/>
            <w:vAlign w:val="bottom"/>
            <w:hideMark/>
          </w:tcPr>
          <w:p w14:paraId="21316E1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005A36E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FF9637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3D695F0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20</w:t>
            </w:r>
          </w:p>
        </w:tc>
        <w:tc>
          <w:tcPr>
            <w:tcW w:w="429" w:type="pct"/>
            <w:tcBorders>
              <w:top w:val="nil"/>
              <w:left w:val="nil"/>
              <w:bottom w:val="nil"/>
              <w:right w:val="nil"/>
            </w:tcBorders>
            <w:shd w:val="clear" w:color="000000" w:fill="FFFFFF"/>
            <w:noWrap/>
            <w:vAlign w:val="bottom"/>
            <w:hideMark/>
          </w:tcPr>
          <w:p w14:paraId="0E6FDB3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743901D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4A07F4B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E44BE8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27</w:t>
            </w:r>
          </w:p>
        </w:tc>
        <w:tc>
          <w:tcPr>
            <w:tcW w:w="429" w:type="pct"/>
            <w:tcBorders>
              <w:top w:val="nil"/>
              <w:left w:val="nil"/>
              <w:bottom w:val="nil"/>
              <w:right w:val="nil"/>
            </w:tcBorders>
            <w:shd w:val="clear" w:color="000000" w:fill="FFFFFF"/>
            <w:noWrap/>
            <w:vAlign w:val="bottom"/>
            <w:hideMark/>
          </w:tcPr>
          <w:p w14:paraId="1E4DAF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3.85</w:t>
            </w:r>
          </w:p>
        </w:tc>
        <w:tc>
          <w:tcPr>
            <w:tcW w:w="429" w:type="pct"/>
            <w:tcBorders>
              <w:top w:val="nil"/>
              <w:left w:val="nil"/>
              <w:bottom w:val="nil"/>
              <w:right w:val="nil"/>
            </w:tcBorders>
            <w:shd w:val="clear" w:color="000000" w:fill="FFFFFF"/>
            <w:noWrap/>
            <w:vAlign w:val="bottom"/>
            <w:hideMark/>
          </w:tcPr>
          <w:p w14:paraId="25477B9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3.81</w:t>
            </w:r>
          </w:p>
        </w:tc>
      </w:tr>
      <w:tr w:rsidR="00FB78D4" w:rsidRPr="00FB78D4" w14:paraId="23AA7D27" w14:textId="77777777" w:rsidTr="00BB5461">
        <w:trPr>
          <w:trHeight w:val="320"/>
        </w:trPr>
        <w:tc>
          <w:tcPr>
            <w:tcW w:w="429" w:type="pct"/>
            <w:tcBorders>
              <w:top w:val="nil"/>
              <w:left w:val="nil"/>
              <w:bottom w:val="nil"/>
              <w:right w:val="nil"/>
            </w:tcBorders>
            <w:shd w:val="clear" w:color="000000" w:fill="FFFFFF"/>
            <w:noWrap/>
            <w:vAlign w:val="bottom"/>
            <w:hideMark/>
          </w:tcPr>
          <w:p w14:paraId="2F9C1EA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135041F6"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8FF3FA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33AAA5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CA6757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F4711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4A2DDD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72639B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080A71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2975BD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00E28CC9" w14:textId="77777777" w:rsidTr="00BB5461">
        <w:trPr>
          <w:trHeight w:val="320"/>
        </w:trPr>
        <w:tc>
          <w:tcPr>
            <w:tcW w:w="429" w:type="pct"/>
            <w:tcBorders>
              <w:top w:val="nil"/>
              <w:left w:val="nil"/>
              <w:bottom w:val="nil"/>
              <w:right w:val="nil"/>
            </w:tcBorders>
            <w:shd w:val="clear" w:color="000000" w:fill="FFFFFF"/>
            <w:noWrap/>
            <w:vAlign w:val="bottom"/>
            <w:hideMark/>
          </w:tcPr>
          <w:p w14:paraId="5E90104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7CDDFE4" w14:textId="3E60EFBE"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COM</w:t>
            </w:r>
            <w:r w:rsidR="003F344D">
              <w:rPr>
                <w:rFonts w:ascii="Times New Roman" w:eastAsia="Times New Roman" w:hAnsi="Times New Roman" w:cs="Times New Roman"/>
                <w:b/>
                <w:bCs/>
                <w:i/>
                <w:iCs/>
                <w:color w:val="000000"/>
                <w:sz w:val="22"/>
                <w:szCs w:val="22"/>
                <w:lang w:val="en-GB" w:eastAsia="en-GB"/>
              </w:rPr>
              <w:t xml:space="preserve"> </w:t>
            </w:r>
            <w:r w:rsidRPr="00FB78D4">
              <w:rPr>
                <w:rFonts w:ascii="Times New Roman" w:eastAsia="Times New Roman" w:hAnsi="Times New Roman" w:cs="Times New Roman"/>
                <w:b/>
                <w:bCs/>
                <w:i/>
                <w:iCs/>
                <w:color w:val="000000"/>
                <w:sz w:val="22"/>
                <w:szCs w:val="22"/>
                <w:lang w:val="en-GB" w:eastAsia="en-GB"/>
              </w:rPr>
              <w:t xml:space="preserve">vs. NO </w:t>
            </w:r>
          </w:p>
        </w:tc>
        <w:tc>
          <w:tcPr>
            <w:tcW w:w="429" w:type="pct"/>
            <w:tcBorders>
              <w:top w:val="nil"/>
              <w:left w:val="nil"/>
              <w:bottom w:val="nil"/>
              <w:right w:val="nil"/>
            </w:tcBorders>
            <w:shd w:val="clear" w:color="000000" w:fill="FFFFFF"/>
            <w:noWrap/>
            <w:vAlign w:val="center"/>
            <w:hideMark/>
          </w:tcPr>
          <w:p w14:paraId="1013151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71C85A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C3FDB91"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8D70E3D"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5D49F55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9566A9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343139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F537CA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2C586A2B" w14:textId="77777777" w:rsidTr="00BB5461">
        <w:trPr>
          <w:trHeight w:val="320"/>
        </w:trPr>
        <w:tc>
          <w:tcPr>
            <w:tcW w:w="429" w:type="pct"/>
            <w:tcBorders>
              <w:top w:val="nil"/>
              <w:left w:val="nil"/>
              <w:bottom w:val="nil"/>
              <w:right w:val="nil"/>
            </w:tcBorders>
            <w:shd w:val="clear" w:color="000000" w:fill="FFFFFF"/>
            <w:noWrap/>
            <w:vAlign w:val="bottom"/>
            <w:hideMark/>
          </w:tcPr>
          <w:p w14:paraId="0E3FAB4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3B9A755F"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2F9593CB"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18539F7A"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5B19BECB"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5B969C9"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51BF70C"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CE1559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B9D273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6F767D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08FF81DA"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56EDC824"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lastRenderedPageBreak/>
              <w:t xml:space="preserve">Whole brain </w:t>
            </w:r>
          </w:p>
        </w:tc>
        <w:tc>
          <w:tcPr>
            <w:tcW w:w="429" w:type="pct"/>
            <w:tcBorders>
              <w:top w:val="nil"/>
              <w:left w:val="nil"/>
              <w:bottom w:val="nil"/>
              <w:right w:val="nil"/>
            </w:tcBorders>
            <w:shd w:val="clear" w:color="000000" w:fill="FFFFFF"/>
            <w:noWrap/>
            <w:vAlign w:val="bottom"/>
            <w:hideMark/>
          </w:tcPr>
          <w:p w14:paraId="7B23E2B8"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ABD9E49"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76E30A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694D8A9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ECA18A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A214E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AC22B4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60355C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38488D77" w14:textId="77777777" w:rsidTr="00BB5461">
        <w:trPr>
          <w:trHeight w:val="320"/>
        </w:trPr>
        <w:tc>
          <w:tcPr>
            <w:tcW w:w="429" w:type="pct"/>
            <w:tcBorders>
              <w:top w:val="nil"/>
              <w:left w:val="nil"/>
              <w:bottom w:val="nil"/>
              <w:right w:val="nil"/>
            </w:tcBorders>
            <w:shd w:val="clear" w:color="000000" w:fill="FFFFFF"/>
            <w:noWrap/>
            <w:vAlign w:val="bottom"/>
            <w:hideMark/>
          </w:tcPr>
          <w:p w14:paraId="4D253CA5"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1137" w:type="pct"/>
            <w:tcBorders>
              <w:top w:val="nil"/>
              <w:left w:val="nil"/>
              <w:bottom w:val="nil"/>
              <w:right w:val="nil"/>
            </w:tcBorders>
            <w:shd w:val="clear" w:color="000000" w:fill="FFFFFF"/>
            <w:noWrap/>
            <w:vAlign w:val="bottom"/>
            <w:hideMark/>
          </w:tcPr>
          <w:p w14:paraId="2894657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005C37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29D89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86729E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8BFE90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55B5E0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D33EE8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C5216F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447F9D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0EC728E1" w14:textId="77777777" w:rsidTr="00BB5461">
        <w:trPr>
          <w:trHeight w:val="320"/>
        </w:trPr>
        <w:tc>
          <w:tcPr>
            <w:tcW w:w="429" w:type="pct"/>
            <w:tcBorders>
              <w:top w:val="nil"/>
              <w:left w:val="nil"/>
              <w:bottom w:val="nil"/>
              <w:right w:val="nil"/>
            </w:tcBorders>
            <w:shd w:val="clear" w:color="000000" w:fill="FFFFFF"/>
            <w:noWrap/>
            <w:vAlign w:val="bottom"/>
            <w:hideMark/>
          </w:tcPr>
          <w:p w14:paraId="5267D85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4E3275E"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Ventral amygdala </w:t>
            </w:r>
          </w:p>
        </w:tc>
        <w:tc>
          <w:tcPr>
            <w:tcW w:w="429" w:type="pct"/>
            <w:tcBorders>
              <w:top w:val="nil"/>
              <w:left w:val="nil"/>
              <w:bottom w:val="nil"/>
              <w:right w:val="nil"/>
            </w:tcBorders>
            <w:shd w:val="clear" w:color="000000" w:fill="FFFFFF"/>
            <w:noWrap/>
            <w:vAlign w:val="bottom"/>
            <w:hideMark/>
          </w:tcPr>
          <w:p w14:paraId="496A2FF8"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9BF0973"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0DA37C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E9A8D3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A2801C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BD8CDD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75E755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DC7A30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786DB729" w14:textId="77777777" w:rsidTr="00BB5461">
        <w:trPr>
          <w:trHeight w:val="320"/>
        </w:trPr>
        <w:tc>
          <w:tcPr>
            <w:tcW w:w="429" w:type="pct"/>
            <w:tcBorders>
              <w:top w:val="nil"/>
              <w:left w:val="nil"/>
              <w:bottom w:val="nil"/>
              <w:right w:val="nil"/>
            </w:tcBorders>
            <w:shd w:val="clear" w:color="000000" w:fill="FFFFFF"/>
            <w:noWrap/>
            <w:vAlign w:val="bottom"/>
            <w:hideMark/>
          </w:tcPr>
          <w:p w14:paraId="0977FC9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B21A67C"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Dorsal amygdala </w:t>
            </w:r>
          </w:p>
        </w:tc>
        <w:tc>
          <w:tcPr>
            <w:tcW w:w="429" w:type="pct"/>
            <w:tcBorders>
              <w:top w:val="nil"/>
              <w:left w:val="nil"/>
              <w:bottom w:val="nil"/>
              <w:right w:val="nil"/>
            </w:tcBorders>
            <w:shd w:val="clear" w:color="000000" w:fill="FFFFFF"/>
            <w:noWrap/>
            <w:vAlign w:val="bottom"/>
            <w:hideMark/>
          </w:tcPr>
          <w:p w14:paraId="34FCD264"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62201D05"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50628B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8552E3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6DB4BE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5FC894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42C56B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40895F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208C65DA" w14:textId="77777777" w:rsidTr="00BB5461">
        <w:trPr>
          <w:trHeight w:val="320"/>
        </w:trPr>
        <w:tc>
          <w:tcPr>
            <w:tcW w:w="429" w:type="pct"/>
            <w:tcBorders>
              <w:top w:val="nil"/>
              <w:left w:val="nil"/>
              <w:bottom w:val="nil"/>
              <w:right w:val="nil"/>
            </w:tcBorders>
            <w:shd w:val="clear" w:color="000000" w:fill="FFFFFF"/>
            <w:noWrap/>
            <w:vAlign w:val="bottom"/>
            <w:hideMark/>
          </w:tcPr>
          <w:p w14:paraId="241893F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center"/>
            <w:hideMark/>
          </w:tcPr>
          <w:p w14:paraId="5DF105C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0277931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0528D2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9FD188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DA31FA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6031CD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3077558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6D17FC1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center"/>
            <w:hideMark/>
          </w:tcPr>
          <w:p w14:paraId="4C2E1FF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29635F07" w14:textId="77777777" w:rsidTr="00BB5461">
        <w:trPr>
          <w:trHeight w:val="320"/>
        </w:trPr>
        <w:tc>
          <w:tcPr>
            <w:tcW w:w="429" w:type="pct"/>
            <w:tcBorders>
              <w:top w:val="nil"/>
              <w:left w:val="nil"/>
              <w:bottom w:val="nil"/>
              <w:right w:val="nil"/>
            </w:tcBorders>
            <w:shd w:val="clear" w:color="000000" w:fill="FFFFFF"/>
            <w:noWrap/>
            <w:vAlign w:val="bottom"/>
            <w:hideMark/>
          </w:tcPr>
          <w:p w14:paraId="452C14F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single" w:sz="4" w:space="0" w:color="auto"/>
              <w:left w:val="nil"/>
              <w:bottom w:val="single" w:sz="4" w:space="0" w:color="auto"/>
              <w:right w:val="nil"/>
            </w:tcBorders>
            <w:shd w:val="clear" w:color="000000" w:fill="FFFFFF"/>
            <w:noWrap/>
            <w:vAlign w:val="bottom"/>
            <w:hideMark/>
          </w:tcPr>
          <w:p w14:paraId="472E21F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Brain region </w:t>
            </w:r>
          </w:p>
        </w:tc>
        <w:tc>
          <w:tcPr>
            <w:tcW w:w="429" w:type="pct"/>
            <w:tcBorders>
              <w:top w:val="single" w:sz="4" w:space="0" w:color="auto"/>
              <w:left w:val="nil"/>
              <w:bottom w:val="single" w:sz="4" w:space="0" w:color="auto"/>
              <w:right w:val="nil"/>
            </w:tcBorders>
            <w:shd w:val="clear" w:color="000000" w:fill="D9D9D9"/>
            <w:noWrap/>
            <w:vAlign w:val="bottom"/>
            <w:hideMark/>
          </w:tcPr>
          <w:p w14:paraId="4FDA3528"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R/L</w:t>
            </w:r>
          </w:p>
        </w:tc>
        <w:tc>
          <w:tcPr>
            <w:tcW w:w="429" w:type="pct"/>
            <w:tcBorders>
              <w:top w:val="single" w:sz="4" w:space="0" w:color="auto"/>
              <w:left w:val="nil"/>
              <w:bottom w:val="single" w:sz="4" w:space="0" w:color="auto"/>
              <w:right w:val="nil"/>
            </w:tcBorders>
            <w:shd w:val="clear" w:color="000000" w:fill="D9D9D9"/>
            <w:noWrap/>
            <w:vAlign w:val="bottom"/>
            <w:hideMark/>
          </w:tcPr>
          <w:p w14:paraId="0136285C"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x</w:t>
            </w:r>
          </w:p>
        </w:tc>
        <w:tc>
          <w:tcPr>
            <w:tcW w:w="429" w:type="pct"/>
            <w:tcBorders>
              <w:top w:val="single" w:sz="4" w:space="0" w:color="auto"/>
              <w:left w:val="nil"/>
              <w:bottom w:val="single" w:sz="4" w:space="0" w:color="auto"/>
              <w:right w:val="nil"/>
            </w:tcBorders>
            <w:shd w:val="clear" w:color="000000" w:fill="D9D9D9"/>
            <w:noWrap/>
            <w:vAlign w:val="bottom"/>
            <w:hideMark/>
          </w:tcPr>
          <w:p w14:paraId="15B70952"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y</w:t>
            </w:r>
          </w:p>
        </w:tc>
        <w:tc>
          <w:tcPr>
            <w:tcW w:w="429" w:type="pct"/>
            <w:tcBorders>
              <w:top w:val="single" w:sz="4" w:space="0" w:color="auto"/>
              <w:left w:val="nil"/>
              <w:bottom w:val="single" w:sz="4" w:space="0" w:color="auto"/>
              <w:right w:val="nil"/>
            </w:tcBorders>
            <w:shd w:val="clear" w:color="000000" w:fill="D9D9D9"/>
            <w:noWrap/>
            <w:vAlign w:val="bottom"/>
            <w:hideMark/>
          </w:tcPr>
          <w:p w14:paraId="29ED5599"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z</w:t>
            </w:r>
          </w:p>
        </w:tc>
        <w:tc>
          <w:tcPr>
            <w:tcW w:w="429" w:type="pct"/>
            <w:tcBorders>
              <w:top w:val="single" w:sz="4" w:space="0" w:color="auto"/>
              <w:left w:val="nil"/>
              <w:bottom w:val="nil"/>
              <w:right w:val="nil"/>
            </w:tcBorders>
            <w:shd w:val="clear" w:color="000000" w:fill="FFFFFF"/>
            <w:noWrap/>
            <w:vAlign w:val="bottom"/>
            <w:hideMark/>
          </w:tcPr>
          <w:p w14:paraId="10F9A683" w14:textId="77777777" w:rsidR="00FB78D4" w:rsidRPr="00FB78D4" w:rsidRDefault="00FB78D4" w:rsidP="00FB78D4">
            <w:pPr>
              <w:jc w:val="center"/>
              <w:rPr>
                <w:rFonts w:ascii="Times New Roman" w:eastAsia="Times New Roman" w:hAnsi="Times New Roman" w:cs="Times New Roman"/>
                <w:b/>
                <w:bCs/>
                <w:color w:val="000000"/>
                <w:sz w:val="22"/>
                <w:szCs w:val="22"/>
                <w:lang w:val="en-GB" w:eastAsia="en-GB"/>
              </w:rPr>
            </w:pPr>
            <w:r w:rsidRPr="00FB78D4">
              <w:rPr>
                <w:rFonts w:ascii="Times New Roman" w:eastAsia="Times New Roman" w:hAnsi="Times New Roman" w:cs="Times New Roman"/>
                <w:b/>
                <w:bCs/>
                <w:color w:val="000000"/>
                <w:sz w:val="22"/>
                <w:szCs w:val="22"/>
                <w:lang w:val="en-GB" w:eastAsia="en-GB"/>
              </w:rPr>
              <w:t> </w:t>
            </w:r>
          </w:p>
        </w:tc>
        <w:tc>
          <w:tcPr>
            <w:tcW w:w="429" w:type="pct"/>
            <w:tcBorders>
              <w:top w:val="single" w:sz="4" w:space="0" w:color="auto"/>
              <w:left w:val="nil"/>
              <w:bottom w:val="single" w:sz="4" w:space="0" w:color="auto"/>
              <w:right w:val="nil"/>
            </w:tcBorders>
            <w:shd w:val="clear" w:color="000000" w:fill="D9D9D9"/>
            <w:noWrap/>
            <w:vAlign w:val="bottom"/>
            <w:hideMark/>
          </w:tcPr>
          <w:p w14:paraId="5475BC34"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proofErr w:type="spellStart"/>
            <w:r w:rsidRPr="00FB78D4">
              <w:rPr>
                <w:rFonts w:ascii="Times New Roman" w:eastAsia="Times New Roman" w:hAnsi="Times New Roman" w:cs="Times New Roman"/>
                <w:b/>
                <w:bCs/>
                <w:i/>
                <w:iCs/>
                <w:color w:val="000000"/>
                <w:sz w:val="22"/>
                <w:szCs w:val="22"/>
                <w:lang w:val="en-GB" w:eastAsia="en-GB"/>
              </w:rPr>
              <w:t>ke</w:t>
            </w:r>
            <w:proofErr w:type="spellEnd"/>
          </w:p>
        </w:tc>
        <w:tc>
          <w:tcPr>
            <w:tcW w:w="429" w:type="pct"/>
            <w:tcBorders>
              <w:top w:val="single" w:sz="4" w:space="0" w:color="auto"/>
              <w:left w:val="nil"/>
              <w:bottom w:val="single" w:sz="4" w:space="0" w:color="auto"/>
              <w:right w:val="nil"/>
            </w:tcBorders>
            <w:shd w:val="clear" w:color="000000" w:fill="D9D9D9"/>
            <w:noWrap/>
            <w:vAlign w:val="bottom"/>
            <w:hideMark/>
          </w:tcPr>
          <w:p w14:paraId="43C1F975"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t</w:t>
            </w:r>
          </w:p>
        </w:tc>
        <w:tc>
          <w:tcPr>
            <w:tcW w:w="429" w:type="pct"/>
            <w:tcBorders>
              <w:top w:val="single" w:sz="4" w:space="0" w:color="auto"/>
              <w:left w:val="nil"/>
              <w:bottom w:val="single" w:sz="4" w:space="0" w:color="auto"/>
              <w:right w:val="nil"/>
            </w:tcBorders>
            <w:shd w:val="clear" w:color="000000" w:fill="D9D9D9"/>
            <w:noWrap/>
            <w:vAlign w:val="bottom"/>
            <w:hideMark/>
          </w:tcPr>
          <w:p w14:paraId="038BE881" w14:textId="77777777" w:rsidR="00FB78D4" w:rsidRPr="00FB78D4" w:rsidRDefault="00FB78D4" w:rsidP="00FB78D4">
            <w:pPr>
              <w:jc w:val="cente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Z</w:t>
            </w:r>
          </w:p>
        </w:tc>
      </w:tr>
      <w:tr w:rsidR="00FB78D4" w:rsidRPr="00FB78D4" w14:paraId="332E2100" w14:textId="77777777" w:rsidTr="00BB5461">
        <w:trPr>
          <w:trHeight w:val="320"/>
        </w:trPr>
        <w:tc>
          <w:tcPr>
            <w:tcW w:w="429" w:type="pct"/>
            <w:tcBorders>
              <w:top w:val="nil"/>
              <w:left w:val="nil"/>
              <w:bottom w:val="nil"/>
              <w:right w:val="nil"/>
            </w:tcBorders>
            <w:shd w:val="clear" w:color="000000" w:fill="FFFFFF"/>
            <w:noWrap/>
            <w:vAlign w:val="bottom"/>
            <w:hideMark/>
          </w:tcPr>
          <w:p w14:paraId="644151E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38F0EEC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E042D0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140CB0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DBA733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4E2AF0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761027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FA8A38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395C46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39CD89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503CA284" w14:textId="77777777" w:rsidTr="00BB5461">
        <w:trPr>
          <w:trHeight w:val="320"/>
        </w:trPr>
        <w:tc>
          <w:tcPr>
            <w:tcW w:w="429" w:type="pct"/>
            <w:tcBorders>
              <w:top w:val="nil"/>
              <w:left w:val="nil"/>
              <w:bottom w:val="nil"/>
              <w:right w:val="nil"/>
            </w:tcBorders>
            <w:shd w:val="clear" w:color="000000" w:fill="FFFFFF"/>
            <w:noWrap/>
            <w:vAlign w:val="bottom"/>
            <w:hideMark/>
          </w:tcPr>
          <w:p w14:paraId="0BB4D86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33DF2510" w14:textId="77777777"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 xml:space="preserve">AO vs. COM </w:t>
            </w:r>
          </w:p>
        </w:tc>
        <w:tc>
          <w:tcPr>
            <w:tcW w:w="429" w:type="pct"/>
            <w:tcBorders>
              <w:top w:val="nil"/>
              <w:left w:val="nil"/>
              <w:bottom w:val="nil"/>
              <w:right w:val="nil"/>
            </w:tcBorders>
            <w:shd w:val="clear" w:color="000000" w:fill="FFFFFF"/>
            <w:noWrap/>
            <w:vAlign w:val="bottom"/>
            <w:hideMark/>
          </w:tcPr>
          <w:p w14:paraId="129DA66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504FA0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AF9DFF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F123B1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971768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0DE354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7AF8D4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4CBF9D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79EBD52A" w14:textId="77777777" w:rsidTr="00BB5461">
        <w:trPr>
          <w:trHeight w:val="320"/>
        </w:trPr>
        <w:tc>
          <w:tcPr>
            <w:tcW w:w="429" w:type="pct"/>
            <w:tcBorders>
              <w:top w:val="nil"/>
              <w:left w:val="nil"/>
              <w:bottom w:val="nil"/>
              <w:right w:val="nil"/>
            </w:tcBorders>
            <w:shd w:val="clear" w:color="000000" w:fill="FFFFFF"/>
            <w:noWrap/>
            <w:vAlign w:val="bottom"/>
            <w:hideMark/>
          </w:tcPr>
          <w:p w14:paraId="4133941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2C4428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E38A2D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DCBC05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C9E7FE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79E9B6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ABBFB3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8A0FCB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30BD7D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8651BE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39F85F5D" w14:textId="77777777" w:rsidTr="00BB5461">
        <w:trPr>
          <w:trHeight w:val="320"/>
        </w:trPr>
        <w:tc>
          <w:tcPr>
            <w:tcW w:w="429" w:type="pct"/>
            <w:tcBorders>
              <w:top w:val="nil"/>
              <w:left w:val="nil"/>
              <w:bottom w:val="nil"/>
              <w:right w:val="nil"/>
            </w:tcBorders>
            <w:shd w:val="clear" w:color="000000" w:fill="FFFFFF"/>
            <w:noWrap/>
            <w:vAlign w:val="bottom"/>
            <w:hideMark/>
          </w:tcPr>
          <w:p w14:paraId="675D963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0C58431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Left amygdala </w:t>
            </w:r>
          </w:p>
        </w:tc>
        <w:tc>
          <w:tcPr>
            <w:tcW w:w="429" w:type="pct"/>
            <w:tcBorders>
              <w:top w:val="nil"/>
              <w:left w:val="nil"/>
              <w:bottom w:val="nil"/>
              <w:right w:val="nil"/>
            </w:tcBorders>
            <w:shd w:val="clear" w:color="000000" w:fill="FFFFFF"/>
            <w:noWrap/>
            <w:vAlign w:val="bottom"/>
            <w:hideMark/>
          </w:tcPr>
          <w:p w14:paraId="3112F9B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4003917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-28</w:t>
            </w:r>
          </w:p>
        </w:tc>
        <w:tc>
          <w:tcPr>
            <w:tcW w:w="429" w:type="pct"/>
            <w:tcBorders>
              <w:top w:val="nil"/>
              <w:left w:val="nil"/>
              <w:bottom w:val="nil"/>
              <w:right w:val="nil"/>
            </w:tcBorders>
            <w:shd w:val="clear" w:color="000000" w:fill="FFFFFF"/>
            <w:noWrap/>
            <w:vAlign w:val="bottom"/>
            <w:hideMark/>
          </w:tcPr>
          <w:p w14:paraId="63F058D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168D55C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472057B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ED19F3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55</w:t>
            </w:r>
          </w:p>
        </w:tc>
        <w:tc>
          <w:tcPr>
            <w:tcW w:w="429" w:type="pct"/>
            <w:tcBorders>
              <w:top w:val="nil"/>
              <w:left w:val="nil"/>
              <w:bottom w:val="nil"/>
              <w:right w:val="nil"/>
            </w:tcBorders>
            <w:shd w:val="clear" w:color="000000" w:fill="FFFFFF"/>
            <w:noWrap/>
            <w:vAlign w:val="bottom"/>
            <w:hideMark/>
          </w:tcPr>
          <w:p w14:paraId="0AD68A8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4.25</w:t>
            </w:r>
          </w:p>
        </w:tc>
        <w:tc>
          <w:tcPr>
            <w:tcW w:w="429" w:type="pct"/>
            <w:tcBorders>
              <w:top w:val="nil"/>
              <w:left w:val="nil"/>
              <w:bottom w:val="nil"/>
              <w:right w:val="nil"/>
            </w:tcBorders>
            <w:shd w:val="clear" w:color="000000" w:fill="FFFFFF"/>
            <w:noWrap/>
            <w:vAlign w:val="bottom"/>
            <w:hideMark/>
          </w:tcPr>
          <w:p w14:paraId="638D2CB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w:t>
            </w:r>
          </w:p>
        </w:tc>
      </w:tr>
      <w:tr w:rsidR="00FB78D4" w:rsidRPr="00FB78D4" w14:paraId="141A3C1B" w14:textId="77777777" w:rsidTr="00BB5461">
        <w:trPr>
          <w:trHeight w:val="320"/>
        </w:trPr>
        <w:tc>
          <w:tcPr>
            <w:tcW w:w="429" w:type="pct"/>
            <w:tcBorders>
              <w:top w:val="nil"/>
              <w:left w:val="nil"/>
              <w:bottom w:val="nil"/>
              <w:right w:val="nil"/>
            </w:tcBorders>
            <w:shd w:val="clear" w:color="000000" w:fill="FFFFFF"/>
            <w:noWrap/>
            <w:vAlign w:val="bottom"/>
            <w:hideMark/>
          </w:tcPr>
          <w:p w14:paraId="086F3D3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2E8B427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Medial prefrontal cortex </w:t>
            </w:r>
          </w:p>
        </w:tc>
        <w:tc>
          <w:tcPr>
            <w:tcW w:w="429" w:type="pct"/>
            <w:tcBorders>
              <w:top w:val="nil"/>
              <w:left w:val="nil"/>
              <w:bottom w:val="nil"/>
              <w:right w:val="nil"/>
            </w:tcBorders>
            <w:shd w:val="clear" w:color="000000" w:fill="FFFFFF"/>
            <w:noWrap/>
            <w:vAlign w:val="bottom"/>
            <w:hideMark/>
          </w:tcPr>
          <w:p w14:paraId="2F80A10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4AE30F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5998EF4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58</w:t>
            </w:r>
          </w:p>
        </w:tc>
        <w:tc>
          <w:tcPr>
            <w:tcW w:w="429" w:type="pct"/>
            <w:tcBorders>
              <w:top w:val="nil"/>
              <w:left w:val="nil"/>
              <w:bottom w:val="nil"/>
              <w:right w:val="nil"/>
            </w:tcBorders>
            <w:shd w:val="clear" w:color="000000" w:fill="FFFFFF"/>
            <w:noWrap/>
            <w:vAlign w:val="bottom"/>
            <w:hideMark/>
          </w:tcPr>
          <w:p w14:paraId="5B218E7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3163C3E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B601A4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113</w:t>
            </w:r>
          </w:p>
        </w:tc>
        <w:tc>
          <w:tcPr>
            <w:tcW w:w="429" w:type="pct"/>
            <w:tcBorders>
              <w:top w:val="nil"/>
              <w:left w:val="nil"/>
              <w:bottom w:val="nil"/>
              <w:right w:val="nil"/>
            </w:tcBorders>
            <w:shd w:val="clear" w:color="000000" w:fill="FFFFFF"/>
            <w:noWrap/>
            <w:vAlign w:val="bottom"/>
            <w:hideMark/>
          </w:tcPr>
          <w:p w14:paraId="10DC5AE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3.98</w:t>
            </w:r>
          </w:p>
        </w:tc>
        <w:tc>
          <w:tcPr>
            <w:tcW w:w="429" w:type="pct"/>
            <w:tcBorders>
              <w:top w:val="nil"/>
              <w:left w:val="nil"/>
              <w:bottom w:val="nil"/>
              <w:right w:val="nil"/>
            </w:tcBorders>
            <w:shd w:val="clear" w:color="000000" w:fill="FFFFFF"/>
            <w:noWrap/>
            <w:vAlign w:val="bottom"/>
            <w:hideMark/>
          </w:tcPr>
          <w:p w14:paraId="70980C3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3.94</w:t>
            </w:r>
          </w:p>
        </w:tc>
      </w:tr>
      <w:tr w:rsidR="00FB78D4" w:rsidRPr="00FB78D4" w14:paraId="104EA7F7" w14:textId="77777777" w:rsidTr="00BB5461">
        <w:trPr>
          <w:trHeight w:val="320"/>
        </w:trPr>
        <w:tc>
          <w:tcPr>
            <w:tcW w:w="429" w:type="pct"/>
            <w:tcBorders>
              <w:top w:val="nil"/>
              <w:left w:val="nil"/>
              <w:bottom w:val="nil"/>
              <w:right w:val="nil"/>
            </w:tcBorders>
            <w:shd w:val="clear" w:color="000000" w:fill="FFFFFF"/>
            <w:noWrap/>
            <w:vAlign w:val="bottom"/>
            <w:hideMark/>
          </w:tcPr>
          <w:p w14:paraId="4D80974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9382C7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B0FFCB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0F5E1C7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2876FF5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782E549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24710B1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FC3352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DB74D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3.44</w:t>
            </w:r>
          </w:p>
        </w:tc>
        <w:tc>
          <w:tcPr>
            <w:tcW w:w="429" w:type="pct"/>
            <w:tcBorders>
              <w:top w:val="nil"/>
              <w:left w:val="nil"/>
              <w:bottom w:val="nil"/>
              <w:right w:val="nil"/>
            </w:tcBorders>
            <w:shd w:val="clear" w:color="000000" w:fill="FFFFFF"/>
            <w:noWrap/>
            <w:vAlign w:val="bottom"/>
            <w:hideMark/>
          </w:tcPr>
          <w:p w14:paraId="641EE54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3.41</w:t>
            </w:r>
          </w:p>
        </w:tc>
      </w:tr>
      <w:tr w:rsidR="00FB78D4" w:rsidRPr="00FB78D4" w14:paraId="4924ADCE" w14:textId="77777777" w:rsidTr="00BB5461">
        <w:trPr>
          <w:trHeight w:val="320"/>
        </w:trPr>
        <w:tc>
          <w:tcPr>
            <w:tcW w:w="429" w:type="pct"/>
            <w:tcBorders>
              <w:top w:val="nil"/>
              <w:left w:val="nil"/>
              <w:bottom w:val="nil"/>
              <w:right w:val="nil"/>
            </w:tcBorders>
            <w:shd w:val="clear" w:color="000000" w:fill="FFFFFF"/>
            <w:noWrap/>
            <w:vAlign w:val="bottom"/>
            <w:hideMark/>
          </w:tcPr>
          <w:p w14:paraId="348E7A0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58EC73C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Motor cortex (SMA)</w:t>
            </w:r>
          </w:p>
        </w:tc>
        <w:tc>
          <w:tcPr>
            <w:tcW w:w="429" w:type="pct"/>
            <w:tcBorders>
              <w:top w:val="nil"/>
              <w:left w:val="nil"/>
              <w:bottom w:val="nil"/>
              <w:right w:val="nil"/>
            </w:tcBorders>
            <w:shd w:val="clear" w:color="000000" w:fill="FFFFFF"/>
            <w:noWrap/>
            <w:vAlign w:val="bottom"/>
            <w:hideMark/>
          </w:tcPr>
          <w:p w14:paraId="022352B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20292F1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6701564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3958FF5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60</w:t>
            </w:r>
          </w:p>
        </w:tc>
        <w:tc>
          <w:tcPr>
            <w:tcW w:w="429" w:type="pct"/>
            <w:tcBorders>
              <w:top w:val="nil"/>
              <w:left w:val="nil"/>
              <w:bottom w:val="nil"/>
              <w:right w:val="nil"/>
            </w:tcBorders>
            <w:shd w:val="clear" w:color="000000" w:fill="FFFFFF"/>
            <w:noWrap/>
            <w:vAlign w:val="bottom"/>
            <w:hideMark/>
          </w:tcPr>
          <w:p w14:paraId="2647D8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D5660B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21</w:t>
            </w:r>
          </w:p>
        </w:tc>
        <w:tc>
          <w:tcPr>
            <w:tcW w:w="429" w:type="pct"/>
            <w:tcBorders>
              <w:top w:val="nil"/>
              <w:left w:val="nil"/>
              <w:bottom w:val="nil"/>
              <w:right w:val="nil"/>
            </w:tcBorders>
            <w:shd w:val="clear" w:color="000000" w:fill="FFFFFF"/>
            <w:noWrap/>
            <w:vAlign w:val="bottom"/>
            <w:hideMark/>
          </w:tcPr>
          <w:p w14:paraId="65C9E1B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3.78</w:t>
            </w:r>
          </w:p>
        </w:tc>
        <w:tc>
          <w:tcPr>
            <w:tcW w:w="429" w:type="pct"/>
            <w:tcBorders>
              <w:top w:val="nil"/>
              <w:left w:val="nil"/>
              <w:bottom w:val="nil"/>
              <w:right w:val="nil"/>
            </w:tcBorders>
            <w:shd w:val="clear" w:color="000000" w:fill="FFFFFF"/>
            <w:noWrap/>
            <w:vAlign w:val="bottom"/>
            <w:hideMark/>
          </w:tcPr>
          <w:p w14:paraId="0CE5060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3.74</w:t>
            </w:r>
          </w:p>
        </w:tc>
      </w:tr>
      <w:tr w:rsidR="00FB78D4" w:rsidRPr="00FB78D4" w14:paraId="15CFA0B0" w14:textId="77777777" w:rsidTr="00BB5461">
        <w:trPr>
          <w:trHeight w:val="320"/>
        </w:trPr>
        <w:tc>
          <w:tcPr>
            <w:tcW w:w="429" w:type="pct"/>
            <w:tcBorders>
              <w:top w:val="nil"/>
              <w:left w:val="nil"/>
              <w:bottom w:val="nil"/>
              <w:right w:val="nil"/>
            </w:tcBorders>
            <w:shd w:val="clear" w:color="000000" w:fill="FFFFFF"/>
            <w:noWrap/>
            <w:vAlign w:val="bottom"/>
            <w:hideMark/>
          </w:tcPr>
          <w:p w14:paraId="1F2C965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0C8FA38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Hippocampus</w:t>
            </w:r>
          </w:p>
        </w:tc>
        <w:tc>
          <w:tcPr>
            <w:tcW w:w="429" w:type="pct"/>
            <w:tcBorders>
              <w:top w:val="nil"/>
              <w:left w:val="nil"/>
              <w:bottom w:val="nil"/>
              <w:right w:val="nil"/>
            </w:tcBorders>
            <w:shd w:val="clear" w:color="000000" w:fill="FFFFFF"/>
            <w:noWrap/>
            <w:vAlign w:val="bottom"/>
            <w:hideMark/>
          </w:tcPr>
          <w:p w14:paraId="7D804BE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3DEDA88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616800F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6DF9D21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23FE2F8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971054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bottom"/>
            <w:hideMark/>
          </w:tcPr>
          <w:p w14:paraId="2FE5904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3.74</w:t>
            </w:r>
          </w:p>
        </w:tc>
        <w:tc>
          <w:tcPr>
            <w:tcW w:w="429" w:type="pct"/>
            <w:tcBorders>
              <w:top w:val="nil"/>
              <w:left w:val="nil"/>
              <w:bottom w:val="nil"/>
              <w:right w:val="nil"/>
            </w:tcBorders>
            <w:shd w:val="clear" w:color="000000" w:fill="FFFFFF"/>
            <w:noWrap/>
            <w:vAlign w:val="bottom"/>
            <w:hideMark/>
          </w:tcPr>
          <w:p w14:paraId="14DDA35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3.71</w:t>
            </w:r>
          </w:p>
        </w:tc>
      </w:tr>
      <w:tr w:rsidR="00FB78D4" w:rsidRPr="00FB78D4" w14:paraId="6BB28F44" w14:textId="77777777" w:rsidTr="00BB5461">
        <w:trPr>
          <w:trHeight w:val="320"/>
        </w:trPr>
        <w:tc>
          <w:tcPr>
            <w:tcW w:w="429" w:type="pct"/>
            <w:tcBorders>
              <w:top w:val="nil"/>
              <w:left w:val="nil"/>
              <w:bottom w:val="nil"/>
              <w:right w:val="nil"/>
            </w:tcBorders>
            <w:shd w:val="clear" w:color="000000" w:fill="FFFFFF"/>
            <w:noWrap/>
            <w:vAlign w:val="bottom"/>
            <w:hideMark/>
          </w:tcPr>
          <w:p w14:paraId="59544B3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11D7520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Middle temporal gyrus </w:t>
            </w:r>
          </w:p>
        </w:tc>
        <w:tc>
          <w:tcPr>
            <w:tcW w:w="429" w:type="pct"/>
            <w:tcBorders>
              <w:top w:val="nil"/>
              <w:left w:val="nil"/>
              <w:bottom w:val="nil"/>
              <w:right w:val="nil"/>
            </w:tcBorders>
            <w:shd w:val="clear" w:color="000000" w:fill="FFFFFF"/>
            <w:noWrap/>
            <w:vAlign w:val="bottom"/>
            <w:hideMark/>
          </w:tcPr>
          <w:p w14:paraId="0C73B65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4E26AD2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52</w:t>
            </w:r>
          </w:p>
        </w:tc>
        <w:tc>
          <w:tcPr>
            <w:tcW w:w="429" w:type="pct"/>
            <w:tcBorders>
              <w:top w:val="nil"/>
              <w:left w:val="nil"/>
              <w:bottom w:val="nil"/>
              <w:right w:val="nil"/>
            </w:tcBorders>
            <w:shd w:val="clear" w:color="000000" w:fill="FFFFFF"/>
            <w:noWrap/>
            <w:vAlign w:val="bottom"/>
            <w:hideMark/>
          </w:tcPr>
          <w:p w14:paraId="3CCD759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3124826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-22</w:t>
            </w:r>
          </w:p>
        </w:tc>
        <w:tc>
          <w:tcPr>
            <w:tcW w:w="429" w:type="pct"/>
            <w:tcBorders>
              <w:top w:val="nil"/>
              <w:left w:val="nil"/>
              <w:bottom w:val="nil"/>
              <w:right w:val="nil"/>
            </w:tcBorders>
            <w:shd w:val="clear" w:color="000000" w:fill="FFFFFF"/>
            <w:noWrap/>
            <w:vAlign w:val="bottom"/>
            <w:hideMark/>
          </w:tcPr>
          <w:p w14:paraId="60AADEB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62EE8A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43</w:t>
            </w:r>
          </w:p>
        </w:tc>
        <w:tc>
          <w:tcPr>
            <w:tcW w:w="429" w:type="pct"/>
            <w:tcBorders>
              <w:top w:val="nil"/>
              <w:left w:val="nil"/>
              <w:bottom w:val="nil"/>
              <w:right w:val="nil"/>
            </w:tcBorders>
            <w:shd w:val="clear" w:color="000000" w:fill="FFFFFF"/>
            <w:noWrap/>
            <w:vAlign w:val="bottom"/>
            <w:hideMark/>
          </w:tcPr>
          <w:p w14:paraId="209FFDC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3.67</w:t>
            </w:r>
          </w:p>
        </w:tc>
        <w:tc>
          <w:tcPr>
            <w:tcW w:w="429" w:type="pct"/>
            <w:tcBorders>
              <w:top w:val="nil"/>
              <w:left w:val="nil"/>
              <w:bottom w:val="nil"/>
              <w:right w:val="nil"/>
            </w:tcBorders>
            <w:shd w:val="clear" w:color="000000" w:fill="FFFFFF"/>
            <w:noWrap/>
            <w:vAlign w:val="bottom"/>
            <w:hideMark/>
          </w:tcPr>
          <w:p w14:paraId="34D85E9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3.64</w:t>
            </w:r>
          </w:p>
        </w:tc>
      </w:tr>
      <w:tr w:rsidR="00FB78D4" w:rsidRPr="00FB78D4" w14:paraId="45D0D53D" w14:textId="77777777" w:rsidTr="00BB5461">
        <w:trPr>
          <w:trHeight w:val="320"/>
        </w:trPr>
        <w:tc>
          <w:tcPr>
            <w:tcW w:w="429" w:type="pct"/>
            <w:tcBorders>
              <w:top w:val="nil"/>
              <w:left w:val="nil"/>
              <w:bottom w:val="nil"/>
              <w:right w:val="nil"/>
            </w:tcBorders>
            <w:shd w:val="clear" w:color="000000" w:fill="FFFFFF"/>
            <w:noWrap/>
            <w:vAlign w:val="bottom"/>
            <w:hideMark/>
          </w:tcPr>
          <w:p w14:paraId="3C2F029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28226A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611B46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04398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6C4AF80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131AC81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057AEB3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79E035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3F38F4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3.39</w:t>
            </w:r>
          </w:p>
        </w:tc>
        <w:tc>
          <w:tcPr>
            <w:tcW w:w="429" w:type="pct"/>
            <w:tcBorders>
              <w:top w:val="nil"/>
              <w:left w:val="nil"/>
              <w:bottom w:val="nil"/>
              <w:right w:val="nil"/>
            </w:tcBorders>
            <w:shd w:val="clear" w:color="000000" w:fill="FFFFFF"/>
            <w:noWrap/>
            <w:vAlign w:val="bottom"/>
            <w:hideMark/>
          </w:tcPr>
          <w:p w14:paraId="11CB783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3.36</w:t>
            </w:r>
          </w:p>
        </w:tc>
      </w:tr>
      <w:tr w:rsidR="00FB78D4" w:rsidRPr="00FB78D4" w14:paraId="173A7EED" w14:textId="77777777" w:rsidTr="00BB5461">
        <w:trPr>
          <w:trHeight w:val="320"/>
        </w:trPr>
        <w:tc>
          <w:tcPr>
            <w:tcW w:w="429" w:type="pct"/>
            <w:tcBorders>
              <w:top w:val="nil"/>
              <w:left w:val="nil"/>
              <w:bottom w:val="nil"/>
              <w:right w:val="nil"/>
            </w:tcBorders>
            <w:shd w:val="clear" w:color="000000" w:fill="FFFFFF"/>
            <w:noWrap/>
            <w:vAlign w:val="bottom"/>
            <w:hideMark/>
          </w:tcPr>
          <w:p w14:paraId="7791628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1F7D6E9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Dorsomedial prefrontal cortex </w:t>
            </w:r>
          </w:p>
        </w:tc>
        <w:tc>
          <w:tcPr>
            <w:tcW w:w="429" w:type="pct"/>
            <w:tcBorders>
              <w:top w:val="nil"/>
              <w:left w:val="nil"/>
              <w:bottom w:val="nil"/>
              <w:right w:val="nil"/>
            </w:tcBorders>
            <w:shd w:val="clear" w:color="000000" w:fill="FFFFFF"/>
            <w:noWrap/>
            <w:vAlign w:val="bottom"/>
            <w:hideMark/>
          </w:tcPr>
          <w:p w14:paraId="2A0894D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2641B00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12</w:t>
            </w:r>
          </w:p>
        </w:tc>
        <w:tc>
          <w:tcPr>
            <w:tcW w:w="429" w:type="pct"/>
            <w:tcBorders>
              <w:top w:val="nil"/>
              <w:left w:val="nil"/>
              <w:bottom w:val="nil"/>
              <w:right w:val="nil"/>
            </w:tcBorders>
            <w:shd w:val="clear" w:color="000000" w:fill="FFFFFF"/>
            <w:noWrap/>
            <w:vAlign w:val="bottom"/>
            <w:hideMark/>
          </w:tcPr>
          <w:p w14:paraId="4109D1E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42</w:t>
            </w:r>
          </w:p>
        </w:tc>
        <w:tc>
          <w:tcPr>
            <w:tcW w:w="429" w:type="pct"/>
            <w:tcBorders>
              <w:top w:val="nil"/>
              <w:left w:val="nil"/>
              <w:bottom w:val="nil"/>
              <w:right w:val="nil"/>
            </w:tcBorders>
            <w:shd w:val="clear" w:color="000000" w:fill="FFFFFF"/>
            <w:noWrap/>
            <w:vAlign w:val="bottom"/>
            <w:hideMark/>
          </w:tcPr>
          <w:p w14:paraId="30C780D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44</w:t>
            </w:r>
          </w:p>
        </w:tc>
        <w:tc>
          <w:tcPr>
            <w:tcW w:w="429" w:type="pct"/>
            <w:tcBorders>
              <w:top w:val="nil"/>
              <w:left w:val="nil"/>
              <w:bottom w:val="nil"/>
              <w:right w:val="nil"/>
            </w:tcBorders>
            <w:shd w:val="clear" w:color="000000" w:fill="FFFFFF"/>
            <w:noWrap/>
            <w:vAlign w:val="bottom"/>
            <w:hideMark/>
          </w:tcPr>
          <w:p w14:paraId="70A56DD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574FAB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27</w:t>
            </w:r>
          </w:p>
        </w:tc>
        <w:tc>
          <w:tcPr>
            <w:tcW w:w="429" w:type="pct"/>
            <w:tcBorders>
              <w:top w:val="nil"/>
              <w:left w:val="nil"/>
              <w:bottom w:val="nil"/>
              <w:right w:val="nil"/>
            </w:tcBorders>
            <w:shd w:val="clear" w:color="000000" w:fill="FFFFFF"/>
            <w:noWrap/>
            <w:vAlign w:val="bottom"/>
            <w:hideMark/>
          </w:tcPr>
          <w:p w14:paraId="43C2741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3.54</w:t>
            </w:r>
          </w:p>
        </w:tc>
        <w:tc>
          <w:tcPr>
            <w:tcW w:w="429" w:type="pct"/>
            <w:tcBorders>
              <w:top w:val="nil"/>
              <w:left w:val="nil"/>
              <w:bottom w:val="nil"/>
              <w:right w:val="nil"/>
            </w:tcBorders>
            <w:shd w:val="clear" w:color="000000" w:fill="FFFFFF"/>
            <w:noWrap/>
            <w:vAlign w:val="bottom"/>
            <w:hideMark/>
          </w:tcPr>
          <w:p w14:paraId="15EBEEF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3.51</w:t>
            </w:r>
          </w:p>
        </w:tc>
      </w:tr>
      <w:tr w:rsidR="00FB78D4" w:rsidRPr="00FB78D4" w14:paraId="5ADC4386" w14:textId="77777777" w:rsidTr="00BB5461">
        <w:trPr>
          <w:trHeight w:val="320"/>
        </w:trPr>
        <w:tc>
          <w:tcPr>
            <w:tcW w:w="429" w:type="pct"/>
            <w:tcBorders>
              <w:top w:val="nil"/>
              <w:left w:val="nil"/>
              <w:bottom w:val="nil"/>
              <w:right w:val="nil"/>
            </w:tcBorders>
            <w:shd w:val="clear" w:color="000000" w:fill="FFFFFF"/>
            <w:noWrap/>
            <w:vAlign w:val="bottom"/>
            <w:hideMark/>
          </w:tcPr>
          <w:p w14:paraId="3A2408B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13700EC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CF4CE0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668FB5A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3239D2B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6F549B2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52</w:t>
            </w:r>
          </w:p>
        </w:tc>
        <w:tc>
          <w:tcPr>
            <w:tcW w:w="429" w:type="pct"/>
            <w:tcBorders>
              <w:top w:val="nil"/>
              <w:left w:val="nil"/>
              <w:bottom w:val="nil"/>
              <w:right w:val="nil"/>
            </w:tcBorders>
            <w:shd w:val="clear" w:color="000000" w:fill="FFFFFF"/>
            <w:noWrap/>
            <w:vAlign w:val="bottom"/>
            <w:hideMark/>
          </w:tcPr>
          <w:p w14:paraId="1BD1129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EC3FD2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13</w:t>
            </w:r>
          </w:p>
        </w:tc>
        <w:tc>
          <w:tcPr>
            <w:tcW w:w="429" w:type="pct"/>
            <w:tcBorders>
              <w:top w:val="nil"/>
              <w:left w:val="nil"/>
              <w:bottom w:val="nil"/>
              <w:right w:val="nil"/>
            </w:tcBorders>
            <w:shd w:val="clear" w:color="000000" w:fill="FFFFFF"/>
            <w:noWrap/>
            <w:vAlign w:val="bottom"/>
            <w:hideMark/>
          </w:tcPr>
          <w:p w14:paraId="7FD3C57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3.54</w:t>
            </w:r>
          </w:p>
        </w:tc>
        <w:tc>
          <w:tcPr>
            <w:tcW w:w="429" w:type="pct"/>
            <w:tcBorders>
              <w:top w:val="nil"/>
              <w:left w:val="nil"/>
              <w:bottom w:val="nil"/>
              <w:right w:val="nil"/>
            </w:tcBorders>
            <w:shd w:val="clear" w:color="000000" w:fill="FFFFFF"/>
            <w:noWrap/>
            <w:vAlign w:val="bottom"/>
            <w:hideMark/>
          </w:tcPr>
          <w:p w14:paraId="7A4C441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3.51</w:t>
            </w:r>
          </w:p>
        </w:tc>
      </w:tr>
      <w:tr w:rsidR="00FB78D4" w:rsidRPr="00FB78D4" w14:paraId="031074B5" w14:textId="77777777" w:rsidTr="00BB5461">
        <w:trPr>
          <w:trHeight w:val="320"/>
        </w:trPr>
        <w:tc>
          <w:tcPr>
            <w:tcW w:w="429" w:type="pct"/>
            <w:tcBorders>
              <w:top w:val="nil"/>
              <w:left w:val="nil"/>
              <w:bottom w:val="nil"/>
              <w:right w:val="nil"/>
            </w:tcBorders>
            <w:shd w:val="clear" w:color="000000" w:fill="FFFFFF"/>
            <w:noWrap/>
            <w:vAlign w:val="bottom"/>
            <w:hideMark/>
          </w:tcPr>
          <w:p w14:paraId="4F17558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4D39F55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Retrosplenial cortex</w:t>
            </w:r>
          </w:p>
        </w:tc>
        <w:tc>
          <w:tcPr>
            <w:tcW w:w="429" w:type="pct"/>
            <w:tcBorders>
              <w:top w:val="nil"/>
              <w:left w:val="nil"/>
              <w:bottom w:val="nil"/>
              <w:right w:val="nil"/>
            </w:tcBorders>
            <w:shd w:val="clear" w:color="000000" w:fill="FFFFFF"/>
            <w:noWrap/>
            <w:vAlign w:val="bottom"/>
            <w:hideMark/>
          </w:tcPr>
          <w:p w14:paraId="4384D7E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5A5B8A9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04E09C4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-38</w:t>
            </w:r>
          </w:p>
        </w:tc>
        <w:tc>
          <w:tcPr>
            <w:tcW w:w="429" w:type="pct"/>
            <w:tcBorders>
              <w:top w:val="nil"/>
              <w:left w:val="nil"/>
              <w:bottom w:val="nil"/>
              <w:right w:val="nil"/>
            </w:tcBorders>
            <w:shd w:val="clear" w:color="000000" w:fill="FFFFFF"/>
            <w:noWrap/>
            <w:vAlign w:val="bottom"/>
            <w:hideMark/>
          </w:tcPr>
          <w:p w14:paraId="37D6EB1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w:t>
            </w:r>
          </w:p>
        </w:tc>
        <w:tc>
          <w:tcPr>
            <w:tcW w:w="429" w:type="pct"/>
            <w:tcBorders>
              <w:top w:val="nil"/>
              <w:left w:val="nil"/>
              <w:bottom w:val="nil"/>
              <w:right w:val="nil"/>
            </w:tcBorders>
            <w:shd w:val="clear" w:color="000000" w:fill="FFFFFF"/>
            <w:noWrap/>
            <w:vAlign w:val="bottom"/>
            <w:hideMark/>
          </w:tcPr>
          <w:p w14:paraId="4B06834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3E779D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723ACDC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3.53</w:t>
            </w:r>
          </w:p>
        </w:tc>
        <w:tc>
          <w:tcPr>
            <w:tcW w:w="429" w:type="pct"/>
            <w:tcBorders>
              <w:top w:val="nil"/>
              <w:left w:val="nil"/>
              <w:bottom w:val="nil"/>
              <w:right w:val="nil"/>
            </w:tcBorders>
            <w:shd w:val="clear" w:color="000000" w:fill="FFFFFF"/>
            <w:noWrap/>
            <w:vAlign w:val="bottom"/>
            <w:hideMark/>
          </w:tcPr>
          <w:p w14:paraId="54F62C5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3.5</w:t>
            </w:r>
          </w:p>
        </w:tc>
      </w:tr>
      <w:tr w:rsidR="00FB78D4" w:rsidRPr="00FB78D4" w14:paraId="39F3E2A2" w14:textId="77777777" w:rsidTr="00BB5461">
        <w:trPr>
          <w:trHeight w:val="320"/>
        </w:trPr>
        <w:tc>
          <w:tcPr>
            <w:tcW w:w="429" w:type="pct"/>
            <w:tcBorders>
              <w:top w:val="nil"/>
              <w:left w:val="nil"/>
              <w:bottom w:val="nil"/>
              <w:right w:val="nil"/>
            </w:tcBorders>
            <w:shd w:val="clear" w:color="000000" w:fill="FFFFFF"/>
            <w:noWrap/>
            <w:vAlign w:val="bottom"/>
            <w:hideMark/>
          </w:tcPr>
          <w:p w14:paraId="2959E87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vAlign w:val="center"/>
            <w:hideMark/>
          </w:tcPr>
          <w:p w14:paraId="79381D95" w14:textId="77777777" w:rsidR="00FB78D4" w:rsidRPr="00FB78D4" w:rsidRDefault="00FB78D4" w:rsidP="00FB78D4">
            <w:pPr>
              <w:rPr>
                <w:rFonts w:ascii="Times New Roman" w:eastAsia="Times New Roman" w:hAnsi="Times New Roman" w:cs="Times New Roman"/>
                <w:sz w:val="22"/>
                <w:szCs w:val="22"/>
                <w:lang w:val="en-GB" w:eastAsia="en-GB"/>
              </w:rPr>
            </w:pPr>
            <w:r w:rsidRPr="00FB78D4">
              <w:rPr>
                <w:rFonts w:ascii="Times New Roman" w:eastAsia="Times New Roman" w:hAnsi="Times New Roman" w:cs="Times New Roman"/>
                <w:sz w:val="22"/>
                <w:szCs w:val="22"/>
                <w:lang w:val="en-GB" w:eastAsia="en-GB"/>
              </w:rPr>
              <w:t>Superior temporal sulcus</w:t>
            </w:r>
          </w:p>
        </w:tc>
        <w:tc>
          <w:tcPr>
            <w:tcW w:w="429" w:type="pct"/>
            <w:tcBorders>
              <w:top w:val="nil"/>
              <w:left w:val="nil"/>
              <w:bottom w:val="nil"/>
              <w:right w:val="nil"/>
            </w:tcBorders>
            <w:shd w:val="clear" w:color="000000" w:fill="FFFFFF"/>
            <w:noWrap/>
            <w:vAlign w:val="bottom"/>
            <w:hideMark/>
          </w:tcPr>
          <w:p w14:paraId="78D3D3B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716EE82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56</w:t>
            </w:r>
          </w:p>
        </w:tc>
        <w:tc>
          <w:tcPr>
            <w:tcW w:w="429" w:type="pct"/>
            <w:tcBorders>
              <w:top w:val="nil"/>
              <w:left w:val="nil"/>
              <w:bottom w:val="nil"/>
              <w:right w:val="nil"/>
            </w:tcBorders>
            <w:shd w:val="clear" w:color="000000" w:fill="FFFFFF"/>
            <w:noWrap/>
            <w:vAlign w:val="bottom"/>
            <w:hideMark/>
          </w:tcPr>
          <w:p w14:paraId="46CE03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686B262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71A31ED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9E2662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17</w:t>
            </w:r>
          </w:p>
        </w:tc>
        <w:tc>
          <w:tcPr>
            <w:tcW w:w="429" w:type="pct"/>
            <w:tcBorders>
              <w:top w:val="nil"/>
              <w:left w:val="nil"/>
              <w:bottom w:val="nil"/>
              <w:right w:val="nil"/>
            </w:tcBorders>
            <w:shd w:val="clear" w:color="000000" w:fill="FFFFFF"/>
            <w:noWrap/>
            <w:vAlign w:val="bottom"/>
            <w:hideMark/>
          </w:tcPr>
          <w:p w14:paraId="1D750C5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3.49</w:t>
            </w:r>
          </w:p>
        </w:tc>
        <w:tc>
          <w:tcPr>
            <w:tcW w:w="429" w:type="pct"/>
            <w:tcBorders>
              <w:top w:val="nil"/>
              <w:left w:val="nil"/>
              <w:bottom w:val="nil"/>
              <w:right w:val="nil"/>
            </w:tcBorders>
            <w:shd w:val="clear" w:color="000000" w:fill="FFFFFF"/>
            <w:noWrap/>
            <w:vAlign w:val="bottom"/>
            <w:hideMark/>
          </w:tcPr>
          <w:p w14:paraId="2E66D48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3.46</w:t>
            </w:r>
          </w:p>
        </w:tc>
      </w:tr>
      <w:tr w:rsidR="00FB78D4" w:rsidRPr="00FB78D4" w14:paraId="6DA9B856" w14:textId="77777777" w:rsidTr="00BB5461">
        <w:trPr>
          <w:trHeight w:val="320"/>
        </w:trPr>
        <w:tc>
          <w:tcPr>
            <w:tcW w:w="429" w:type="pct"/>
            <w:tcBorders>
              <w:top w:val="nil"/>
              <w:left w:val="nil"/>
              <w:bottom w:val="nil"/>
              <w:right w:val="nil"/>
            </w:tcBorders>
            <w:shd w:val="clear" w:color="000000" w:fill="FFFFFF"/>
            <w:noWrap/>
            <w:vAlign w:val="bottom"/>
            <w:hideMark/>
          </w:tcPr>
          <w:p w14:paraId="5C4A456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2855777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Dorsomedial prefrontal cortex </w:t>
            </w:r>
          </w:p>
        </w:tc>
        <w:tc>
          <w:tcPr>
            <w:tcW w:w="429" w:type="pct"/>
            <w:tcBorders>
              <w:top w:val="nil"/>
              <w:left w:val="nil"/>
              <w:bottom w:val="nil"/>
              <w:right w:val="nil"/>
            </w:tcBorders>
            <w:shd w:val="clear" w:color="000000" w:fill="FFFFFF"/>
            <w:noWrap/>
            <w:vAlign w:val="bottom"/>
            <w:hideMark/>
          </w:tcPr>
          <w:p w14:paraId="71D5753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24FE760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-16</w:t>
            </w:r>
          </w:p>
        </w:tc>
        <w:tc>
          <w:tcPr>
            <w:tcW w:w="429" w:type="pct"/>
            <w:tcBorders>
              <w:top w:val="nil"/>
              <w:left w:val="nil"/>
              <w:bottom w:val="nil"/>
              <w:right w:val="nil"/>
            </w:tcBorders>
            <w:shd w:val="clear" w:color="000000" w:fill="FFFFFF"/>
            <w:noWrap/>
            <w:vAlign w:val="bottom"/>
            <w:hideMark/>
          </w:tcPr>
          <w:p w14:paraId="5103BE0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w:t>
            </w:r>
          </w:p>
        </w:tc>
        <w:tc>
          <w:tcPr>
            <w:tcW w:w="429" w:type="pct"/>
            <w:tcBorders>
              <w:top w:val="nil"/>
              <w:left w:val="nil"/>
              <w:bottom w:val="nil"/>
              <w:right w:val="nil"/>
            </w:tcBorders>
            <w:shd w:val="clear" w:color="000000" w:fill="FFFFFF"/>
            <w:noWrap/>
            <w:vAlign w:val="bottom"/>
            <w:hideMark/>
          </w:tcPr>
          <w:p w14:paraId="179E865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66</w:t>
            </w:r>
          </w:p>
        </w:tc>
        <w:tc>
          <w:tcPr>
            <w:tcW w:w="429" w:type="pct"/>
            <w:tcBorders>
              <w:top w:val="nil"/>
              <w:left w:val="nil"/>
              <w:bottom w:val="nil"/>
              <w:right w:val="nil"/>
            </w:tcBorders>
            <w:shd w:val="clear" w:color="000000" w:fill="FFFFFF"/>
            <w:noWrap/>
            <w:vAlign w:val="bottom"/>
            <w:hideMark/>
          </w:tcPr>
          <w:p w14:paraId="3795538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6B1852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25</w:t>
            </w:r>
          </w:p>
        </w:tc>
        <w:tc>
          <w:tcPr>
            <w:tcW w:w="429" w:type="pct"/>
            <w:tcBorders>
              <w:top w:val="nil"/>
              <w:left w:val="nil"/>
              <w:bottom w:val="nil"/>
              <w:right w:val="nil"/>
            </w:tcBorders>
            <w:shd w:val="clear" w:color="000000" w:fill="FFFFFF"/>
            <w:noWrap/>
            <w:vAlign w:val="bottom"/>
            <w:hideMark/>
          </w:tcPr>
          <w:p w14:paraId="134D3A3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3.45</w:t>
            </w:r>
          </w:p>
        </w:tc>
        <w:tc>
          <w:tcPr>
            <w:tcW w:w="429" w:type="pct"/>
            <w:tcBorders>
              <w:top w:val="nil"/>
              <w:left w:val="nil"/>
              <w:bottom w:val="nil"/>
              <w:right w:val="nil"/>
            </w:tcBorders>
            <w:shd w:val="clear" w:color="000000" w:fill="FFFFFF"/>
            <w:noWrap/>
            <w:vAlign w:val="bottom"/>
            <w:hideMark/>
          </w:tcPr>
          <w:p w14:paraId="14BE901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3.43</w:t>
            </w:r>
          </w:p>
        </w:tc>
      </w:tr>
      <w:tr w:rsidR="00FB78D4" w:rsidRPr="00FB78D4" w14:paraId="5F9C933D" w14:textId="77777777" w:rsidTr="00BB5461">
        <w:trPr>
          <w:trHeight w:val="320"/>
        </w:trPr>
        <w:tc>
          <w:tcPr>
            <w:tcW w:w="429" w:type="pct"/>
            <w:tcBorders>
              <w:top w:val="nil"/>
              <w:left w:val="nil"/>
              <w:bottom w:val="nil"/>
              <w:right w:val="nil"/>
            </w:tcBorders>
            <w:shd w:val="clear" w:color="000000" w:fill="FFFFFF"/>
            <w:noWrap/>
            <w:vAlign w:val="bottom"/>
            <w:hideMark/>
          </w:tcPr>
          <w:p w14:paraId="2311A51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6F83CB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Retrosplenial cortex</w:t>
            </w:r>
          </w:p>
        </w:tc>
        <w:tc>
          <w:tcPr>
            <w:tcW w:w="429" w:type="pct"/>
            <w:tcBorders>
              <w:top w:val="nil"/>
              <w:left w:val="nil"/>
              <w:bottom w:val="nil"/>
              <w:right w:val="nil"/>
            </w:tcBorders>
            <w:shd w:val="clear" w:color="000000" w:fill="FFFFFF"/>
            <w:noWrap/>
            <w:vAlign w:val="bottom"/>
            <w:hideMark/>
          </w:tcPr>
          <w:p w14:paraId="2C3D7FD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4E5E024B"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078AD10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-54</w:t>
            </w:r>
          </w:p>
        </w:tc>
        <w:tc>
          <w:tcPr>
            <w:tcW w:w="429" w:type="pct"/>
            <w:tcBorders>
              <w:top w:val="nil"/>
              <w:left w:val="nil"/>
              <w:bottom w:val="nil"/>
              <w:right w:val="nil"/>
            </w:tcBorders>
            <w:shd w:val="clear" w:color="000000" w:fill="FFFFFF"/>
            <w:noWrap/>
            <w:vAlign w:val="bottom"/>
            <w:hideMark/>
          </w:tcPr>
          <w:p w14:paraId="73812A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14</w:t>
            </w:r>
          </w:p>
        </w:tc>
        <w:tc>
          <w:tcPr>
            <w:tcW w:w="429" w:type="pct"/>
            <w:tcBorders>
              <w:top w:val="nil"/>
              <w:left w:val="nil"/>
              <w:bottom w:val="nil"/>
              <w:right w:val="nil"/>
            </w:tcBorders>
            <w:shd w:val="clear" w:color="000000" w:fill="FFFFFF"/>
            <w:noWrap/>
            <w:vAlign w:val="bottom"/>
            <w:hideMark/>
          </w:tcPr>
          <w:p w14:paraId="3D538B4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91230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39</w:t>
            </w:r>
          </w:p>
        </w:tc>
        <w:tc>
          <w:tcPr>
            <w:tcW w:w="429" w:type="pct"/>
            <w:tcBorders>
              <w:top w:val="nil"/>
              <w:left w:val="nil"/>
              <w:bottom w:val="nil"/>
              <w:right w:val="nil"/>
            </w:tcBorders>
            <w:shd w:val="clear" w:color="000000" w:fill="FFFFFF"/>
            <w:noWrap/>
            <w:vAlign w:val="bottom"/>
            <w:hideMark/>
          </w:tcPr>
          <w:p w14:paraId="59E8044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3.41</w:t>
            </w:r>
          </w:p>
        </w:tc>
        <w:tc>
          <w:tcPr>
            <w:tcW w:w="429" w:type="pct"/>
            <w:tcBorders>
              <w:top w:val="nil"/>
              <w:left w:val="nil"/>
              <w:bottom w:val="nil"/>
              <w:right w:val="nil"/>
            </w:tcBorders>
            <w:shd w:val="clear" w:color="000000" w:fill="FFFFFF"/>
            <w:noWrap/>
            <w:vAlign w:val="bottom"/>
            <w:hideMark/>
          </w:tcPr>
          <w:p w14:paraId="34F96B7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3.39</w:t>
            </w:r>
          </w:p>
        </w:tc>
      </w:tr>
      <w:tr w:rsidR="00FB78D4" w:rsidRPr="00FB78D4" w14:paraId="7208D71E" w14:textId="77777777" w:rsidTr="00BB5461">
        <w:trPr>
          <w:trHeight w:val="320"/>
        </w:trPr>
        <w:tc>
          <w:tcPr>
            <w:tcW w:w="429" w:type="pct"/>
            <w:tcBorders>
              <w:top w:val="nil"/>
              <w:left w:val="nil"/>
              <w:bottom w:val="nil"/>
              <w:right w:val="nil"/>
            </w:tcBorders>
            <w:shd w:val="clear" w:color="000000" w:fill="FFFFFF"/>
            <w:noWrap/>
            <w:vAlign w:val="bottom"/>
            <w:hideMark/>
          </w:tcPr>
          <w:p w14:paraId="14C9714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0F0BED7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xml:space="preserve">Thalamus </w:t>
            </w:r>
          </w:p>
        </w:tc>
        <w:tc>
          <w:tcPr>
            <w:tcW w:w="429" w:type="pct"/>
            <w:tcBorders>
              <w:top w:val="nil"/>
              <w:left w:val="nil"/>
              <w:bottom w:val="nil"/>
              <w:right w:val="nil"/>
            </w:tcBorders>
            <w:shd w:val="clear" w:color="000000" w:fill="FFFFFF"/>
            <w:noWrap/>
            <w:vAlign w:val="bottom"/>
            <w:hideMark/>
          </w:tcPr>
          <w:p w14:paraId="57A1AFF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70E795D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7F6CBC3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-18</w:t>
            </w:r>
          </w:p>
        </w:tc>
        <w:tc>
          <w:tcPr>
            <w:tcW w:w="429" w:type="pct"/>
            <w:tcBorders>
              <w:top w:val="nil"/>
              <w:left w:val="nil"/>
              <w:bottom w:val="nil"/>
              <w:right w:val="nil"/>
            </w:tcBorders>
            <w:shd w:val="clear" w:color="000000" w:fill="FFFFFF"/>
            <w:noWrap/>
            <w:vAlign w:val="bottom"/>
            <w:hideMark/>
          </w:tcPr>
          <w:p w14:paraId="097D52B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-8</w:t>
            </w:r>
          </w:p>
        </w:tc>
        <w:tc>
          <w:tcPr>
            <w:tcW w:w="429" w:type="pct"/>
            <w:tcBorders>
              <w:top w:val="nil"/>
              <w:left w:val="nil"/>
              <w:bottom w:val="nil"/>
              <w:right w:val="nil"/>
            </w:tcBorders>
            <w:shd w:val="clear" w:color="000000" w:fill="FFFFFF"/>
            <w:noWrap/>
            <w:vAlign w:val="bottom"/>
            <w:hideMark/>
          </w:tcPr>
          <w:p w14:paraId="27DBDE8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8F4878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10</w:t>
            </w:r>
          </w:p>
        </w:tc>
        <w:tc>
          <w:tcPr>
            <w:tcW w:w="429" w:type="pct"/>
            <w:tcBorders>
              <w:top w:val="nil"/>
              <w:left w:val="nil"/>
              <w:bottom w:val="nil"/>
              <w:right w:val="nil"/>
            </w:tcBorders>
            <w:shd w:val="clear" w:color="000000" w:fill="FFFFFF"/>
            <w:noWrap/>
            <w:vAlign w:val="bottom"/>
            <w:hideMark/>
          </w:tcPr>
          <w:p w14:paraId="18013A5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3.39</w:t>
            </w:r>
          </w:p>
        </w:tc>
        <w:tc>
          <w:tcPr>
            <w:tcW w:w="429" w:type="pct"/>
            <w:tcBorders>
              <w:top w:val="nil"/>
              <w:left w:val="nil"/>
              <w:bottom w:val="nil"/>
              <w:right w:val="nil"/>
            </w:tcBorders>
            <w:shd w:val="clear" w:color="000000" w:fill="FFFFFF"/>
            <w:noWrap/>
            <w:vAlign w:val="bottom"/>
            <w:hideMark/>
          </w:tcPr>
          <w:p w14:paraId="0228CB3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3.37</w:t>
            </w:r>
          </w:p>
        </w:tc>
      </w:tr>
      <w:tr w:rsidR="00FB78D4" w:rsidRPr="00FB78D4" w14:paraId="2529A3D6" w14:textId="77777777" w:rsidTr="00BB5461">
        <w:trPr>
          <w:trHeight w:val="320"/>
        </w:trPr>
        <w:tc>
          <w:tcPr>
            <w:tcW w:w="429" w:type="pct"/>
            <w:tcBorders>
              <w:top w:val="nil"/>
              <w:left w:val="nil"/>
              <w:bottom w:val="nil"/>
              <w:right w:val="nil"/>
            </w:tcBorders>
            <w:shd w:val="clear" w:color="000000" w:fill="FFFFFF"/>
            <w:noWrap/>
            <w:vAlign w:val="bottom"/>
            <w:hideMark/>
          </w:tcPr>
          <w:p w14:paraId="5831877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F26006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FEA16A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274F1F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B72979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62DA0E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824E6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5069DC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9DEFB3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A590BE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14855748" w14:textId="77777777" w:rsidTr="00BB5461">
        <w:trPr>
          <w:trHeight w:val="320"/>
        </w:trPr>
        <w:tc>
          <w:tcPr>
            <w:tcW w:w="429" w:type="pct"/>
            <w:tcBorders>
              <w:top w:val="nil"/>
              <w:left w:val="nil"/>
              <w:bottom w:val="nil"/>
              <w:right w:val="nil"/>
            </w:tcBorders>
            <w:shd w:val="clear" w:color="000000" w:fill="FFFFFF"/>
            <w:noWrap/>
            <w:vAlign w:val="bottom"/>
            <w:hideMark/>
          </w:tcPr>
          <w:p w14:paraId="497F0E33"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1137" w:type="pct"/>
            <w:tcBorders>
              <w:top w:val="nil"/>
              <w:left w:val="nil"/>
              <w:bottom w:val="nil"/>
              <w:right w:val="nil"/>
            </w:tcBorders>
            <w:shd w:val="clear" w:color="000000" w:fill="FFFFFF"/>
            <w:noWrap/>
            <w:vAlign w:val="bottom"/>
            <w:hideMark/>
          </w:tcPr>
          <w:p w14:paraId="2A50A2F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289329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467195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244A8F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2F134E6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2B34EC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3E2438C"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A46132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D586E1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675EF0BA" w14:textId="77777777" w:rsidTr="00BB5461">
        <w:trPr>
          <w:trHeight w:val="320"/>
        </w:trPr>
        <w:tc>
          <w:tcPr>
            <w:tcW w:w="429" w:type="pct"/>
            <w:tcBorders>
              <w:top w:val="nil"/>
              <w:left w:val="nil"/>
              <w:bottom w:val="nil"/>
              <w:right w:val="nil"/>
            </w:tcBorders>
            <w:shd w:val="clear" w:color="auto" w:fill="auto"/>
            <w:noWrap/>
            <w:vAlign w:val="bottom"/>
            <w:hideMark/>
          </w:tcPr>
          <w:p w14:paraId="5A722B96" w14:textId="77777777" w:rsidR="00FB78D4" w:rsidRPr="00FB78D4" w:rsidRDefault="00FB78D4" w:rsidP="00FB78D4">
            <w:pPr>
              <w:rPr>
                <w:rFonts w:ascii="Times New Roman" w:eastAsia="Times New Roman" w:hAnsi="Times New Roman" w:cs="Times New Roman"/>
                <w:color w:val="000000"/>
                <w:sz w:val="22"/>
                <w:szCs w:val="22"/>
                <w:lang w:val="en-GB" w:eastAsia="en-GB"/>
              </w:rPr>
            </w:pPr>
          </w:p>
        </w:tc>
        <w:tc>
          <w:tcPr>
            <w:tcW w:w="1137" w:type="pct"/>
            <w:tcBorders>
              <w:top w:val="nil"/>
              <w:left w:val="nil"/>
              <w:bottom w:val="nil"/>
              <w:right w:val="nil"/>
            </w:tcBorders>
            <w:shd w:val="clear" w:color="000000" w:fill="FFFFFF"/>
            <w:noWrap/>
            <w:vAlign w:val="bottom"/>
            <w:hideMark/>
          </w:tcPr>
          <w:p w14:paraId="68FF0FCD"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Ventral amygdala </w:t>
            </w:r>
          </w:p>
        </w:tc>
        <w:tc>
          <w:tcPr>
            <w:tcW w:w="429" w:type="pct"/>
            <w:tcBorders>
              <w:top w:val="nil"/>
              <w:left w:val="nil"/>
              <w:bottom w:val="nil"/>
              <w:right w:val="nil"/>
            </w:tcBorders>
            <w:shd w:val="clear" w:color="000000" w:fill="FFFFFF"/>
            <w:noWrap/>
            <w:vAlign w:val="bottom"/>
            <w:hideMark/>
          </w:tcPr>
          <w:p w14:paraId="1C0E246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R</w:t>
            </w:r>
          </w:p>
        </w:tc>
        <w:tc>
          <w:tcPr>
            <w:tcW w:w="429" w:type="pct"/>
            <w:tcBorders>
              <w:top w:val="nil"/>
              <w:left w:val="nil"/>
              <w:bottom w:val="nil"/>
              <w:right w:val="nil"/>
            </w:tcBorders>
            <w:shd w:val="clear" w:color="000000" w:fill="FFFFFF"/>
            <w:noWrap/>
            <w:vAlign w:val="bottom"/>
            <w:hideMark/>
          </w:tcPr>
          <w:p w14:paraId="65978A1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0198715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503FDA4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3CA6F72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C6421B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9</w:t>
            </w:r>
          </w:p>
        </w:tc>
        <w:tc>
          <w:tcPr>
            <w:tcW w:w="429" w:type="pct"/>
            <w:tcBorders>
              <w:top w:val="nil"/>
              <w:left w:val="nil"/>
              <w:bottom w:val="nil"/>
              <w:right w:val="nil"/>
            </w:tcBorders>
            <w:shd w:val="clear" w:color="000000" w:fill="FFFFFF"/>
            <w:noWrap/>
            <w:vAlign w:val="bottom"/>
            <w:hideMark/>
          </w:tcPr>
          <w:p w14:paraId="586DD95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3.47</w:t>
            </w:r>
          </w:p>
        </w:tc>
        <w:tc>
          <w:tcPr>
            <w:tcW w:w="429" w:type="pct"/>
            <w:tcBorders>
              <w:top w:val="nil"/>
              <w:left w:val="nil"/>
              <w:bottom w:val="nil"/>
              <w:right w:val="nil"/>
            </w:tcBorders>
            <w:shd w:val="clear" w:color="000000" w:fill="FFFFFF"/>
            <w:noWrap/>
            <w:vAlign w:val="bottom"/>
            <w:hideMark/>
          </w:tcPr>
          <w:p w14:paraId="0938E96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3.45</w:t>
            </w:r>
          </w:p>
        </w:tc>
      </w:tr>
      <w:tr w:rsidR="00FB78D4" w:rsidRPr="00FB78D4" w14:paraId="7D992D0C" w14:textId="77777777" w:rsidTr="00BB5461">
        <w:trPr>
          <w:trHeight w:val="320"/>
        </w:trPr>
        <w:tc>
          <w:tcPr>
            <w:tcW w:w="429" w:type="pct"/>
            <w:tcBorders>
              <w:top w:val="nil"/>
              <w:left w:val="nil"/>
              <w:bottom w:val="nil"/>
              <w:right w:val="nil"/>
            </w:tcBorders>
            <w:shd w:val="clear" w:color="000000" w:fill="FFFFFF"/>
            <w:noWrap/>
            <w:vAlign w:val="bottom"/>
            <w:hideMark/>
          </w:tcPr>
          <w:p w14:paraId="4046076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auto" w:fill="auto"/>
            <w:noWrap/>
            <w:vAlign w:val="bottom"/>
            <w:hideMark/>
          </w:tcPr>
          <w:p w14:paraId="5995FF16" w14:textId="77777777" w:rsidR="00FB78D4" w:rsidRPr="00FB78D4" w:rsidRDefault="00FB78D4" w:rsidP="00FB78D4">
            <w:pPr>
              <w:rPr>
                <w:rFonts w:ascii="Times New Roman" w:eastAsia="Times New Roman" w:hAnsi="Times New Roman" w:cs="Times New Roman"/>
                <w:color w:val="000000"/>
                <w:sz w:val="22"/>
                <w:szCs w:val="22"/>
                <w:lang w:val="en-GB" w:eastAsia="en-GB"/>
              </w:rPr>
            </w:pPr>
          </w:p>
        </w:tc>
        <w:tc>
          <w:tcPr>
            <w:tcW w:w="429" w:type="pct"/>
            <w:tcBorders>
              <w:top w:val="nil"/>
              <w:left w:val="nil"/>
              <w:bottom w:val="nil"/>
              <w:right w:val="nil"/>
            </w:tcBorders>
            <w:shd w:val="clear" w:color="000000" w:fill="FFFFFF"/>
            <w:noWrap/>
            <w:vAlign w:val="bottom"/>
            <w:hideMark/>
          </w:tcPr>
          <w:p w14:paraId="6A67C99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L</w:t>
            </w:r>
          </w:p>
        </w:tc>
        <w:tc>
          <w:tcPr>
            <w:tcW w:w="429" w:type="pct"/>
            <w:tcBorders>
              <w:top w:val="nil"/>
              <w:left w:val="nil"/>
              <w:bottom w:val="nil"/>
              <w:right w:val="nil"/>
            </w:tcBorders>
            <w:shd w:val="clear" w:color="000000" w:fill="FFFFFF"/>
            <w:noWrap/>
            <w:vAlign w:val="bottom"/>
            <w:hideMark/>
          </w:tcPr>
          <w:p w14:paraId="2AAD23C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-26</w:t>
            </w:r>
          </w:p>
        </w:tc>
        <w:tc>
          <w:tcPr>
            <w:tcW w:w="429" w:type="pct"/>
            <w:tcBorders>
              <w:top w:val="nil"/>
              <w:left w:val="nil"/>
              <w:bottom w:val="nil"/>
              <w:right w:val="nil"/>
            </w:tcBorders>
            <w:shd w:val="clear" w:color="000000" w:fill="FFFFFF"/>
            <w:noWrap/>
            <w:vAlign w:val="bottom"/>
            <w:hideMark/>
          </w:tcPr>
          <w:p w14:paraId="4F41A00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-6</w:t>
            </w:r>
          </w:p>
        </w:tc>
        <w:tc>
          <w:tcPr>
            <w:tcW w:w="429" w:type="pct"/>
            <w:tcBorders>
              <w:top w:val="nil"/>
              <w:left w:val="nil"/>
              <w:bottom w:val="nil"/>
              <w:right w:val="nil"/>
            </w:tcBorders>
            <w:shd w:val="clear" w:color="000000" w:fill="FFFFFF"/>
            <w:noWrap/>
            <w:vAlign w:val="bottom"/>
            <w:hideMark/>
          </w:tcPr>
          <w:p w14:paraId="23A4B1CA"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-24</w:t>
            </w:r>
          </w:p>
        </w:tc>
        <w:tc>
          <w:tcPr>
            <w:tcW w:w="429" w:type="pct"/>
            <w:tcBorders>
              <w:top w:val="nil"/>
              <w:left w:val="nil"/>
              <w:bottom w:val="nil"/>
              <w:right w:val="nil"/>
            </w:tcBorders>
            <w:shd w:val="clear" w:color="000000" w:fill="FFFFFF"/>
            <w:noWrap/>
            <w:vAlign w:val="bottom"/>
            <w:hideMark/>
          </w:tcPr>
          <w:p w14:paraId="00456149"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0B1EB4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21</w:t>
            </w:r>
          </w:p>
        </w:tc>
        <w:tc>
          <w:tcPr>
            <w:tcW w:w="429" w:type="pct"/>
            <w:tcBorders>
              <w:top w:val="nil"/>
              <w:left w:val="nil"/>
              <w:bottom w:val="nil"/>
              <w:right w:val="nil"/>
            </w:tcBorders>
            <w:shd w:val="clear" w:color="000000" w:fill="FFFFFF"/>
            <w:noWrap/>
            <w:vAlign w:val="bottom"/>
            <w:hideMark/>
          </w:tcPr>
          <w:p w14:paraId="449B369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4.06</w:t>
            </w:r>
          </w:p>
        </w:tc>
        <w:tc>
          <w:tcPr>
            <w:tcW w:w="429" w:type="pct"/>
            <w:tcBorders>
              <w:top w:val="nil"/>
              <w:left w:val="nil"/>
              <w:bottom w:val="nil"/>
              <w:right w:val="nil"/>
            </w:tcBorders>
            <w:shd w:val="clear" w:color="000000" w:fill="FFFFFF"/>
            <w:noWrap/>
            <w:vAlign w:val="bottom"/>
            <w:hideMark/>
          </w:tcPr>
          <w:p w14:paraId="118A317C"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4.02</w:t>
            </w:r>
          </w:p>
        </w:tc>
      </w:tr>
      <w:tr w:rsidR="00FB78D4" w:rsidRPr="00FB78D4" w14:paraId="5096B40E" w14:textId="77777777" w:rsidTr="00BB5461">
        <w:trPr>
          <w:trHeight w:val="320"/>
        </w:trPr>
        <w:tc>
          <w:tcPr>
            <w:tcW w:w="429" w:type="pct"/>
            <w:tcBorders>
              <w:top w:val="nil"/>
              <w:left w:val="nil"/>
              <w:bottom w:val="nil"/>
              <w:right w:val="nil"/>
            </w:tcBorders>
            <w:shd w:val="clear" w:color="000000" w:fill="FFFFFF"/>
            <w:noWrap/>
            <w:vAlign w:val="bottom"/>
            <w:hideMark/>
          </w:tcPr>
          <w:p w14:paraId="78621EB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674242C0"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Dorsal amygdala </w:t>
            </w:r>
          </w:p>
        </w:tc>
        <w:tc>
          <w:tcPr>
            <w:tcW w:w="429" w:type="pct"/>
            <w:tcBorders>
              <w:top w:val="nil"/>
              <w:left w:val="nil"/>
              <w:bottom w:val="nil"/>
              <w:right w:val="nil"/>
            </w:tcBorders>
            <w:shd w:val="clear" w:color="000000" w:fill="FFFFFF"/>
            <w:noWrap/>
            <w:vAlign w:val="bottom"/>
            <w:hideMark/>
          </w:tcPr>
          <w:p w14:paraId="7407B6F5"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6702D4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72ABC4B8"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42A6C2C6"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28B108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C06DD4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E63770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38DB4FF1"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533652DE" w14:textId="77777777" w:rsidTr="00BB5461">
        <w:trPr>
          <w:trHeight w:val="320"/>
        </w:trPr>
        <w:tc>
          <w:tcPr>
            <w:tcW w:w="429" w:type="pct"/>
            <w:tcBorders>
              <w:top w:val="nil"/>
              <w:left w:val="nil"/>
              <w:bottom w:val="nil"/>
              <w:right w:val="nil"/>
            </w:tcBorders>
            <w:shd w:val="clear" w:color="000000" w:fill="FFFFFF"/>
            <w:noWrap/>
            <w:vAlign w:val="bottom"/>
            <w:hideMark/>
          </w:tcPr>
          <w:p w14:paraId="40865F5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E038548"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81D19B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F702D0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D7BBA6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EAA29D4"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1376E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2C4F09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84F33B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180BF4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18CA0BDE" w14:textId="77777777" w:rsidTr="00BB5461">
        <w:trPr>
          <w:trHeight w:val="320"/>
        </w:trPr>
        <w:tc>
          <w:tcPr>
            <w:tcW w:w="429" w:type="pct"/>
            <w:tcBorders>
              <w:top w:val="nil"/>
              <w:left w:val="nil"/>
              <w:bottom w:val="nil"/>
              <w:right w:val="nil"/>
            </w:tcBorders>
            <w:shd w:val="clear" w:color="000000" w:fill="FFFFFF"/>
            <w:noWrap/>
            <w:vAlign w:val="bottom"/>
            <w:hideMark/>
          </w:tcPr>
          <w:p w14:paraId="6615ED35"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7239ECEF" w14:textId="4E35C6E2" w:rsidR="00FB78D4" w:rsidRPr="00FB78D4" w:rsidRDefault="00FB78D4" w:rsidP="00FB78D4">
            <w:pPr>
              <w:rPr>
                <w:rFonts w:ascii="Times New Roman" w:eastAsia="Times New Roman" w:hAnsi="Times New Roman" w:cs="Times New Roman"/>
                <w:b/>
                <w:bCs/>
                <w:i/>
                <w:iCs/>
                <w:color w:val="000000"/>
                <w:sz w:val="22"/>
                <w:szCs w:val="22"/>
                <w:lang w:val="en-GB" w:eastAsia="en-GB"/>
              </w:rPr>
            </w:pPr>
            <w:r w:rsidRPr="00FB78D4">
              <w:rPr>
                <w:rFonts w:ascii="Times New Roman" w:eastAsia="Times New Roman" w:hAnsi="Times New Roman" w:cs="Times New Roman"/>
                <w:b/>
                <w:bCs/>
                <w:i/>
                <w:iCs/>
                <w:color w:val="000000"/>
                <w:sz w:val="22"/>
                <w:szCs w:val="22"/>
                <w:lang w:val="en-GB" w:eastAsia="en-GB"/>
              </w:rPr>
              <w:t>COM</w:t>
            </w:r>
            <w:r w:rsidR="003F344D">
              <w:rPr>
                <w:rFonts w:ascii="Times New Roman" w:eastAsia="Times New Roman" w:hAnsi="Times New Roman" w:cs="Times New Roman"/>
                <w:b/>
                <w:bCs/>
                <w:i/>
                <w:iCs/>
                <w:color w:val="000000"/>
                <w:sz w:val="22"/>
                <w:szCs w:val="22"/>
                <w:lang w:val="en-GB" w:eastAsia="en-GB"/>
              </w:rPr>
              <w:t xml:space="preserve"> </w:t>
            </w:r>
            <w:r w:rsidRPr="00FB78D4">
              <w:rPr>
                <w:rFonts w:ascii="Times New Roman" w:eastAsia="Times New Roman" w:hAnsi="Times New Roman" w:cs="Times New Roman"/>
                <w:b/>
                <w:bCs/>
                <w:i/>
                <w:iCs/>
                <w:color w:val="000000"/>
                <w:sz w:val="22"/>
                <w:szCs w:val="22"/>
                <w:lang w:val="en-GB" w:eastAsia="en-GB"/>
              </w:rPr>
              <w:t xml:space="preserve">vs. AO  </w:t>
            </w:r>
          </w:p>
        </w:tc>
        <w:tc>
          <w:tcPr>
            <w:tcW w:w="429" w:type="pct"/>
            <w:tcBorders>
              <w:top w:val="nil"/>
              <w:left w:val="nil"/>
              <w:bottom w:val="nil"/>
              <w:right w:val="nil"/>
            </w:tcBorders>
            <w:shd w:val="clear" w:color="000000" w:fill="FFFFFF"/>
            <w:noWrap/>
            <w:vAlign w:val="bottom"/>
            <w:hideMark/>
          </w:tcPr>
          <w:p w14:paraId="33436F2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D0B2AD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707667F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98073D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FE8964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8D940B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1936A32"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F5DB3D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00E0D16F" w14:textId="77777777" w:rsidTr="00BB5461">
        <w:trPr>
          <w:trHeight w:val="320"/>
        </w:trPr>
        <w:tc>
          <w:tcPr>
            <w:tcW w:w="429" w:type="pct"/>
            <w:tcBorders>
              <w:top w:val="nil"/>
              <w:left w:val="nil"/>
              <w:bottom w:val="nil"/>
              <w:right w:val="nil"/>
            </w:tcBorders>
            <w:shd w:val="clear" w:color="000000" w:fill="FFFFFF"/>
            <w:noWrap/>
            <w:vAlign w:val="bottom"/>
            <w:hideMark/>
          </w:tcPr>
          <w:p w14:paraId="1A35F5D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nil"/>
              <w:right w:val="nil"/>
            </w:tcBorders>
            <w:shd w:val="clear" w:color="000000" w:fill="FFFFFF"/>
            <w:noWrap/>
            <w:vAlign w:val="bottom"/>
            <w:hideMark/>
          </w:tcPr>
          <w:p w14:paraId="23240A9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8B5F7EA"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7F493A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CD236E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7911AB3"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44BA3C9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37B428F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594E5C6"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C3FA67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r w:rsidR="00FB78D4" w:rsidRPr="00FB78D4" w14:paraId="54A8A734" w14:textId="77777777" w:rsidTr="00BB5461">
        <w:trPr>
          <w:trHeight w:val="320"/>
        </w:trPr>
        <w:tc>
          <w:tcPr>
            <w:tcW w:w="1567" w:type="pct"/>
            <w:gridSpan w:val="2"/>
            <w:tcBorders>
              <w:top w:val="nil"/>
              <w:left w:val="nil"/>
              <w:bottom w:val="nil"/>
              <w:right w:val="nil"/>
            </w:tcBorders>
            <w:shd w:val="clear" w:color="000000" w:fill="FFFFFF"/>
            <w:noWrap/>
            <w:vAlign w:val="bottom"/>
            <w:hideMark/>
          </w:tcPr>
          <w:p w14:paraId="4BCF5262"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Whole brain </w:t>
            </w:r>
          </w:p>
        </w:tc>
        <w:tc>
          <w:tcPr>
            <w:tcW w:w="429" w:type="pct"/>
            <w:tcBorders>
              <w:top w:val="nil"/>
              <w:left w:val="nil"/>
              <w:bottom w:val="nil"/>
              <w:right w:val="nil"/>
            </w:tcBorders>
            <w:shd w:val="clear" w:color="000000" w:fill="FFFFFF"/>
            <w:noWrap/>
            <w:vAlign w:val="bottom"/>
            <w:hideMark/>
          </w:tcPr>
          <w:p w14:paraId="6B98693E"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510A6D8D"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819A825"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B5458D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DE0782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076D964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22A16A7"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73B3D2BE"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546407FD" w14:textId="77777777" w:rsidTr="00BB5461">
        <w:trPr>
          <w:trHeight w:val="320"/>
        </w:trPr>
        <w:tc>
          <w:tcPr>
            <w:tcW w:w="429" w:type="pct"/>
            <w:tcBorders>
              <w:top w:val="nil"/>
              <w:left w:val="nil"/>
              <w:bottom w:val="nil"/>
              <w:right w:val="nil"/>
            </w:tcBorders>
            <w:shd w:val="clear" w:color="000000" w:fill="FFFFFF"/>
            <w:noWrap/>
            <w:vAlign w:val="bottom"/>
            <w:hideMark/>
          </w:tcPr>
          <w:p w14:paraId="65234A2F"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xml:space="preserve">ROI </w:t>
            </w:r>
          </w:p>
        </w:tc>
        <w:tc>
          <w:tcPr>
            <w:tcW w:w="1137" w:type="pct"/>
            <w:tcBorders>
              <w:top w:val="nil"/>
              <w:left w:val="nil"/>
              <w:bottom w:val="nil"/>
              <w:right w:val="nil"/>
            </w:tcBorders>
            <w:shd w:val="clear" w:color="000000" w:fill="FFFFFF"/>
            <w:noWrap/>
            <w:vAlign w:val="bottom"/>
            <w:hideMark/>
          </w:tcPr>
          <w:p w14:paraId="15E1D42E" w14:textId="77777777" w:rsidR="00FB78D4" w:rsidRPr="00FB78D4" w:rsidRDefault="00FB78D4" w:rsidP="00FB78D4">
            <w:pP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39599CB"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6D39B33F" w14:textId="77777777" w:rsidR="00FB78D4" w:rsidRPr="00FB78D4" w:rsidRDefault="00FB78D4" w:rsidP="00FB78D4">
            <w:pPr>
              <w:jc w:val="center"/>
              <w:rPr>
                <w:rFonts w:ascii="Times New Roman" w:eastAsia="Times New Roman" w:hAnsi="Times New Roman" w:cs="Times New Roman"/>
                <w:i/>
                <w:iCs/>
                <w:color w:val="000000"/>
                <w:sz w:val="22"/>
                <w:szCs w:val="22"/>
                <w:lang w:val="en-GB" w:eastAsia="en-GB"/>
              </w:rPr>
            </w:pPr>
            <w:r w:rsidRPr="00FB78D4">
              <w:rPr>
                <w:rFonts w:ascii="Times New Roman" w:eastAsia="Times New Roman" w:hAnsi="Times New Roman" w:cs="Times New Roman"/>
                <w:i/>
                <w:iCs/>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599E620F"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C24C220"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193815F3"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nil"/>
              <w:right w:val="nil"/>
            </w:tcBorders>
            <w:shd w:val="clear" w:color="000000" w:fill="FFFFFF"/>
            <w:noWrap/>
            <w:vAlign w:val="bottom"/>
            <w:hideMark/>
          </w:tcPr>
          <w:p w14:paraId="17AEDA54"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29FA9432"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c>
          <w:tcPr>
            <w:tcW w:w="429" w:type="pct"/>
            <w:tcBorders>
              <w:top w:val="nil"/>
              <w:left w:val="nil"/>
              <w:bottom w:val="nil"/>
              <w:right w:val="nil"/>
            </w:tcBorders>
            <w:shd w:val="clear" w:color="000000" w:fill="FFFFFF"/>
            <w:noWrap/>
            <w:vAlign w:val="bottom"/>
            <w:hideMark/>
          </w:tcPr>
          <w:p w14:paraId="0D14072D" w14:textId="77777777" w:rsidR="00FB78D4" w:rsidRPr="00FB78D4" w:rsidRDefault="00FB78D4" w:rsidP="00FB78D4">
            <w:pPr>
              <w:jc w:val="cente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w:t>
            </w:r>
          </w:p>
        </w:tc>
      </w:tr>
      <w:tr w:rsidR="00FB78D4" w:rsidRPr="00FB78D4" w14:paraId="54D4F9CD" w14:textId="77777777" w:rsidTr="00BB5461">
        <w:trPr>
          <w:trHeight w:val="320"/>
        </w:trPr>
        <w:tc>
          <w:tcPr>
            <w:tcW w:w="429" w:type="pct"/>
            <w:tcBorders>
              <w:top w:val="nil"/>
              <w:left w:val="nil"/>
              <w:bottom w:val="single" w:sz="4" w:space="0" w:color="auto"/>
              <w:right w:val="nil"/>
            </w:tcBorders>
            <w:shd w:val="clear" w:color="000000" w:fill="FFFFFF"/>
            <w:noWrap/>
            <w:vAlign w:val="bottom"/>
            <w:hideMark/>
          </w:tcPr>
          <w:p w14:paraId="1C93490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1137" w:type="pct"/>
            <w:tcBorders>
              <w:top w:val="nil"/>
              <w:left w:val="nil"/>
              <w:bottom w:val="single" w:sz="4" w:space="0" w:color="auto"/>
              <w:right w:val="nil"/>
            </w:tcBorders>
            <w:shd w:val="clear" w:color="000000" w:fill="FFFFFF"/>
            <w:noWrap/>
            <w:vAlign w:val="bottom"/>
            <w:hideMark/>
          </w:tcPr>
          <w:p w14:paraId="5966774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4AF9B1EF"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682BF5F0"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7986E96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47B4FFD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05C8AD69"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7EB14CBD"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72D9E651"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c>
          <w:tcPr>
            <w:tcW w:w="429" w:type="pct"/>
            <w:tcBorders>
              <w:top w:val="nil"/>
              <w:left w:val="nil"/>
              <w:bottom w:val="single" w:sz="4" w:space="0" w:color="auto"/>
              <w:right w:val="nil"/>
            </w:tcBorders>
            <w:shd w:val="clear" w:color="000000" w:fill="FFFFFF"/>
            <w:noWrap/>
            <w:vAlign w:val="bottom"/>
            <w:hideMark/>
          </w:tcPr>
          <w:p w14:paraId="2C65B4C7" w14:textId="77777777" w:rsidR="00FB78D4" w:rsidRPr="00FB78D4" w:rsidRDefault="00FB78D4" w:rsidP="00FB78D4">
            <w:pPr>
              <w:rPr>
                <w:rFonts w:ascii="Times New Roman" w:eastAsia="Times New Roman" w:hAnsi="Times New Roman" w:cs="Times New Roman"/>
                <w:color w:val="000000"/>
                <w:sz w:val="22"/>
                <w:szCs w:val="22"/>
                <w:lang w:val="en-GB" w:eastAsia="en-GB"/>
              </w:rPr>
            </w:pPr>
            <w:r w:rsidRPr="00FB78D4">
              <w:rPr>
                <w:rFonts w:ascii="Times New Roman" w:eastAsia="Times New Roman" w:hAnsi="Times New Roman" w:cs="Times New Roman"/>
                <w:color w:val="000000"/>
                <w:sz w:val="22"/>
                <w:szCs w:val="22"/>
                <w:lang w:val="en-GB" w:eastAsia="en-GB"/>
              </w:rPr>
              <w:t> </w:t>
            </w:r>
          </w:p>
        </w:tc>
      </w:tr>
    </w:tbl>
    <w:p w14:paraId="09802091" w14:textId="77777777" w:rsidR="00FB78D4" w:rsidRPr="00FB78D4" w:rsidRDefault="00FB78D4" w:rsidP="00FB78D4">
      <w:pPr>
        <w:rPr>
          <w:rFonts w:ascii="Times New Roman" w:hAnsi="Times New Roman" w:cs="Times New Roman"/>
          <w:lang w:val="en-GB" w:eastAsia="en-GB"/>
        </w:rPr>
      </w:pPr>
    </w:p>
    <w:p w14:paraId="136E0E28" w14:textId="77777777" w:rsidR="00FB78D4" w:rsidRPr="00FB78D4" w:rsidRDefault="00FB78D4" w:rsidP="00FB78D4">
      <w:pPr>
        <w:widowControl w:val="0"/>
        <w:autoSpaceDE w:val="0"/>
        <w:autoSpaceDN w:val="0"/>
        <w:adjustRightInd w:val="0"/>
        <w:spacing w:line="480" w:lineRule="auto"/>
        <w:ind w:left="640" w:hanging="640"/>
        <w:rPr>
          <w:rFonts w:ascii="Times New Roman" w:hAnsi="Times New Roman" w:cs="Times New Roman"/>
          <w:lang w:val="en-GB" w:eastAsia="en-GB"/>
        </w:rPr>
      </w:pPr>
    </w:p>
    <w:p w14:paraId="158A6C85" w14:textId="77777777" w:rsidR="00BB5461" w:rsidRDefault="003A412D">
      <w:r>
        <w:rPr>
          <w:noProof/>
        </w:rPr>
        <w:lastRenderedPageBreak/>
        <w:drawing>
          <wp:inline distT="0" distB="0" distL="0" distR="0" wp14:anchorId="45F608F3" wp14:editId="0AC21D49">
            <wp:extent cx="5667003" cy="5312308"/>
            <wp:effectExtent l="0" t="0" r="0" b="0"/>
            <wp:docPr id="4" name="Picture 4" descr="../../../Desktop/GR_Hammer_Fig_1%20(dragg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GR_Hammer_Fig_1%20(dragged).pdf"/>
                    <pic:cNvPicPr>
                      <a:picLocks noChangeAspect="1" noChangeArrowheads="1"/>
                    </pic:cNvPicPr>
                  </pic:nvPicPr>
                  <pic:blipFill rotWithShape="1">
                    <a:blip r:embed="rId6">
                      <a:extLst>
                        <a:ext uri="{28A0092B-C50C-407E-A947-70E740481C1C}">
                          <a14:useLocalDpi xmlns:a14="http://schemas.microsoft.com/office/drawing/2010/main" val="0"/>
                        </a:ext>
                      </a:extLst>
                    </a:blip>
                    <a:srcRect l="17315" t="7495" r="29065" b="21386"/>
                    <a:stretch/>
                  </pic:blipFill>
                  <pic:spPr bwMode="auto">
                    <a:xfrm>
                      <a:off x="0" y="0"/>
                      <a:ext cx="5695078" cy="5338626"/>
                    </a:xfrm>
                    <a:prstGeom prst="rect">
                      <a:avLst/>
                    </a:prstGeom>
                    <a:noFill/>
                    <a:ln>
                      <a:noFill/>
                    </a:ln>
                    <a:extLst>
                      <a:ext uri="{53640926-AAD7-44D8-BBD7-CCE9431645EC}">
                        <a14:shadowObscured xmlns:a14="http://schemas.microsoft.com/office/drawing/2010/main"/>
                      </a:ext>
                    </a:extLst>
                  </pic:spPr>
                </pic:pic>
              </a:graphicData>
            </a:graphic>
          </wp:inline>
        </w:drawing>
      </w:r>
    </w:p>
    <w:p w14:paraId="7A71E030" w14:textId="2F620079" w:rsidR="003A412D" w:rsidRPr="003A412D" w:rsidRDefault="003A412D" w:rsidP="003A412D">
      <w:pPr>
        <w:spacing w:line="480" w:lineRule="auto"/>
        <w:jc w:val="both"/>
        <w:rPr>
          <w:rFonts w:ascii="Times New Roman" w:hAnsi="Times New Roman" w:cs="Times New Roman"/>
          <w:lang w:val="en-GB" w:eastAsia="en-GB"/>
        </w:rPr>
      </w:pPr>
      <w:r w:rsidRPr="003A412D">
        <w:rPr>
          <w:rFonts w:ascii="Times New Roman" w:hAnsi="Times New Roman" w:cs="Times New Roman"/>
          <w:b/>
          <w:lang w:val="en-GB" w:eastAsia="en-GB"/>
        </w:rPr>
        <w:t xml:space="preserve">Fig. </w:t>
      </w:r>
      <w:r>
        <w:rPr>
          <w:rFonts w:ascii="Times New Roman" w:hAnsi="Times New Roman" w:cs="Times New Roman"/>
          <w:b/>
          <w:lang w:val="en-GB" w:eastAsia="en-GB"/>
        </w:rPr>
        <w:t>S</w:t>
      </w:r>
      <w:r w:rsidR="00096507">
        <w:rPr>
          <w:rFonts w:ascii="Times New Roman" w:hAnsi="Times New Roman" w:cs="Times New Roman"/>
          <w:b/>
          <w:lang w:val="en-GB" w:eastAsia="en-GB"/>
        </w:rPr>
        <w:t>1</w:t>
      </w:r>
      <w:r w:rsidRPr="003A412D">
        <w:rPr>
          <w:rFonts w:ascii="Times New Roman" w:hAnsi="Times New Roman" w:cs="Times New Roman"/>
          <w:b/>
          <w:lang w:val="en-GB" w:eastAsia="en-GB"/>
        </w:rPr>
        <w:t>.</w:t>
      </w:r>
      <w:r w:rsidRPr="003A412D">
        <w:rPr>
          <w:rFonts w:ascii="Times New Roman" w:hAnsi="Times New Roman" w:cs="Times New Roman"/>
          <w:lang w:val="en-GB" w:eastAsia="en-GB"/>
        </w:rPr>
        <w:t xml:space="preserve"> Screening protocol and group categorization into the Abuse only group (AO), Neglect only group (NO) and Combined Abuse and Neglect group (COM) and propensity score matched (PSM) Non-Maltreated Control Group (NMT). </w:t>
      </w:r>
    </w:p>
    <w:p w14:paraId="7DB28DC7" w14:textId="77777777" w:rsidR="003A412D" w:rsidRDefault="003A412D">
      <w:pPr>
        <w:rPr>
          <w:lang w:val="en-GB"/>
        </w:rPr>
      </w:pPr>
    </w:p>
    <w:p w14:paraId="0663BDFE" w14:textId="2D14AE10" w:rsidR="00096507" w:rsidRPr="003C379F" w:rsidRDefault="00096507" w:rsidP="00096507">
      <w:pPr>
        <w:autoSpaceDE w:val="0"/>
        <w:autoSpaceDN w:val="0"/>
        <w:adjustRightInd w:val="0"/>
        <w:spacing w:after="120" w:line="480" w:lineRule="auto"/>
        <w:jc w:val="both"/>
        <w:rPr>
          <w:rFonts w:ascii="Times New Roman" w:hAnsi="Times New Roman" w:cs="Times New Roman"/>
          <w:b/>
          <w:lang w:val="en-GB" w:eastAsia="en-GB"/>
        </w:rPr>
      </w:pPr>
      <w:r w:rsidRPr="003C379F">
        <w:rPr>
          <w:rFonts w:ascii="Times New Roman" w:hAnsi="Times New Roman" w:cs="Times New Roman"/>
          <w:b/>
          <w:lang w:val="en-GB" w:eastAsia="en-GB"/>
        </w:rPr>
        <w:t>Propensity Score Matching (PSM)</w:t>
      </w:r>
    </w:p>
    <w:p w14:paraId="3EB6128B" w14:textId="2D178C1B" w:rsidR="00950689" w:rsidRPr="00950689" w:rsidRDefault="00950689" w:rsidP="00950689">
      <w:pPr>
        <w:autoSpaceDE w:val="0"/>
        <w:autoSpaceDN w:val="0"/>
        <w:adjustRightInd w:val="0"/>
        <w:spacing w:after="120" w:line="480" w:lineRule="auto"/>
        <w:ind w:firstLine="720"/>
        <w:jc w:val="both"/>
        <w:rPr>
          <w:rFonts w:ascii="Times New Roman" w:hAnsi="Times New Roman" w:cs="Times New Roman"/>
          <w:lang w:val="en-GB" w:eastAsia="en-GB"/>
        </w:rPr>
      </w:pPr>
      <w:r w:rsidRPr="00950689">
        <w:rPr>
          <w:rFonts w:ascii="Times New Roman" w:hAnsi="Times New Roman" w:cs="Times New Roman"/>
          <w:lang w:val="en-GB" w:eastAsia="en-GB"/>
        </w:rPr>
        <w:t xml:space="preserve">Propensity Score Matching (PSM) refers to a group of statistical methods that can be used to reduce biases caused by potentially confounding variables when comparing outcomes for a treatment and a non-maltreated control group (in this case, maltreated vs non-maltreated individuals). PSM is applied before inferential statistical analyses in order to balance (i.e. equate) the distribution of covariates across the groups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"DOI" : "10.1214/09-STS313", "ISSN" : "0883-4237", "PMID" : "20871802", "abstract" : "When estimating causal effects using observational data, it is desirable to replicate a randomized experiment as closely as possible by obtaining treated and control groups with similar covariate distributions. This goal can often be achieved by choosing well-matched samples of the original treated and control groups, thereby reducing bias due to the covariates. Since the 1970's, work on matching methods has examined how to best choose treated and control subjects for comparison. Matching methods are gaining popularity in fields such as economics, epidemiology, medicine, and political science. However, until now the literature and related advice has been scattered across disciplines. Researchers who are interested in using matching methods-or developing methods related to matching-do not have a single place to turn to learn about past and current research. This paper provides a structure for thinking about matching methods and guidance on their use, coalescing the existing research (both old and new) and providing a summary of where the literature on matching methods is now and where it should be headed.", "author" : [ { "dropping-particle" : "", "family" : "Stuart", "given" : "Elizabeth A", "non-dropping-particle" : "", "parse-names" : false, "suffix" : "" } ], "container-title" : "Statistical science : a review journal of the Institute of Mathematical Statistics", "id" : "ITEM-1", "issue" : "1", "issued" : { "date-parts" : [ [ "2010", "2", "1" ] ] }, "page" : "1-21", "publisher" : "NIH Public Access", "title" : "Matching methods for causal inference: A review and a look forward.", "type" : "article-journal", "volume" : "25" }, "uris" : [ "http://www.mendeley.com/documents/?uuid=f0d0b6b3-254c-37b9-9010-211b78497341" ] } ], "mendeley" : { "formattedCitation" : "(2)", "plainTextFormattedCitation" : "(2)", "previouslyFormattedCitation" : "(2)" }, "properties" : {  }, "schema" : "https://github.com/citation-style-language/schema/raw/master/csl-citation.json" }</w:instrText>
      </w:r>
      <w:r w:rsidRPr="00950689">
        <w:rPr>
          <w:rFonts w:ascii="Times New Roman" w:hAnsi="Times New Roman" w:cs="Times New Roman"/>
          <w:lang w:val="en-GB" w:eastAsia="en-GB"/>
        </w:rPr>
        <w:fldChar w:fldCharType="separate"/>
      </w:r>
      <w:r w:rsidR="00BB5461" w:rsidRPr="00BB5461">
        <w:rPr>
          <w:rFonts w:ascii="Times New Roman" w:hAnsi="Times New Roman" w:cs="Times New Roman"/>
          <w:noProof/>
          <w:lang w:val="en-GB" w:eastAsia="en-GB"/>
        </w:rPr>
        <w:t>(</w:t>
      </w:r>
      <w:r w:rsidR="0099106E" w:rsidRPr="00401FCE">
        <w:rPr>
          <w:rFonts w:ascii="Times New Roman" w:hAnsi="Times New Roman" w:cs="Times New Roman"/>
          <w:noProof/>
          <w:lang w:val="en-GB"/>
        </w:rPr>
        <w:t>Stuart</w:t>
      </w:r>
      <w:r w:rsidR="0099106E">
        <w:rPr>
          <w:rFonts w:ascii="Times New Roman" w:hAnsi="Times New Roman" w:cs="Times New Roman"/>
          <w:noProof/>
          <w:lang w:val="en-GB"/>
        </w:rPr>
        <w:t>, 2010</w:t>
      </w:r>
      <w:r w:rsidR="00BB5461" w:rsidRPr="00BB5461">
        <w:rPr>
          <w:rFonts w:ascii="Times New Roman" w:hAnsi="Times New Roman" w:cs="Times New Roman"/>
          <w:noProof/>
          <w:lang w:val="en-GB" w:eastAsia="en-GB"/>
        </w:rPr>
        <w:t>)</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 xml:space="preserve">. Unlike traditional regression methods (such as multiple regression), PSM can be used with a large number of </w:t>
      </w:r>
      <w:r w:rsidRPr="00950689">
        <w:rPr>
          <w:rFonts w:ascii="Times New Roman" w:hAnsi="Times New Roman" w:cs="Times New Roman"/>
          <w:lang w:val="en-GB" w:eastAsia="en-GB"/>
        </w:rPr>
        <w:lastRenderedPageBreak/>
        <w:t xml:space="preserve">control variables without incurring in issues of collinearity and over-fitting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"abstract" : "MatchIt implements the suggestions of Ho, Imai, King, and Stuart (2007) for improv-ing parametric statistical models by preprocessing data with nonparametric matching methods. MatchIt implements a wide range of sophisticated matching methods, making it possible to greatly reduce the dependence of causal inferences on hard-to-justify, but commonly made, statistical modeling assumptions. The software also easily fits into ex-isting research practices since, after preprocessing data with MatchIt, researchers can use whatever parametric model they would have used without MatchIt, but produce infer-ences with substantially more robustness and less sensitivity to modeling assumptions. MatchIt is an R program, and also works seamlessly with Zelig.", "author" : [ { "dropping-particle" : "", "family" : "Ho", "given" : "Daniel E", "non-dropping-particle" : "", "parse-names" : false, "suffix" : "" }, { "dropping-particle" : "", "family" : "Imai", "given" : "Kosuke", "non-dropping-particle" : "", "parse-names" : false, "suffix" : "" }, { "dropping-particle" : "", "family" : "King", "given" : "Gary", "non-dropping-particle" : "", "parse-names" : false, "suffix" : "" }, { "dropping-particle" : "", "family" : "Stuart", "given" : "Elizabeth A", "non-dropping-particle" : "", "parse-names" : false, "suffix" : "" } ], "container-title" : "JSS Journal of Statistical Software", "id" : "ITEM-1", "issue" : "8", "issued" : { "date-parts" : [ [ "2011" ] ] }, "title" : "MatchIt: Nonparametric Preprocessing for Parametric Causal Inference", "type" : "article-journal", "volume" : "42" }, "uris" : [ "http://www.mendeley.com/documents/?uuid=4aee1747-af3e-36ae-9293-b1d1c299d54f" ] }, { "id" : "ITEM-2", "itemData" : { "DOI" : "10.1214/09-STS313", "ISSN" : "0883-4237", "PMID" : "20871802", "abstract" : "When estimating causal effects using observational data, it is desirable to replicate a randomized experiment as closely as possible by obtaining treated and control groups with similar covariate distributions. This goal can often be achieved by choosing well-matched samples of the original treated and control groups, thereby reducing bias due to the covariates. Since the 1970's, work on matching methods has examined how to best choose treated and control subjects for comparison. Matching methods are gaining popularity in fields such as economics, epidemiology, medicine, and political science. However, until now the literature and related advice has been scattered across disciplines. Researchers who are interested in using matching methods-or developing methods related to matching-do not have a single place to turn to learn about past and current research. This paper provides a structure for thinking about matching methods and guidance on their use, coalescing the existing research (both old and new) and providing a summary of where the literature on matching methods is now and where it should be headed.", "author" : [ { "dropping-particle" : "", "family" : "Stuart", "given" : "Elizabeth A", "non-dropping-particle" : "", "parse-names" : false, "suffix" : "" } ], "container-title" : "Statistical science : a review journal of the Institute of Mathematical Statistics", "id" : "ITEM-2", "issue" : "1", "issued" : { "date-parts" : [ [ "2010", "2", "1" ] ] }, "page" : "1-21", "publisher" : "NIH Public Access", "title" : "Matching methods for causal inference: A review and a look forward.", "type" : "article-journal", "volume" : "25" }, "uris" : [ "http://www.mendeley.com/documents/?uuid=f0d0b6b3-254c-37b9-9010-211b78497341" ] } ], "mendeley" : { "formattedCitation" : "(2, 3)", "plainTextFormattedCitation" : "(2, 3)", "previouslyFormattedCitation" : "(2, 3)" }, "properties" : {  }, "schema" : "https://github.com/citation-style-language/schema/raw/master/csl-citation.json" }</w:instrText>
      </w:r>
      <w:r w:rsidRPr="00950689">
        <w:rPr>
          <w:rFonts w:ascii="Times New Roman" w:hAnsi="Times New Roman" w:cs="Times New Roman"/>
          <w:lang w:val="en-GB" w:eastAsia="en-GB"/>
        </w:rPr>
        <w:fldChar w:fldCharType="separate"/>
      </w:r>
      <w:r w:rsidR="00BB5461" w:rsidRPr="00BB5461">
        <w:rPr>
          <w:rFonts w:ascii="Times New Roman" w:hAnsi="Times New Roman" w:cs="Times New Roman"/>
          <w:noProof/>
          <w:lang w:val="en-GB" w:eastAsia="en-GB"/>
        </w:rPr>
        <w:t>(</w:t>
      </w:r>
      <w:r w:rsidR="0099106E">
        <w:rPr>
          <w:rFonts w:ascii="Times New Roman" w:hAnsi="Times New Roman" w:cs="Times New Roman"/>
          <w:noProof/>
          <w:lang w:val="en-GB" w:eastAsia="en-GB"/>
        </w:rPr>
        <w:t>Stuart, 2010; Ho et al., 2011</w:t>
      </w:r>
      <w:r w:rsidR="00BB5461" w:rsidRPr="00BB5461">
        <w:rPr>
          <w:rFonts w:ascii="Times New Roman" w:hAnsi="Times New Roman" w:cs="Times New Roman"/>
          <w:noProof/>
          <w:lang w:val="en-GB" w:eastAsia="en-GB"/>
        </w:rPr>
        <w:t>)</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 xml:space="preserve">. Moreover, unlike regression analysis, PSM can be used reliably to control for variables that present substantial distribution differences across groups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"DOI" : "10.1001/jamapsychiatry.2015.0469", "ISSN" : "2168-622X", "abstract" : "&lt;h3&gt;Importance&lt;/h3&gt;&lt;p&gt;Attention-deficit/hyperactivity disorder (ADHD) is conceptualized as a neurodevelopmental disorder that is strongly heritable. However, to our knowledge, no study to date has examined the genetic and environmental influences explaining interindividual differences in the developmental course of ADHD symptoms from childhood to adolescence (ie, systematic decreases or increases with age). The reason ADHD symptoms persist in some children but decline in others is an important concern, with implications for prognosis and interventions.&lt;/p&gt;&lt;h3&gt;Objective&lt;/h3&gt;&lt;p&gt;To assess the proportional impact of genes and the environment on interindividual differences in the developmental course of ADHD symptom domains of hyperactivity/impulsivity and inattention between ages 8 and 16 years.&lt;/p&gt;&lt;h3&gt;Design, Setting, and Participants&lt;/h3&gt;&lt;p&gt;A prospective sample of 8395 twin pairs from the Twins Early Development Study, recruited from population records of births in England and Wales between January 1, 1994, and December 31, 1996. Data collection at age 8 years took place between November 2002 and November 2004; data collection at age 16 years took place between February 2011 and January 2013.&lt;/p&gt;&lt;h3&gt;Main Outcomes and Measures&lt;/h3&gt;&lt;p&gt;Both&lt;i&gt;DSM-IV&lt;/i&gt;ADHD symptom subscales were rated 4 times by participants\u2019 mothers.&lt;/p&gt;&lt;h3&gt;Results&lt;/h3&gt;&lt;p&gt;Estimates from latent growth curve models indicated that the developmental course of hyperactivity/impulsivity symptoms followed a sharp linear decrease (mean score of 6.0 at age 8 years to 2.9 at age 16 years). Interindividual differences in the linear change in hyperactivity/impulsivity were under strong additive genetic influences (81%; 95% CI, 73%-88%). More than half of the genetic variation was specific to the developmental course and not shared with the baseline level of hyperactivity/impulsivity. The linear decrease in inattention symptoms was less pronounced (mean score of 5.8 at age 8 years to 4.9 at age 16 years). Nonadditive genetic influences accounted for a substantial amount of variation in the developmental course of inattention symptoms (54%; 95% CI, 8%-76%), with more than half being specific to the developmental course.&lt;/p&gt;&lt;h3&gt;Conclusions and Relevance&lt;/h3&gt;&lt;p&gt;The large genetic influences on the developmental course of ADHD symptoms are mostly specific and independent of those that account for variation in the baseline level of symptoms. Different sets of genes may be associated with the developmental co\u2026", "author" : [ { "dropping-particle" : "", "family" : "Pingault", "given" : "Jean-Baptiste", "non-dropping-particle" : "", "parse-names" : false, "suffix" : "" }, { "dropping-particle" : "", "family" : "Viding", "given" : "Essi", "non-dropping-particle" : "", "parse-names" : false, "suffix" : "" }, { "dropping-particle" : "", "family" : "Gal\u00e9ra", "given" : "C\u00e9dric", "non-dropping-particle" : "", "parse-names" : false, "suffix" : "" }, { "dropping-particle" : "", "family" : "Greven", "given" : "Corina U.", "non-dropping-particle" : "", "parse-names" : false, "suffix" : "" }, { "dropping-particle" : "", "family" : "Zheng", "given" : "Yao", "non-dropping-particle" : "", "parse-names" : false, "suffix" : "" }, { "dropping-particle" : "", "family" : "Plomin", "given" : "Robert", "non-dropping-particle" : "", "parse-names" : false, "suffix" : "" }, { "dropping-particle" : "", "family" : "Rijsdijk", "given" : "Fr\u00fchling", "non-dropping-particle" : "", "parse-names" : false, "suffix" : "" } ], "container-title" : "JAMA Psychiatry", "id" : "ITEM-1", "issue" : "7", "issued" : { "date-parts" : [ [ "2015", "7", "1" ] ] }, "page" : "651", "publisher" : "American Medical Association", "title" : "Genetic and Environmental Influences on the Developmental Course of Attention-Deficit/Hyperactivity Disorder Symptoms From Childhood to Adolescence", "type" : "article-journal", "volume" : "72" }, "uris" : [ "http://www.mendeley.com/documents/?uuid=7a450515-0129-3e15-8bc6-ed52651459bf" ] }, { "id" : "ITEM-2", "itemData" : { "DOI" : "10.1023/A:1020363010465", "ISSN" : "13873741", "author" : [ { "dropping-particle" : "", "family" : "Rubin", "given" : "Donald B.", "non-dropping-particle" : "", "parse-names" : false, "suffix" : "" } ], "container-title" : "Health Services and Outcomes Research Methodology", "id" : "ITEM-2", "issue" : "3/4", "issued" : { "date-parts" : [ [ "2001" ] ] }, "page" : "169-188", "publisher" : "Kluwer Academic Publishers", "title" : "Using Propensity Scores to Help Design Observational Studies: Application to the Tobacco Litigation", "type" : "article-journal", "volume" : "2" }, "uris" : [ "http://www.mendeley.com/documents/?uuid=0ed420cd-6f25-3437-a1d0-77a0a9f38c43" ] } ], "mendeley" : { "formattedCitation" : "(4, 5)", "plainTextFormattedCitation" : "(4, 5)", "previouslyFormattedCitation" : "(4, 5)" }, "properties" : {  }, "schema" : "https://github.com/citation-style-language/schema/raw/master/csl-citation.json" }</w:instrText>
      </w:r>
      <w:r w:rsidRPr="00950689">
        <w:rPr>
          <w:rFonts w:ascii="Times New Roman" w:hAnsi="Times New Roman" w:cs="Times New Roman"/>
          <w:lang w:val="en-GB" w:eastAsia="en-GB"/>
        </w:rPr>
        <w:fldChar w:fldCharType="separate"/>
      </w:r>
      <w:r w:rsidR="00BB5461" w:rsidRPr="00BB5461">
        <w:rPr>
          <w:rFonts w:ascii="Times New Roman" w:hAnsi="Times New Roman" w:cs="Times New Roman"/>
          <w:noProof/>
          <w:lang w:val="en-GB" w:eastAsia="en-GB"/>
        </w:rPr>
        <w:t>(</w:t>
      </w:r>
      <w:r w:rsidR="0099106E" w:rsidRPr="00401FCE">
        <w:rPr>
          <w:rFonts w:ascii="Times New Roman" w:hAnsi="Times New Roman" w:cs="Times New Roman"/>
          <w:noProof/>
          <w:lang w:val="en-GB"/>
        </w:rPr>
        <w:t>Pingault</w:t>
      </w:r>
      <w:r w:rsidR="0099106E">
        <w:rPr>
          <w:rFonts w:ascii="Times New Roman" w:hAnsi="Times New Roman" w:cs="Times New Roman"/>
          <w:noProof/>
          <w:lang w:val="en-GB"/>
        </w:rPr>
        <w:t xml:space="preserve"> et al., 2015; Rubin, 2001</w:t>
      </w:r>
      <w:r w:rsidR="00BB5461" w:rsidRPr="00BB5461">
        <w:rPr>
          <w:rFonts w:ascii="Times New Roman" w:hAnsi="Times New Roman" w:cs="Times New Roman"/>
          <w:noProof/>
          <w:lang w:val="en-GB" w:eastAsia="en-GB"/>
        </w:rPr>
        <w:t>)</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 xml:space="preserve">. The most common methods rely on 1:1 matching, weighting or sub-classification. When applying PSM, several matching methods can and should be used to identify which one decreases the most the distance between the groups (i.e. reduces the distribution of covariates,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"abstract" : "MatchIt implements the suggestions of Ho, Imai, King, and Stuart (2007) for improv-ing parametric statistical models by preprocessing data with nonparametric matching methods. MatchIt implements a wide range of sophisticated matching methods, making it possible to greatly reduce the dependence of causal inferences on hard-to-justify, but commonly made, statistical modeling assumptions. The software also easily fits into ex-isting research practices since, after preprocessing data with MatchIt, researchers can use whatever parametric model they would have used without MatchIt, but produce infer-ences with substantially more robustness and less sensitivity to modeling assumptions. MatchIt is an R program, and also works seamlessly with Zelig.", "author" : [ { "dropping-particle" : "", "family" : "Ho", "given" : "Daniel E", "non-dropping-particle" : "", "parse-names" : false, "suffix" : "" }, { "dropping-particle" : "", "family" : "Imai", "given" : "Kosuke", "non-dropping-particle" : "", "parse-names" : false, "suffix" : "" }, { "dropping-particle" : "", "family" : "King", "given" : "Gary", "non-dropping-particle" : "", "parse-names" : false, "suffix" : "" }, { "dropping-particle" : "", "family" : "Stuart", "given" : "Elizabeth A", "non-dropping-particle" : "", "parse-names" : false, "suffix" : "" } ], "container-title" : "JSS Journal of Statistical Software", "id" : "ITEM-1", "issue" : "8", "issued" : { "date-parts" : [ [ "2011" ] ] }, "title" : "MatchIt: Nonparametric Preprocessing for Parametric Causal Inference", "type" : "article-journal", "volume" : "42" }, "uris" : [ "http://www.mendeley.com/documents/?uuid=4aee1747-af3e-36ae-9293-b1d1c299d54f" ] }, { "id" : "ITEM-2", "itemData" : { "DOI" : "10.1214/09-STS313", "ISSN" : "0883-4237", "PMID" : "20871802", "abstract" : "When estimating causal effects using observational data, it is desirable to replicate a randomized experiment as closely as possible by obtaining treated and control groups with similar covariate distributions. This goal can often be achieved by choosing well-matched samples of the original treated and control groups, thereby reducing bias due to the covariates. Since the 1970's, work on matching methods has examined how to best choose treated and control subjects for comparison. Matching methods are gaining popularity in fields such as economics, epidemiology, medicine, and political science. However, until now the literature and related advice has been scattered across disciplines. Researchers who are interested in using matching methods-or developing methods related to matching-do not have a single place to turn to learn about past and current research. This paper provides a structure for thinking about matching methods and guidance on their use, coalescing the existing research (both old and new) and providing a summary of where the literature on matching methods is now and where it should be headed.", "author" : [ { "dropping-particle" : "", "family" : "Stuart", "given" : "Elizabeth A", "non-dropping-particle" : "", "parse-names" : false, "suffix" : "" } ], "container-title" : "Statistical science : a review journal of the Institute of Mathematical Statistics", "id" : "ITEM-2", "issue" : "1", "issued" : { "date-parts" : [ [ "2010", "2", "1" ] ] }, "page" : "1-21", "publisher" : "NIH Public Access", "title" : "Matching methods for causal inference: A review and a look forward.", "type" : "article-journal", "volume" : "25" }, "uris" : [ "http://www.mendeley.com/documents/?uuid=f0d0b6b3-254c-37b9-9010-211b78497341" ] } ], "mendeley" : { "formattedCitation" : "(2, 3)", "plainTextFormattedCitation" : "(2, 3)", "previouslyFormattedCitation" : "(2, 3)" }, "properties" : {  }, "schema" : "https://github.com/citation-style-language/schema/raw/master/csl-citation.json" }</w:instrText>
      </w:r>
      <w:r w:rsidRPr="00950689">
        <w:rPr>
          <w:rFonts w:ascii="Times New Roman" w:hAnsi="Times New Roman" w:cs="Times New Roman"/>
          <w:lang w:val="en-GB" w:eastAsia="en-GB"/>
        </w:rPr>
        <w:fldChar w:fldCharType="separate"/>
      </w:r>
      <w:r w:rsidR="0099106E" w:rsidRPr="00950689">
        <w:rPr>
          <w:rFonts w:ascii="Times New Roman" w:hAnsi="Times New Roman" w:cs="Times New Roman"/>
          <w:lang w:val="en-GB" w:eastAsia="en-GB"/>
        </w:rPr>
        <w:fldChar w:fldCharType="begin" w:fldLock="1"/>
      </w:r>
      <w:r w:rsidR="0099106E">
        <w:rPr>
          <w:rFonts w:ascii="Times New Roman" w:hAnsi="Times New Roman" w:cs="Times New Roman"/>
          <w:lang w:val="en-GB" w:eastAsia="en-GB"/>
        </w:rPr>
        <w:instrText>ADDIN CSL_CITATION { "citationItems" : [ { "id" : "ITEM-1", "itemData" : { "abstract" : "MatchIt implements the suggestions of Ho, Imai, King, and Stuart (2007) for improv-ing parametric statistical models by preprocessing data with nonparametric matching methods. MatchIt implements a wide range of sophisticated matching methods, making it possible to greatly reduce the dependence of causal inferences on hard-to-justify, but commonly made, statistical modeling assumptions. The software also easily fits into ex-isting research practices since, after preprocessing data with MatchIt, researchers can use whatever parametric model they would have used without MatchIt, but produce infer-ences with substantially more robustness and less sensitivity to modeling assumptions. MatchIt is an R program, and also works seamlessly with Zelig.", "author" : [ { "dropping-particle" : "", "family" : "Ho", "given" : "Daniel E", "non-dropping-particle" : "", "parse-names" : false, "suffix" : "" }, { "dropping-particle" : "", "family" : "Imai", "given" : "Kosuke", "non-dropping-particle" : "", "parse-names" : false, "suffix" : "" }, { "dropping-particle" : "", "family" : "King", "given" : "Gary", "non-dropping-particle" : "", "parse-names" : false, "suffix" : "" }, { "dropping-particle" : "", "family" : "Stuart", "given" : "Elizabeth A", "non-dropping-particle" : "", "parse-names" : false, "suffix" : "" } ], "container-title" : "JSS Journal of Statistical Software", "id" : "ITEM-1", "issue" : "8", "issued" : { "date-parts" : [ [ "2011" ] ] }, "title" : "MatchIt: Nonparametric Preprocessing for Parametric Causal Inference", "type" : "article-journal", "volume" : "42" }, "uris" : [ "http://www.mendeley.com/documents/?uuid=4aee1747-af3e-36ae-9293-b1d1c299d54f" ] }, { "id" : "ITEM-2", "itemData" : { "DOI" : "10.1214/09-STS313", "ISSN" : "0883-4237", "PMID" : "20871802", "abstract" : "When estimating causal effects using observational data, it is desirable to replicate a randomized experiment as closely as possible by obtaining treated and control groups with similar covariate distributions. This goal can often be achieved by choosing well-matched samples of the original treated and control groups, thereby reducing bias due to the covariates. Since the 1970's, work on matching methods has examined how to best choose treated and control subjects for comparison. Matching methods are gaining popularity in fields such as economics, epidemiology, medicine, and political science. However, until now the literature and related advice has been scattered across disciplines. Researchers who are interested in using matching methods-or developing methods related to matching-do not have a single place to turn to learn about past and current research. This paper provides a structure for thinking about matching methods and guidance on their use, coalescing the existing research (both old and new) and providing a summary of where the literature on matching methods is now and where it should be headed.", "author" : [ { "dropping-particle" : "", "family" : "Stuart", "given" : "Elizabeth A", "non-dropping-particle" : "", "parse-names" : false, "suffix" : "" } ], "container-title" : "Statistical science : a review journal of the Institute of Mathematical Statistics", "id" : "ITEM-2", "issue" : "1", "issued" : { "date-parts" : [ [ "2010", "2", "1" ] ] }, "page" : "1-21", "publisher" : "NIH Public Access", "title" : "Matching methods for causal inference: A review and a look forward.", "type" : "article-journal", "volume" : "25" }, "uris" : [ "http://www.mendeley.com/documents/?uuid=f0d0b6b3-254c-37b9-9010-211b78497341" ] } ], "mendeley" : { "formattedCitation" : "(2, 3)", "plainTextFormattedCitation" : "(2, 3)", "previouslyFormattedCitation" : "(2, 3)" }, "properties" : {  }, "schema" : "https://github.com/citation-style-language/schema/raw/master/csl-citation.json" }</w:instrText>
      </w:r>
      <w:r w:rsidR="0099106E" w:rsidRPr="00950689">
        <w:rPr>
          <w:rFonts w:ascii="Times New Roman" w:hAnsi="Times New Roman" w:cs="Times New Roman"/>
          <w:lang w:val="en-GB" w:eastAsia="en-GB"/>
        </w:rPr>
        <w:fldChar w:fldCharType="separate"/>
      </w:r>
      <w:r w:rsidR="0099106E" w:rsidRPr="00BB5461">
        <w:rPr>
          <w:rFonts w:ascii="Times New Roman" w:hAnsi="Times New Roman" w:cs="Times New Roman"/>
          <w:noProof/>
          <w:lang w:val="en-GB" w:eastAsia="en-GB"/>
        </w:rPr>
        <w:t>(</w:t>
      </w:r>
      <w:r w:rsidR="0099106E">
        <w:rPr>
          <w:rFonts w:ascii="Times New Roman" w:hAnsi="Times New Roman" w:cs="Times New Roman"/>
          <w:noProof/>
          <w:lang w:val="en-GB" w:eastAsia="en-GB"/>
        </w:rPr>
        <w:t>Stuart, 2010; Ho et al., 2011</w:t>
      </w:r>
      <w:r w:rsidR="0099106E" w:rsidRPr="00BB5461">
        <w:rPr>
          <w:rFonts w:ascii="Times New Roman" w:hAnsi="Times New Roman" w:cs="Times New Roman"/>
          <w:noProof/>
          <w:lang w:val="en-GB" w:eastAsia="en-GB"/>
        </w:rPr>
        <w:t>)</w:t>
      </w:r>
      <w:r w:rsidR="0099106E"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fldChar w:fldCharType="end"/>
      </w:r>
      <w:r w:rsidR="0099106E" w:rsidRPr="00950689">
        <w:rPr>
          <w:rFonts w:ascii="Times New Roman" w:hAnsi="Times New Roman" w:cs="Times New Roman"/>
          <w:lang w:val="en-GB" w:eastAsia="en-GB"/>
        </w:rPr>
        <w:t xml:space="preserve"> </w:t>
      </w:r>
      <w:r w:rsidRPr="00950689">
        <w:rPr>
          <w:rFonts w:ascii="Times New Roman" w:hAnsi="Times New Roman" w:cs="Times New Roman"/>
          <w:lang w:val="en-GB" w:eastAsia="en-GB"/>
        </w:rPr>
        <w:t xml:space="preserve">. After matching, in order to assess the outcome of the matching procedure (i.e. assess the balance between the two groups), often a standardized mean difference (i.e. effect size) of the propensity score is used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"abstract" : "MatchIt implements the suggestions of Ho, Imai, King, and Stuart (2007) for improv-ing parametric statistical models by preprocessing data with nonparametric matching methods. MatchIt implements a wide range of sophisticated matching methods, making it possible to greatly reduce the dependence of causal inferences on hard-to-justify, but commonly made, statistical modeling assumptions. The software also easily fits into ex-isting research practices since, after preprocessing data with MatchIt, researchers can use whatever parametric model they would have used without MatchIt, but produce infer-ences with substantially more robustness and less sensitivity to modeling assumptions. MatchIt is an R program, and also works seamlessly with Zelig.", "author" : [ { "dropping-particle" : "", "family" : "Ho", "given" : "Daniel E", "non-dropping-particle" : "", "parse-names" : false, "suffix" : "" }, { "dropping-particle" : "", "family" : "Imai", "given" : "Kosuke", "non-dropping-particle" : "", "parse-names" : false, "suffix" : "" }, { "dropping-particle" : "", "family" : "King", "given" : "Gary", "non-dropping-particle" : "", "parse-names" : false, "suffix" : "" }, { "dropping-particle" : "", "family" : "Stuart", "given" : "Elizabeth A", "non-dropping-particle" : "", "parse-names" : false, "suffix" : "" } ], "container-title" : "JSS Journal of Statistical Software", "id" : "ITEM-1", "issue" : "8", "issued" : { "date-parts" : [ [ "2011" ] ] }, "title" : "MatchIt: Nonparametric Preprocessing for Parametric Causal Inference", "type" : "article-journal", "volume" : "42" }, "uris" : [ "http://www.mendeley.com/documents/?uuid=4aee1747-af3e-36ae-9293-b1d1c299d54f" ] } ], "mendeley" : { "formattedCitation" : "(3)", "plainTextFormattedCitation" : "(3)", "previouslyFormattedCitation" : "(3)" }, "properties" : {  }, "schema" : "https://github.com/citation-style-language/schema/raw/master/csl-citation.json" }</w:instrText>
      </w:r>
      <w:r w:rsidRPr="00950689">
        <w:rPr>
          <w:rFonts w:ascii="Times New Roman" w:hAnsi="Times New Roman" w:cs="Times New Roman"/>
          <w:lang w:val="en-GB" w:eastAsia="en-GB"/>
        </w:rPr>
        <w:fldChar w:fldCharType="separate"/>
      </w:r>
      <w:r w:rsidR="0099106E">
        <w:rPr>
          <w:rFonts w:ascii="Times New Roman" w:hAnsi="Times New Roman" w:cs="Times New Roman"/>
          <w:noProof/>
          <w:lang w:val="en-GB" w:eastAsia="en-GB"/>
        </w:rPr>
        <w:t>(Stuart, 2010; Ho et al., 2011</w:t>
      </w:r>
      <w:r w:rsidR="00BB5461" w:rsidRPr="00BB5461">
        <w:rPr>
          <w:rFonts w:ascii="Times New Roman" w:hAnsi="Times New Roman" w:cs="Times New Roman"/>
          <w:noProof/>
          <w:lang w:val="en-GB" w:eastAsia="en-GB"/>
        </w:rPr>
        <w:t>)</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 xml:space="preserve">. Although there is not a consensus on the cut-off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"DOI" : "10.1001/jamapsychiatry.2015.0469", "ISSN" : "2168-622X", "abstract" : "&lt;h3&gt;Importance&lt;/h3&gt;&lt;p&gt;Attention-deficit/hyperactivity disorder (ADHD) is conceptualized as a neurodevelopmental disorder that is strongly heritable. However, to our knowledge, no study to date has examined the genetic and environmental influences explaining interindividual differences in the developmental course of ADHD symptoms from childhood to adolescence (ie, systematic decreases or increases with age). The reason ADHD symptoms persist in some children but decline in others is an important concern, with implications for prognosis and interventions.&lt;/p&gt;&lt;h3&gt;Objective&lt;/h3&gt;&lt;p&gt;To assess the proportional impact of genes and the environment on interindividual differences in the developmental course of ADHD symptom domains of hyperactivity/impulsivity and inattention between ages 8 and 16 years.&lt;/p&gt;&lt;h3&gt;Design, Setting, and Participants&lt;/h3&gt;&lt;p&gt;A prospective sample of 8395 twin pairs from the Twins Early Development Study, recruited from population records of births in England and Wales between January 1, 1994, and December 31, 1996. Data collection at age 8 years took place between November 2002 and November 2004; data collection at age 16 years took place between February 2011 and January 2013.&lt;/p&gt;&lt;h3&gt;Main Outcomes and Measures&lt;/h3&gt;&lt;p&gt;Both&lt;i&gt;DSM-IV&lt;/i&gt;ADHD symptom subscales were rated 4 times by participants\u2019 mothers.&lt;/p&gt;&lt;h3&gt;Results&lt;/h3&gt;&lt;p&gt;Estimates from latent growth curve models indicated that the developmental course of hyperactivity/impulsivity symptoms followed a sharp linear decrease (mean score of 6.0 at age 8 years to 2.9 at age 16 years). Interindividual differences in the linear change in hyperactivity/impulsivity were under strong additive genetic influences (81%; 95% CI, 73%-88%). More than half of the genetic variation was specific to the developmental course and not shared with the baseline level of hyperactivity/impulsivity. The linear decrease in inattention symptoms was less pronounced (mean score of 5.8 at age 8 years to 4.9 at age 16 years). Nonadditive genetic influences accounted for a substantial amount of variation in the developmental course of inattention symptoms (54%; 95% CI, 8%-76%), with more than half being specific to the developmental course.&lt;/p&gt;&lt;h3&gt;Conclusions and Relevance&lt;/h3&gt;&lt;p&gt;The large genetic influences on the developmental course of ADHD symptoms are mostly specific and independent of those that account for variation in the baseline level of symptoms. Different sets of genes may be associated with the developmental co\u2026", "author" : [ { "dropping-particle" : "", "family" : "Pingault", "given" : "Jean-Baptiste", "non-dropping-particle" : "", "parse-names" : false, "suffix" : "" }, { "dropping-particle" : "", "family" : "Viding", "given" : "Essi", "non-dropping-particle" : "", "parse-names" : false, "suffix" : "" }, { "dropping-particle" : "", "family" : "Gal\u00e9ra", "given" : "C\u00e9dric", "non-dropping-particle" : "", "parse-names" : false, "suffix" : "" }, { "dropping-particle" : "", "family" : "Greven", "given" : "Corina U.", "non-dropping-particle" : "", "parse-names" : false, "suffix" : "" }, { "dropping-particle" : "", "family" : "Zheng", "given" : "Yao", "non-dropping-particle" : "", "parse-names" : false, "suffix" : "" }, { "dropping-particle" : "", "family" : "Plomin", "given" : "Robert", "non-dropping-particle" : "", "parse-names" : false, "suffix" : "" }, { "dropping-particle" : "", "family" : "Rijsdijk", "given" : "Fr\u00fchling", "non-dropping-particle" : "", "parse-names" : false, "suffix" : "" } ], "container-title" : "JAMA Psychiatry", "id" : "ITEM-1", "issue" : "7", "issued" : { "date-parts" : [ [ "2015", "7", "1" ] ] }, "page" : "651", "publisher" : "American Medical Association", "title" : "Genetic and Environmental Influences on the Developmental Course of Attention-Deficit/Hyperactivity Disorder Symptoms From Childhood to Adolescence", "type" : "article-journal", "volume" : "72" }, "uris" : [ "http://www.mendeley.com/documents/?uuid=7a450515-0129-3e15-8bc6-ed52651459bf" ] } ], "mendeley" : { "formattedCitation" : "(4)", "plainTextFormattedCitation" : "(4)", "previouslyFormattedCitation" : "(4)" }, "properties" : {  }, "schema" : "https://github.com/citation-style-language/schema/raw/master/csl-citation.json" }</w:instrText>
      </w:r>
      <w:r w:rsidRPr="00950689">
        <w:rPr>
          <w:rFonts w:ascii="Times New Roman" w:hAnsi="Times New Roman" w:cs="Times New Roman"/>
          <w:lang w:val="en-GB" w:eastAsia="en-GB"/>
        </w:rPr>
        <w:fldChar w:fldCharType="separate"/>
      </w:r>
      <w:r w:rsidR="0099106E">
        <w:rPr>
          <w:rFonts w:ascii="Times New Roman" w:hAnsi="Times New Roman" w:cs="Times New Roman"/>
          <w:noProof/>
          <w:lang w:val="en-GB" w:eastAsia="en-GB"/>
        </w:rPr>
        <w:t>(Pingault et al., 2015</w:t>
      </w:r>
      <w:r w:rsidR="00BB5461" w:rsidRPr="00BB5461">
        <w:rPr>
          <w:rFonts w:ascii="Times New Roman" w:hAnsi="Times New Roman" w:cs="Times New Roman"/>
          <w:noProof/>
          <w:lang w:val="en-GB" w:eastAsia="en-GB"/>
        </w:rPr>
        <w:t>)</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 xml:space="preserve">, it has been suggested that the overall mean difference, post-matching, should be smaller than .05 </w:t>
      </w:r>
      <w:r w:rsidRPr="00950689">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"DOI" : "10.1111/j.1467-6419.2007.00527.x", "ISSN" : "0950-0804", "author" : [ { "dropping-particle" : "", "family" : "Caliendo", "given" : "Marco", "non-dropping-particle" : "", "parse-names" : false, "suffix" : "" }, { "dropping-particle" : "", "family" : "Kopeinig", "given" : "Sabine", "non-dropping-particle" : "", "parse-names" : false, "suffix" : "" } ], "container-title" : "Journal of Economic Surveys", "id" : "ITEM-1", "issue" : "1", "issued" : { "date-parts" : [ [ "2008", "2", "1" ] ] }, "page" : "31-72", "publisher" : "Blackwell Publishing Ltd", "title" : "SOME PRACTICAL GUIDANCE FOR THE IMPLEMENTATION OF PROPENSITY SCORE MATCHING", "type" : "article-journal", "volume" : "22" }, "uris" : [ "http://www.mendeley.com/documents/?uuid=93e972d1-159d-3d55-8e7a-6b4c662f6059" ] } ], "mendeley" : { "formattedCitation" : "(6)", "plainTextFormattedCitation" : "(6)", "previouslyFormattedCitation" : "(6)" }, "properties" : {  }, "schema" : "https://github.com/citation-style-language/schema/raw/master/csl-citation.json" }</w:instrText>
      </w:r>
      <w:r w:rsidRPr="00950689">
        <w:rPr>
          <w:rFonts w:ascii="Times New Roman" w:hAnsi="Times New Roman" w:cs="Times New Roman"/>
          <w:lang w:val="en-GB" w:eastAsia="en-GB"/>
        </w:rPr>
        <w:fldChar w:fldCharType="separate"/>
      </w:r>
      <w:r w:rsidR="00BB5461" w:rsidRPr="00BB5461">
        <w:rPr>
          <w:rFonts w:ascii="Times New Roman" w:hAnsi="Times New Roman" w:cs="Times New Roman"/>
          <w:noProof/>
          <w:lang w:val="en-GB" w:eastAsia="en-GB"/>
        </w:rPr>
        <w:t>(</w:t>
      </w:r>
      <w:r w:rsidR="0099106E">
        <w:rPr>
          <w:rFonts w:ascii="Times New Roman" w:hAnsi="Times New Roman" w:cs="Times New Roman"/>
          <w:noProof/>
          <w:lang w:val="en-GB"/>
        </w:rPr>
        <w:t xml:space="preserve">Caliendo &amp; Kopeinig, </w:t>
      </w:r>
      <w:r w:rsidR="0099106E" w:rsidRPr="00F94BE2">
        <w:rPr>
          <w:rFonts w:ascii="Times New Roman" w:hAnsi="Times New Roman" w:cs="Times New Roman"/>
          <w:noProof/>
          <w:lang w:val="en-GB"/>
        </w:rPr>
        <w:t>2008)</w:t>
      </w:r>
      <w:r w:rsidRPr="00950689">
        <w:rPr>
          <w:rFonts w:ascii="Times New Roman" w:hAnsi="Times New Roman" w:cs="Times New Roman"/>
          <w:lang w:val="en-GB" w:eastAsia="en-GB"/>
        </w:rPr>
        <w:fldChar w:fldCharType="end"/>
      </w:r>
      <w:r w:rsidRPr="00950689">
        <w:rPr>
          <w:rFonts w:ascii="Times New Roman" w:hAnsi="Times New Roman" w:cs="Times New Roman"/>
          <w:lang w:val="en-GB" w:eastAsia="en-GB"/>
        </w:rPr>
        <w:t>.</w:t>
      </w:r>
    </w:p>
    <w:p w14:paraId="6A691B5D" w14:textId="77777777" w:rsidR="00950689" w:rsidRPr="00FB78D4" w:rsidRDefault="00950689">
      <w:pPr>
        <w:rPr>
          <w:lang w:val="en-GB"/>
        </w:rPr>
      </w:pPr>
    </w:p>
    <w:p w14:paraId="6EC37149" w14:textId="59985A1D" w:rsidR="00043D25" w:rsidRPr="00043D25" w:rsidRDefault="00043D25" w:rsidP="00043D25">
      <w:pPr>
        <w:spacing w:line="480" w:lineRule="auto"/>
        <w:jc w:val="both"/>
        <w:rPr>
          <w:rFonts w:ascii="Times New Roman" w:hAnsi="Times New Roman" w:cs="Times New Roman"/>
          <w:b/>
          <w:lang w:val="en-GB" w:eastAsia="en-GB"/>
        </w:rPr>
      </w:pPr>
      <w:r w:rsidRPr="00043D25">
        <w:rPr>
          <w:rFonts w:ascii="Times New Roman" w:hAnsi="Times New Roman" w:cs="Times New Roman"/>
          <w:b/>
          <w:lang w:val="en-GB" w:eastAsia="en-GB"/>
        </w:rPr>
        <w:t xml:space="preserve">fMRI data processing </w:t>
      </w:r>
    </w:p>
    <w:p w14:paraId="37FD02B7" w14:textId="30371132" w:rsidR="00043D25" w:rsidRPr="00043D25" w:rsidRDefault="00043D25" w:rsidP="000B3BD2">
      <w:pPr>
        <w:spacing w:line="480" w:lineRule="auto"/>
        <w:ind w:firstLine="708"/>
        <w:jc w:val="both"/>
        <w:rPr>
          <w:rFonts w:ascii="Times New Roman" w:hAnsi="Times New Roman" w:cs="Times New Roman"/>
          <w:lang w:val="en-GB" w:eastAsia="en-GB"/>
        </w:rPr>
      </w:pPr>
      <w:r w:rsidRPr="00043D25">
        <w:rPr>
          <w:rFonts w:ascii="Times New Roman" w:hAnsi="Times New Roman" w:cs="Times New Roman"/>
          <w:lang w:val="en-GB" w:eastAsia="en-GB"/>
        </w:rPr>
        <w:t xml:space="preserve">Pre-processing was conducted using SPM8 (www.fil.ion.ucl.ac.uk/spm). Images for each participant were realigned to the first volume in the time series to correct for head motion, spatially normalized into a standard stereotactic space (Montreal Neurological Institute template) using a 12-parameter affine model (final resolution of functional </w:t>
      </w:r>
      <w:r w:rsidR="0099106E">
        <w:rPr>
          <w:rFonts w:ascii="Times New Roman" w:hAnsi="Times New Roman" w:cs="Times New Roman"/>
          <w:lang w:val="en-GB" w:eastAsia="en-GB"/>
        </w:rPr>
        <w:t>images = 2 mm isotropic voxels)</w:t>
      </w:r>
      <w:r w:rsidRPr="00043D25">
        <w:rPr>
          <w:rFonts w:ascii="Times New Roman" w:hAnsi="Times New Roman" w:cs="Times New Roman"/>
          <w:lang w:val="en-GB" w:eastAsia="en-GB"/>
        </w:rPr>
        <w:t xml:space="preserve"> and smoothed to minimize noise and residual differences in </w:t>
      </w:r>
      <w:proofErr w:type="spellStart"/>
      <w:r w:rsidRPr="00043D25">
        <w:rPr>
          <w:rFonts w:ascii="Times New Roman" w:hAnsi="Times New Roman" w:cs="Times New Roman"/>
          <w:lang w:val="en-GB" w:eastAsia="en-GB"/>
        </w:rPr>
        <w:t>gyral</w:t>
      </w:r>
      <w:proofErr w:type="spellEnd"/>
      <w:r w:rsidRPr="00043D25">
        <w:rPr>
          <w:rFonts w:ascii="Times New Roman" w:hAnsi="Times New Roman" w:cs="Times New Roman"/>
          <w:lang w:val="en-GB" w:eastAsia="en-GB"/>
        </w:rPr>
        <w:t xml:space="preserve"> anatomy with a Gaussian filter set at 6 mm full width at half maximum. Voxel-wise signal intensities were ratio normalized to the whole-brain global mean. </w:t>
      </w:r>
    </w:p>
    <w:p w14:paraId="2E0340B5" w14:textId="68132C7D" w:rsidR="00043D25" w:rsidRDefault="00043D25" w:rsidP="00043D25">
      <w:pPr>
        <w:spacing w:line="480" w:lineRule="auto"/>
        <w:jc w:val="both"/>
        <w:rPr>
          <w:rFonts w:ascii="Times New Roman" w:hAnsi="Times New Roman" w:cs="Times New Roman"/>
          <w:lang w:val="en-GB" w:eastAsia="en-GB"/>
        </w:rPr>
      </w:pPr>
      <w:r w:rsidRPr="00043D25">
        <w:rPr>
          <w:rFonts w:ascii="Times New Roman" w:hAnsi="Times New Roman" w:cs="Times New Roman"/>
          <w:lang w:val="en-GB" w:eastAsia="en-GB"/>
        </w:rPr>
        <w:t xml:space="preserve">Because of the relatively extensive signal loss and noise typically observed in the amygdala and VS, single-subject BOLD fMRI data were included in subsequent analyses only if there was a minimum of 90% signal coverage in the amygdala bilaterally and in the VS bilaterally (see </w:t>
      </w:r>
      <w:r w:rsidRPr="00043D25">
        <w:rPr>
          <w:rFonts w:ascii="Times New Roman" w:hAnsi="Times New Roman" w:cs="Times New Roman"/>
          <w:lang w:val="en-GB" w:eastAsia="en-GB"/>
        </w:rPr>
        <w:fldChar w:fldCharType="begin" w:fldLock="1"/>
      </w:r>
      <w:r w:rsidR="00BB5461">
        <w:rPr>
          <w:rFonts w:ascii="Times New Roman" w:hAnsi="Times New Roman" w:cs="Times New Roman"/>
          <w:lang w:val="en-GB" w:eastAsia="en-GB"/>
        </w:rPr>
        <w:instrText>ADDIN CSL_CITATION { "citationItems" : [ { "id" : "ITEM-1", "itemData" : { "DOI" : "10.1038/npp.2011.82", "ISBN" : "1740-634X (Electronic)\\r0006-3223 (Linking)", "ISSN" : "0893-133X", "PMID" : "21593733", "abstract" : "Research integrating neuroimaging and molecular genetics has yielded important insights into how variability in brain chemistry predicts individual differences in brain function, behavior and related risk for psychopathology. However, existing studies have been limited by their focus on the independent effects of single polymorphisms with modest impact on brain chemistry. Here, we explored the effects of five functional polymorphisms affecting dopamine (DA) signaling on reward-related ventral striatum (VS) reactivity, measured with BOLD fMRI, in a sample of 69 Caucasians. We also compiled individual multilocus genetic profile scores reflecting the additive effects of alleles conferring relatively increased DA signaling across the five polymorphic loci: DAT1 9-repeat, DRD4 7-repeat, DRD2 -141C Del, DRD2 Taq1A C (A2), and COMT (158)Met. These multilocus DA profile scores accounted for 10.9% of the inter-individual variability in reward-related VS reactivity. In contrast, none of the individual polymorphisms accounted for significant variability. Our results show that biologically informed multilocus genetic profiles have unique promise as indices of variability in brain chemistry that may yield advances in mapping individual differences in behaviorally relevant brain function. In turn, such genetic profiles may fuel gene-environment interactions research establishing trajectories of risk for psychopathology.", "author" : [ { "dropping-particle" : "", "family" : "Nikolova", "given" : "Yuliya S", "non-dropping-particle" : "", "parse-names" : false, "suffix" : "" }, { "dropping-particle" : "", "family" : "Ferrell", "given" : "Robert E", "non-dropping-particle" : "", "parse-names" : false, "suffix" : "" }, { "dropping-particle" : "", "family" : "Manuck", "given" : "Stephen B", "non-dropping-particle" : "", "parse-names" : false, "suffix" : "" }, { "dropping-particle" : "", "family" : "Hariri", "given" : "Ahmad R", "non-dropping-particle" : "", "parse-names" : false, "suffix" : "" } ], "container-title" : "Neuropsychopharmacology", "id" : "ITEM-1", "issue" : "9", "issued" : { "date-parts" : [ [ "2011", "8", "18" ] ] }, "page" : "1940-1947", "publisher" : "Nature Publishing Group", "title" : "Multilocus Genetic Profile for Dopamine Signaling Predicts Ventral Striatum Reactivity", "type" : "article-journal", "volume" : "36" }, "uris" : [ "http://www.mendeley.com/documents/?uuid=dd0f98d2-8e98-3828-83c1-597b5e1ae827" ] } ], "mendeley" : { "formattedCitation" : "(7)", "plainTextFormattedCitation" : "(7)", "previouslyFormattedCitation" : "(7)" }, "properties" : {  }, "schema" : "https://github.com/citation-style-language/schema/raw/master/csl-citation.json" }</w:instrText>
      </w:r>
      <w:r w:rsidRPr="00043D25">
        <w:rPr>
          <w:rFonts w:ascii="Times New Roman" w:hAnsi="Times New Roman" w:cs="Times New Roman"/>
          <w:lang w:val="en-GB" w:eastAsia="en-GB"/>
        </w:rPr>
        <w:fldChar w:fldCharType="separate"/>
      </w:r>
      <w:r w:rsidR="0099106E">
        <w:rPr>
          <w:rFonts w:ascii="Times New Roman" w:hAnsi="Times New Roman" w:cs="Times New Roman"/>
          <w:noProof/>
          <w:lang w:val="en-GB" w:eastAsia="en-GB"/>
        </w:rPr>
        <w:t>Nikolova et al., 2011</w:t>
      </w:r>
      <w:r w:rsidR="00BB5461" w:rsidRPr="00BB5461">
        <w:rPr>
          <w:rFonts w:ascii="Times New Roman" w:hAnsi="Times New Roman" w:cs="Times New Roman"/>
          <w:noProof/>
          <w:lang w:val="en-GB" w:eastAsia="en-GB"/>
        </w:rPr>
        <w:t>)</w:t>
      </w:r>
      <w:r w:rsidRPr="00043D25">
        <w:rPr>
          <w:rFonts w:ascii="Times New Roman" w:hAnsi="Times New Roman" w:cs="Times New Roman"/>
          <w:lang w:val="en-GB" w:eastAsia="en-GB"/>
        </w:rPr>
        <w:fldChar w:fldCharType="end"/>
      </w:r>
      <w:r w:rsidRPr="00043D25">
        <w:rPr>
          <w:rFonts w:ascii="Times New Roman" w:hAnsi="Times New Roman" w:cs="Times New Roman"/>
          <w:lang w:val="en-GB" w:eastAsia="en-GB"/>
        </w:rPr>
        <w:t xml:space="preserve">). </w:t>
      </w:r>
    </w:p>
    <w:p w14:paraId="294277EA" w14:textId="77777777" w:rsidR="009144BF" w:rsidRDefault="009144BF" w:rsidP="009144BF">
      <w:pPr>
        <w:spacing w:line="480" w:lineRule="auto"/>
        <w:jc w:val="both"/>
        <w:rPr>
          <w:rFonts w:ascii="Times New Roman" w:hAnsi="Times New Roman" w:cs="Times New Roman"/>
          <w:lang w:val="en-GB" w:eastAsia="en-GB"/>
        </w:rPr>
      </w:pPr>
      <w:r w:rsidRPr="009144BF">
        <w:rPr>
          <w:rFonts w:ascii="Times New Roman" w:hAnsi="Times New Roman" w:cs="Times New Roman"/>
          <w:lang w:val="en-GB" w:eastAsia="en-GB"/>
        </w:rPr>
        <w:lastRenderedPageBreak/>
        <w:t xml:space="preserve">Variability in single-subject whole-brain functional volumes was determined using the </w:t>
      </w:r>
      <w:proofErr w:type="spellStart"/>
      <w:r w:rsidRPr="009144BF">
        <w:rPr>
          <w:rFonts w:ascii="Times New Roman" w:hAnsi="Times New Roman" w:cs="Times New Roman"/>
          <w:lang w:val="en-GB" w:eastAsia="en-GB"/>
        </w:rPr>
        <w:t>Artifact</w:t>
      </w:r>
      <w:proofErr w:type="spellEnd"/>
      <w:r w:rsidRPr="009144BF">
        <w:rPr>
          <w:rFonts w:ascii="Times New Roman" w:hAnsi="Times New Roman" w:cs="Times New Roman"/>
          <w:lang w:val="en-GB" w:eastAsia="en-GB"/>
        </w:rPr>
        <w:t xml:space="preserve"> Recognition Toolbox (http://www.nitrc.org/projects/ </w:t>
      </w:r>
      <w:proofErr w:type="spellStart"/>
      <w:r w:rsidRPr="009144BF">
        <w:rPr>
          <w:rFonts w:ascii="Times New Roman" w:hAnsi="Times New Roman" w:cs="Times New Roman"/>
          <w:lang w:val="en-GB" w:eastAsia="en-GB"/>
        </w:rPr>
        <w:t>artifact_detect</w:t>
      </w:r>
      <w:proofErr w:type="spellEnd"/>
      <w:r w:rsidRPr="009144BF">
        <w:rPr>
          <w:rFonts w:ascii="Times New Roman" w:hAnsi="Times New Roman" w:cs="Times New Roman"/>
          <w:lang w:val="en-GB" w:eastAsia="en-GB"/>
        </w:rPr>
        <w:t xml:space="preserve">). Individual whole-brain BOLD fMRI volumes meeting at least one of two criteria were assigned a lower weight in the determination of task- specific effects: (1) significant mean volume signal intensity variation (i.e., within-volume mean signal greater or less than 4 SD of mean signal of all volumes in time series) and (2) individual volumes where scan-to-scan movement exceeded 2 mm translation or 2 degrees rotation in any direction. </w:t>
      </w:r>
    </w:p>
    <w:p w14:paraId="6C72CB66" w14:textId="77777777" w:rsidR="00DF5FAF" w:rsidRDefault="00DF5FAF" w:rsidP="009144BF">
      <w:pPr>
        <w:spacing w:line="480" w:lineRule="auto"/>
        <w:jc w:val="both"/>
        <w:rPr>
          <w:rFonts w:ascii="Times New Roman" w:hAnsi="Times New Roman" w:cs="Times New Roman"/>
          <w:lang w:val="en-GB" w:eastAsia="en-GB"/>
        </w:rPr>
      </w:pPr>
    </w:p>
    <w:p w14:paraId="2ECD738E" w14:textId="77777777" w:rsidR="005B3512" w:rsidRPr="005B3512" w:rsidRDefault="005B3512" w:rsidP="005B3512">
      <w:pPr>
        <w:spacing w:line="480" w:lineRule="auto"/>
        <w:jc w:val="both"/>
        <w:rPr>
          <w:rFonts w:ascii="Times New Roman" w:hAnsi="Times New Roman" w:cs="Times New Roman"/>
          <w:lang w:val="en-GB" w:eastAsia="en-GB"/>
        </w:rPr>
      </w:pPr>
      <w:r w:rsidRPr="005B3512">
        <w:rPr>
          <w:rFonts w:ascii="Times New Roman" w:hAnsi="Times New Roman" w:cs="Times New Roman"/>
          <w:noProof/>
          <w:lang w:val="en-GB" w:eastAsia="en-GB"/>
        </w:rPr>
        <w:drawing>
          <wp:inline distT="0" distB="0" distL="0" distR="0" wp14:anchorId="3FF60269" wp14:editId="5BC74BA3">
            <wp:extent cx="5346700" cy="37719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0" cy="3771900"/>
                    </a:xfrm>
                    <a:prstGeom prst="rect">
                      <a:avLst/>
                    </a:prstGeom>
                    <a:noFill/>
                    <a:ln>
                      <a:noFill/>
                    </a:ln>
                  </pic:spPr>
                </pic:pic>
              </a:graphicData>
            </a:graphic>
          </wp:inline>
        </w:drawing>
      </w:r>
    </w:p>
    <w:p w14:paraId="1AD6DD57" w14:textId="69C4EBB3" w:rsidR="005B3512" w:rsidRDefault="005B3512" w:rsidP="005B3512">
      <w:pPr>
        <w:spacing w:line="480" w:lineRule="auto"/>
        <w:jc w:val="both"/>
        <w:rPr>
          <w:rFonts w:ascii="Times New Roman" w:hAnsi="Times New Roman" w:cs="Times New Roman"/>
          <w:lang w:val="en-GB" w:eastAsia="en-GB"/>
        </w:rPr>
      </w:pPr>
      <w:r>
        <w:rPr>
          <w:rFonts w:ascii="Times New Roman" w:hAnsi="Times New Roman" w:cs="Times New Roman"/>
          <w:b/>
          <w:lang w:val="en-GB" w:eastAsia="en-GB"/>
        </w:rPr>
        <w:t>Fig.S2</w:t>
      </w:r>
      <w:r w:rsidRPr="005B3512">
        <w:rPr>
          <w:rFonts w:ascii="Times New Roman" w:hAnsi="Times New Roman" w:cs="Times New Roman"/>
          <w:b/>
          <w:lang w:val="en-GB" w:eastAsia="en-GB"/>
        </w:rPr>
        <w:t>.</w:t>
      </w:r>
      <w:r w:rsidRPr="005B3512">
        <w:rPr>
          <w:rFonts w:ascii="Times New Roman" w:hAnsi="Times New Roman" w:cs="Times New Roman"/>
          <w:lang w:val="en-GB" w:eastAsia="en-GB"/>
        </w:rPr>
        <w:t xml:space="preserve"> Plot showing negative association between amygdala reactivity during Anger vs. Neutral face processing against cumulative number of maltreatment subtypes for the left amygdala. Blue line indicates mean amygdala response in the control group. Note that a similar negative association has been observed for the right amygdala. </w:t>
      </w:r>
    </w:p>
    <w:p w14:paraId="42931023" w14:textId="4D65B584" w:rsidR="004610BA" w:rsidRDefault="004610BA" w:rsidP="005B3512">
      <w:pPr>
        <w:spacing w:line="480" w:lineRule="auto"/>
        <w:jc w:val="both"/>
        <w:rPr>
          <w:rFonts w:ascii="Times New Roman" w:hAnsi="Times New Roman" w:cs="Times New Roman"/>
          <w:lang w:val="en-GB" w:eastAsia="en-GB"/>
        </w:rPr>
      </w:pPr>
    </w:p>
    <w:p w14:paraId="640F1131" w14:textId="662FC367" w:rsidR="004610BA" w:rsidRPr="00554C44" w:rsidRDefault="004610BA" w:rsidP="004610BA">
      <w:pPr>
        <w:spacing w:line="480" w:lineRule="auto"/>
        <w:jc w:val="both"/>
        <w:rPr>
          <w:rFonts w:ascii="Times New Roman" w:hAnsi="Times New Roman" w:cs="Times New Roman"/>
          <w:b/>
          <w:lang w:val="en-GB" w:eastAsia="en-GB"/>
        </w:rPr>
      </w:pPr>
      <w:r w:rsidRPr="00554C44">
        <w:rPr>
          <w:rFonts w:ascii="Times New Roman" w:hAnsi="Times New Roman" w:cs="Times New Roman"/>
          <w:b/>
          <w:lang w:val="en-GB" w:eastAsia="en-GB"/>
        </w:rPr>
        <w:t xml:space="preserve">Additional Within-maltreatment group comparisons </w:t>
      </w:r>
    </w:p>
    <w:p w14:paraId="51F1772C" w14:textId="77777777" w:rsidR="004610BA" w:rsidRDefault="004610BA" w:rsidP="005B3512">
      <w:pPr>
        <w:spacing w:line="480" w:lineRule="auto"/>
        <w:jc w:val="both"/>
        <w:rPr>
          <w:rFonts w:ascii="Times New Roman" w:hAnsi="Times New Roman" w:cs="Times New Roman"/>
          <w:lang w:val="en-GB" w:eastAsia="en-GB"/>
        </w:rPr>
      </w:pPr>
    </w:p>
    <w:p w14:paraId="695B57F2" w14:textId="77777777" w:rsidR="004610BA" w:rsidRPr="005B3512" w:rsidRDefault="004610BA" w:rsidP="005B3512">
      <w:pPr>
        <w:spacing w:line="480" w:lineRule="auto"/>
        <w:jc w:val="both"/>
        <w:rPr>
          <w:rFonts w:ascii="Times New Roman" w:hAnsi="Times New Roman" w:cs="Times New Roman"/>
          <w:lang w:val="en-GB" w:eastAsia="en-GB"/>
        </w:rPr>
      </w:pPr>
    </w:p>
    <w:p w14:paraId="50A73D89" w14:textId="77777777" w:rsidR="004610BA" w:rsidRPr="004610BA" w:rsidRDefault="004610BA" w:rsidP="004610BA">
      <w:pPr>
        <w:numPr>
          <w:ilvl w:val="0"/>
          <w:numId w:val="13"/>
        </w:numPr>
        <w:spacing w:line="480" w:lineRule="auto"/>
        <w:jc w:val="both"/>
        <w:rPr>
          <w:rFonts w:ascii="Times New Roman" w:hAnsi="Times New Roman" w:cs="Times New Roman"/>
          <w:u w:val="single"/>
          <w:lang w:val="en-GB" w:eastAsia="en-GB"/>
        </w:rPr>
      </w:pPr>
      <w:r w:rsidRPr="004610BA">
        <w:rPr>
          <w:rFonts w:ascii="Times New Roman" w:hAnsi="Times New Roman" w:cs="Times New Roman"/>
          <w:u w:val="single"/>
          <w:lang w:val="en-GB" w:eastAsia="en-GB"/>
        </w:rPr>
        <w:t xml:space="preserve">Neglect only group (NO) vs. Combined Abuse and Neglect (COM) group </w:t>
      </w:r>
    </w:p>
    <w:p w14:paraId="3AF090D4" w14:textId="77777777" w:rsidR="004610BA" w:rsidRPr="004610BA" w:rsidRDefault="004610BA" w:rsidP="004610BA">
      <w:pPr>
        <w:spacing w:line="480" w:lineRule="auto"/>
        <w:jc w:val="both"/>
        <w:rPr>
          <w:rFonts w:ascii="Times New Roman" w:hAnsi="Times New Roman" w:cs="Times New Roman"/>
          <w:lang w:val="en-GB" w:eastAsia="en-GB"/>
        </w:rPr>
      </w:pPr>
      <w:r w:rsidRPr="004610BA">
        <w:rPr>
          <w:rFonts w:ascii="Times New Roman" w:hAnsi="Times New Roman" w:cs="Times New Roman"/>
          <w:lang w:val="en-GB" w:eastAsia="en-GB"/>
        </w:rPr>
        <w:t>Exploratory whole brain analyses of regions more active in the NO relative to the COM group during the perceptual processing of angry faces vs. neutral included a wide network of brain areas including parts of the middle temporal lobe (amygdala, hippocampus, middle temporal gyrus) as well as the somatosensory and superior parietal cortex and the ventromedial prefrontal cortex (</w:t>
      </w:r>
      <w:proofErr w:type="spellStart"/>
      <w:r w:rsidRPr="004610BA">
        <w:rPr>
          <w:rFonts w:ascii="Times New Roman" w:hAnsi="Times New Roman" w:cs="Times New Roman"/>
          <w:lang w:val="en-GB" w:eastAsia="en-GB"/>
        </w:rPr>
        <w:t>vmPFC</w:t>
      </w:r>
      <w:proofErr w:type="spellEnd"/>
      <w:r w:rsidRPr="004610BA">
        <w:rPr>
          <w:rFonts w:ascii="Times New Roman" w:hAnsi="Times New Roman" w:cs="Times New Roman"/>
          <w:lang w:val="en-GB" w:eastAsia="en-GB"/>
        </w:rPr>
        <w:t xml:space="preserve">). No areas were found to be more active in the COM vs. NO group. </w:t>
      </w:r>
    </w:p>
    <w:p w14:paraId="39F0E99C" w14:textId="77777777" w:rsidR="004610BA" w:rsidRPr="004610BA" w:rsidRDefault="004610BA" w:rsidP="004610BA">
      <w:pPr>
        <w:numPr>
          <w:ilvl w:val="0"/>
          <w:numId w:val="13"/>
        </w:numPr>
        <w:spacing w:line="480" w:lineRule="auto"/>
        <w:jc w:val="both"/>
        <w:rPr>
          <w:rFonts w:ascii="Times New Roman" w:hAnsi="Times New Roman" w:cs="Times New Roman"/>
          <w:u w:val="single"/>
          <w:lang w:val="en-GB" w:eastAsia="en-GB"/>
        </w:rPr>
      </w:pPr>
      <w:r w:rsidRPr="004610BA">
        <w:rPr>
          <w:rFonts w:ascii="Times New Roman" w:hAnsi="Times New Roman" w:cs="Times New Roman"/>
          <w:u w:val="single"/>
          <w:lang w:val="en-GB" w:eastAsia="en-GB"/>
        </w:rPr>
        <w:t xml:space="preserve">Abuse only group (AO) vs. Combined Abuse and Neglect (COM) group </w:t>
      </w:r>
    </w:p>
    <w:p w14:paraId="6A3EE248" w14:textId="77777777" w:rsidR="004610BA" w:rsidRPr="004610BA" w:rsidRDefault="004610BA" w:rsidP="004610BA">
      <w:pPr>
        <w:spacing w:line="480" w:lineRule="auto"/>
        <w:jc w:val="both"/>
        <w:rPr>
          <w:rFonts w:ascii="Times New Roman" w:hAnsi="Times New Roman" w:cs="Times New Roman"/>
          <w:lang w:val="en-GB" w:eastAsia="en-GB"/>
        </w:rPr>
      </w:pPr>
      <w:r w:rsidRPr="004610BA">
        <w:rPr>
          <w:rFonts w:ascii="Times New Roman" w:hAnsi="Times New Roman" w:cs="Times New Roman"/>
          <w:lang w:val="en-GB" w:eastAsia="en-GB"/>
        </w:rPr>
        <w:t xml:space="preserve">Between group exploratory whole-brain comparisons between the AO and COM group revealed significantly greater activation in the medial and dorsomedial prefrontal cortex, parts of the temporal lobe (bilateral amygdala, right hippocampus and middle temporal gyrus) and bilateral retrosplenial cortex. No areas were found to be more active in the COM vs. AO group. See online data supplement table S2 in Appendix for a complete list. </w:t>
      </w:r>
    </w:p>
    <w:p w14:paraId="4A48DD95" w14:textId="77777777" w:rsidR="00177849" w:rsidRDefault="00177849" w:rsidP="00043D25">
      <w:pPr>
        <w:spacing w:line="480" w:lineRule="auto"/>
        <w:jc w:val="both"/>
        <w:rPr>
          <w:rFonts w:ascii="Times New Roman" w:hAnsi="Times New Roman" w:cs="Times New Roman"/>
          <w:lang w:val="en-GB" w:eastAsia="en-GB"/>
        </w:rPr>
      </w:pPr>
    </w:p>
    <w:p w14:paraId="034B4D0D" w14:textId="15ECE4A2" w:rsidR="00F94BE2" w:rsidRDefault="00F94BE2" w:rsidP="00043D25">
      <w:pPr>
        <w:spacing w:line="480" w:lineRule="auto"/>
        <w:jc w:val="both"/>
        <w:rPr>
          <w:rFonts w:ascii="Times New Roman" w:hAnsi="Times New Roman" w:cs="Times New Roman"/>
          <w:b/>
          <w:lang w:val="en-GB" w:eastAsia="en-GB"/>
        </w:rPr>
      </w:pPr>
      <w:r>
        <w:rPr>
          <w:rFonts w:ascii="Times New Roman" w:hAnsi="Times New Roman" w:cs="Times New Roman"/>
          <w:b/>
          <w:lang w:val="en-GB" w:eastAsia="en-GB"/>
        </w:rPr>
        <w:t>References:</w:t>
      </w:r>
    </w:p>
    <w:p w14:paraId="0BAE4CA4" w14:textId="77777777" w:rsidR="0099106E" w:rsidRPr="004666DA" w:rsidRDefault="0099106E" w:rsidP="0099106E">
      <w:pPr>
        <w:widowControl w:val="0"/>
        <w:autoSpaceDE w:val="0"/>
        <w:autoSpaceDN w:val="0"/>
        <w:adjustRightInd w:val="0"/>
        <w:spacing w:after="120" w:line="480" w:lineRule="auto"/>
        <w:rPr>
          <w:rFonts w:ascii="Times New Roman" w:eastAsia="Calibri" w:hAnsi="Times New Roman" w:cs="Times New Roman"/>
          <w:noProof/>
          <w:lang w:val="en-US" w:eastAsia="en-GB"/>
        </w:rPr>
      </w:pPr>
      <w:r w:rsidRPr="004666DA">
        <w:rPr>
          <w:rFonts w:ascii="Times New Roman" w:eastAsia="Calibri" w:hAnsi="Times New Roman" w:cs="Times New Roman"/>
          <w:b/>
          <w:noProof/>
          <w:lang w:val="en-US" w:eastAsia="en-GB"/>
        </w:rPr>
        <w:t>Bernstein, D. P. and Fink, L.</w:t>
      </w:r>
      <w:r w:rsidRPr="004666DA">
        <w:rPr>
          <w:rFonts w:ascii="Times New Roman" w:eastAsia="Calibri" w:hAnsi="Times New Roman" w:cs="Times New Roman"/>
          <w:noProof/>
          <w:lang w:val="en-US" w:eastAsia="en-GB"/>
        </w:rPr>
        <w:t xml:space="preserve"> (1998) </w:t>
      </w:r>
      <w:r w:rsidRPr="004666DA">
        <w:rPr>
          <w:rFonts w:ascii="Times New Roman" w:eastAsia="Calibri" w:hAnsi="Times New Roman" w:cs="Times New Roman"/>
          <w:i/>
          <w:iCs/>
          <w:noProof/>
          <w:lang w:val="en-US" w:eastAsia="en-GB"/>
        </w:rPr>
        <w:t>CTQ Childhood Trauma Questionnaire: A retrospective self-report. Manual.</w:t>
      </w:r>
      <w:r w:rsidRPr="004666DA">
        <w:rPr>
          <w:rFonts w:ascii="Times New Roman" w:eastAsia="Calibri" w:hAnsi="Times New Roman" w:cs="Times New Roman"/>
          <w:noProof/>
          <w:lang w:val="en-US" w:eastAsia="en-GB"/>
        </w:rPr>
        <w:t xml:space="preserve"> San Antonio, TX.: The Psychological Corporation.</w:t>
      </w:r>
    </w:p>
    <w:p w14:paraId="20C95464" w14:textId="3BAA500E" w:rsidR="003950BB" w:rsidRPr="004666DA" w:rsidRDefault="003950BB" w:rsidP="003950BB">
      <w:pPr>
        <w:widowControl w:val="0"/>
        <w:autoSpaceDE w:val="0"/>
        <w:autoSpaceDN w:val="0"/>
        <w:adjustRightInd w:val="0"/>
        <w:spacing w:line="480" w:lineRule="auto"/>
        <w:rPr>
          <w:rFonts w:ascii="Times New Roman" w:hAnsi="Times New Roman" w:cs="Times New Roman"/>
          <w:noProof/>
          <w:lang w:val="en-GB"/>
        </w:rPr>
      </w:pPr>
      <w:r w:rsidRPr="004666DA">
        <w:rPr>
          <w:rFonts w:ascii="Times New Roman" w:hAnsi="Times New Roman" w:cs="Times New Roman"/>
          <w:b/>
          <w:noProof/>
          <w:lang w:val="en-GB"/>
        </w:rPr>
        <w:t xml:space="preserve">Caliendo M, Kopeinig S </w:t>
      </w:r>
      <w:r w:rsidRPr="004666DA">
        <w:rPr>
          <w:rFonts w:ascii="Times New Roman" w:hAnsi="Times New Roman" w:cs="Times New Roman"/>
          <w:noProof/>
          <w:lang w:val="en-GB"/>
        </w:rPr>
        <w:t xml:space="preserve">(2008) Some pratcical guidance for the implementation of propensity score matching. </w:t>
      </w:r>
      <w:r w:rsidRPr="004666DA">
        <w:rPr>
          <w:rFonts w:ascii="Times New Roman" w:hAnsi="Times New Roman" w:cs="Times New Roman"/>
          <w:i/>
          <w:iCs/>
          <w:noProof/>
          <w:lang w:val="en-GB"/>
        </w:rPr>
        <w:t>Journal of Economic Surveys</w:t>
      </w:r>
      <w:r w:rsidRPr="004666DA">
        <w:rPr>
          <w:rFonts w:ascii="Times New Roman" w:hAnsi="Times New Roman" w:cs="Times New Roman"/>
          <w:noProof/>
          <w:lang w:val="en-GB"/>
        </w:rPr>
        <w:t xml:space="preserve"> 22(1):31–72.</w:t>
      </w:r>
    </w:p>
    <w:p w14:paraId="426B350C" w14:textId="77777777" w:rsidR="004666DA" w:rsidRPr="004666DA" w:rsidRDefault="004666DA" w:rsidP="004666DA">
      <w:pPr>
        <w:widowControl w:val="0"/>
        <w:autoSpaceDE w:val="0"/>
        <w:autoSpaceDN w:val="0"/>
        <w:adjustRightInd w:val="0"/>
        <w:spacing w:line="480" w:lineRule="auto"/>
        <w:rPr>
          <w:rFonts w:ascii="Times New Roman" w:hAnsi="Times New Roman" w:cs="Times New Roman"/>
          <w:noProof/>
          <w:lang w:val="en-US"/>
        </w:rPr>
      </w:pPr>
      <w:r w:rsidRPr="004666DA">
        <w:rPr>
          <w:rFonts w:ascii="Times New Roman" w:hAnsi="Times New Roman" w:cs="Times New Roman"/>
          <w:b/>
          <w:bCs/>
          <w:noProof/>
          <w:lang w:val="en-US"/>
        </w:rPr>
        <w:t>Ho DE, Imai K, King G, Stuart EA</w:t>
      </w:r>
      <w:r w:rsidRPr="004666DA">
        <w:rPr>
          <w:rFonts w:ascii="Times New Roman" w:hAnsi="Times New Roman" w:cs="Times New Roman"/>
          <w:b/>
          <w:noProof/>
          <w:lang w:val="en-US"/>
        </w:rPr>
        <w:t xml:space="preserve"> (2011). </w:t>
      </w:r>
      <w:r w:rsidRPr="004666DA">
        <w:rPr>
          <w:rFonts w:ascii="Times New Roman" w:hAnsi="Times New Roman" w:cs="Times New Roman"/>
          <w:noProof/>
          <w:lang w:val="en-US"/>
        </w:rPr>
        <w:t xml:space="preserve">MatchIt: Nonparametric Preprocessing for Parametric Causal Inference. </w:t>
      </w:r>
      <w:r w:rsidRPr="004666DA">
        <w:rPr>
          <w:rFonts w:ascii="Times New Roman" w:hAnsi="Times New Roman" w:cs="Times New Roman"/>
          <w:i/>
          <w:iCs/>
          <w:noProof/>
          <w:lang w:val="en-US"/>
        </w:rPr>
        <w:t>JSS Journal of Statistical Software</w:t>
      </w:r>
      <w:r w:rsidRPr="004666DA">
        <w:rPr>
          <w:rFonts w:ascii="Times New Roman" w:hAnsi="Times New Roman" w:cs="Times New Roman"/>
          <w:noProof/>
          <w:lang w:val="en-US"/>
        </w:rPr>
        <w:t xml:space="preserve"> </w:t>
      </w:r>
      <w:r w:rsidRPr="004666DA">
        <w:rPr>
          <w:rFonts w:ascii="Times New Roman" w:hAnsi="Times New Roman" w:cs="Times New Roman"/>
          <w:b/>
          <w:bCs/>
          <w:noProof/>
          <w:lang w:val="en-US"/>
        </w:rPr>
        <w:t>42</w:t>
      </w:r>
      <w:r w:rsidRPr="004666DA">
        <w:rPr>
          <w:rFonts w:ascii="Times New Roman" w:hAnsi="Times New Roman" w:cs="Times New Roman"/>
          <w:bCs/>
          <w:noProof/>
          <w:lang w:val="en-US"/>
        </w:rPr>
        <w:t>.</w:t>
      </w:r>
      <w:bookmarkStart w:id="0" w:name="_GoBack"/>
      <w:bookmarkEnd w:id="0"/>
    </w:p>
    <w:p w14:paraId="7205FCD6" w14:textId="19CAC0BF" w:rsidR="003950BB" w:rsidRPr="004666DA" w:rsidRDefault="003950BB" w:rsidP="003950BB">
      <w:pPr>
        <w:widowControl w:val="0"/>
        <w:autoSpaceDE w:val="0"/>
        <w:autoSpaceDN w:val="0"/>
        <w:adjustRightInd w:val="0"/>
        <w:spacing w:line="480" w:lineRule="auto"/>
        <w:rPr>
          <w:rFonts w:ascii="Times New Roman" w:hAnsi="Times New Roman" w:cs="Times New Roman"/>
          <w:noProof/>
          <w:lang w:val="en-GB"/>
        </w:rPr>
      </w:pPr>
      <w:r w:rsidRPr="004666DA">
        <w:rPr>
          <w:rFonts w:ascii="Times New Roman" w:hAnsi="Times New Roman" w:cs="Times New Roman"/>
          <w:b/>
          <w:noProof/>
          <w:lang w:val="en-GB"/>
        </w:rPr>
        <w:t>Nikolova YS, Ferrell RE, Manuck SB, Hariri AR</w:t>
      </w:r>
      <w:r w:rsidRPr="004666DA">
        <w:rPr>
          <w:rFonts w:ascii="Times New Roman" w:hAnsi="Times New Roman" w:cs="Times New Roman"/>
          <w:noProof/>
          <w:lang w:val="en-GB"/>
        </w:rPr>
        <w:t xml:space="preserve"> (2011)</w:t>
      </w:r>
      <w:r w:rsidR="004666DA" w:rsidRPr="004666DA">
        <w:rPr>
          <w:rFonts w:ascii="Times New Roman" w:hAnsi="Times New Roman" w:cs="Times New Roman"/>
          <w:noProof/>
          <w:lang w:val="en-GB"/>
        </w:rPr>
        <w:t>.</w:t>
      </w:r>
      <w:r w:rsidRPr="004666DA">
        <w:rPr>
          <w:rFonts w:ascii="Times New Roman" w:hAnsi="Times New Roman" w:cs="Times New Roman"/>
          <w:noProof/>
          <w:lang w:val="en-GB"/>
        </w:rPr>
        <w:t xml:space="preserve"> Multilocus Genetic Profile for Dopamine Signaling Predicts Ventral Striatum Reactivity. </w:t>
      </w:r>
      <w:r w:rsidRPr="004666DA">
        <w:rPr>
          <w:rFonts w:ascii="Times New Roman" w:hAnsi="Times New Roman" w:cs="Times New Roman"/>
          <w:i/>
          <w:iCs/>
          <w:noProof/>
          <w:lang w:val="en-GB"/>
        </w:rPr>
        <w:t>Neuropsychopharmacology</w:t>
      </w:r>
      <w:r w:rsidRPr="004666DA">
        <w:rPr>
          <w:rFonts w:ascii="Times New Roman" w:hAnsi="Times New Roman" w:cs="Times New Roman"/>
          <w:noProof/>
          <w:lang w:val="en-GB"/>
        </w:rPr>
        <w:t xml:space="preserve"> </w:t>
      </w:r>
      <w:r w:rsidRPr="004666DA">
        <w:rPr>
          <w:rFonts w:ascii="Times New Roman" w:hAnsi="Times New Roman" w:cs="Times New Roman"/>
          <w:b/>
          <w:noProof/>
          <w:lang w:val="en-GB"/>
        </w:rPr>
        <w:t>36</w:t>
      </w:r>
      <w:r w:rsidRPr="004666DA">
        <w:rPr>
          <w:rFonts w:ascii="Times New Roman" w:hAnsi="Times New Roman" w:cs="Times New Roman"/>
          <w:noProof/>
          <w:lang w:val="en-GB"/>
        </w:rPr>
        <w:t>:1940–1947.</w:t>
      </w:r>
    </w:p>
    <w:p w14:paraId="6C2AFD16" w14:textId="6345E56D" w:rsidR="003950BB" w:rsidRPr="004666DA" w:rsidRDefault="003950BB" w:rsidP="003950BB">
      <w:pPr>
        <w:widowControl w:val="0"/>
        <w:autoSpaceDE w:val="0"/>
        <w:autoSpaceDN w:val="0"/>
        <w:adjustRightInd w:val="0"/>
        <w:spacing w:line="480" w:lineRule="auto"/>
        <w:rPr>
          <w:rFonts w:ascii="Times New Roman" w:hAnsi="Times New Roman" w:cs="Times New Roman"/>
          <w:noProof/>
          <w:lang w:val="en-GB"/>
        </w:rPr>
      </w:pPr>
      <w:r w:rsidRPr="004666DA">
        <w:rPr>
          <w:rFonts w:ascii="Times New Roman" w:hAnsi="Times New Roman" w:cs="Times New Roman"/>
          <w:b/>
          <w:noProof/>
          <w:lang w:val="en-GB"/>
        </w:rPr>
        <w:t>Pingault J-B,</w:t>
      </w:r>
      <w:r w:rsidR="004666DA" w:rsidRPr="004666DA">
        <w:rPr>
          <w:rFonts w:ascii="Times New Roman" w:hAnsi="Times New Roman" w:cs="Times New Roman"/>
          <w:b/>
          <w:noProof/>
          <w:lang w:val="en-GB"/>
        </w:rPr>
        <w:t xml:space="preserve"> Viding E, Galera C, Greven CU, Zheng Y, Plomin R, Rijsdijk F</w:t>
      </w:r>
      <w:r w:rsidRPr="004666DA">
        <w:rPr>
          <w:rFonts w:ascii="Times New Roman" w:hAnsi="Times New Roman" w:cs="Times New Roman"/>
          <w:noProof/>
          <w:lang w:val="en-GB"/>
        </w:rPr>
        <w:t xml:space="preserve"> (2015)</w:t>
      </w:r>
      <w:r w:rsidR="004666DA" w:rsidRPr="004666DA">
        <w:rPr>
          <w:rFonts w:ascii="Times New Roman" w:hAnsi="Times New Roman" w:cs="Times New Roman"/>
          <w:noProof/>
          <w:lang w:val="en-GB"/>
        </w:rPr>
        <w:t>.</w:t>
      </w:r>
      <w:r w:rsidRPr="004666DA">
        <w:rPr>
          <w:rFonts w:ascii="Times New Roman" w:hAnsi="Times New Roman" w:cs="Times New Roman"/>
          <w:noProof/>
          <w:lang w:val="en-GB"/>
        </w:rPr>
        <w:t xml:space="preserve"> Genetic and Environmental Influences on the Developmental Course of Attention-</w:t>
      </w:r>
      <w:r w:rsidRPr="004666DA">
        <w:rPr>
          <w:rFonts w:ascii="Times New Roman" w:hAnsi="Times New Roman" w:cs="Times New Roman"/>
          <w:noProof/>
          <w:lang w:val="en-GB"/>
        </w:rPr>
        <w:lastRenderedPageBreak/>
        <w:t xml:space="preserve">Deficit/Hyperactivity Disorder Symptoms From Childhood to Adolescence. </w:t>
      </w:r>
      <w:r w:rsidRPr="004666DA">
        <w:rPr>
          <w:rFonts w:ascii="Times New Roman" w:hAnsi="Times New Roman" w:cs="Times New Roman"/>
          <w:i/>
          <w:iCs/>
          <w:noProof/>
          <w:lang w:val="en-GB"/>
        </w:rPr>
        <w:t>JAMA Psychiatry</w:t>
      </w:r>
      <w:r w:rsidRPr="004666DA">
        <w:rPr>
          <w:rFonts w:ascii="Times New Roman" w:hAnsi="Times New Roman" w:cs="Times New Roman"/>
          <w:noProof/>
          <w:lang w:val="en-GB"/>
        </w:rPr>
        <w:t xml:space="preserve"> </w:t>
      </w:r>
      <w:r w:rsidRPr="004666DA">
        <w:rPr>
          <w:rFonts w:ascii="Times New Roman" w:hAnsi="Times New Roman" w:cs="Times New Roman"/>
          <w:b/>
          <w:noProof/>
          <w:lang w:val="en-GB"/>
        </w:rPr>
        <w:t>7</w:t>
      </w:r>
      <w:r w:rsidR="004666DA" w:rsidRPr="004666DA">
        <w:rPr>
          <w:rFonts w:ascii="Times New Roman" w:hAnsi="Times New Roman" w:cs="Times New Roman"/>
          <w:b/>
          <w:noProof/>
          <w:lang w:val="en-GB"/>
        </w:rPr>
        <w:t>6</w:t>
      </w:r>
      <w:r w:rsidR="004666DA" w:rsidRPr="004666DA">
        <w:rPr>
          <w:rFonts w:ascii="Times New Roman" w:hAnsi="Times New Roman" w:cs="Times New Roman"/>
          <w:noProof/>
          <w:lang w:val="en-GB"/>
        </w:rPr>
        <w:t xml:space="preserve">, </w:t>
      </w:r>
      <w:r w:rsidRPr="004666DA">
        <w:rPr>
          <w:rFonts w:ascii="Times New Roman" w:hAnsi="Times New Roman" w:cs="Times New Roman"/>
          <w:noProof/>
          <w:lang w:val="en-GB"/>
        </w:rPr>
        <w:t>651.</w:t>
      </w:r>
    </w:p>
    <w:p w14:paraId="2541ABAB" w14:textId="52EF5640" w:rsidR="003950BB" w:rsidRPr="004666DA" w:rsidRDefault="003950BB" w:rsidP="003950BB">
      <w:pPr>
        <w:widowControl w:val="0"/>
        <w:autoSpaceDE w:val="0"/>
        <w:autoSpaceDN w:val="0"/>
        <w:adjustRightInd w:val="0"/>
        <w:spacing w:line="480" w:lineRule="auto"/>
        <w:rPr>
          <w:rFonts w:ascii="Times New Roman" w:hAnsi="Times New Roman" w:cs="Times New Roman"/>
          <w:noProof/>
          <w:lang w:val="en-GB"/>
        </w:rPr>
      </w:pPr>
      <w:r w:rsidRPr="004666DA">
        <w:rPr>
          <w:rFonts w:ascii="Times New Roman" w:hAnsi="Times New Roman" w:cs="Times New Roman"/>
          <w:b/>
          <w:noProof/>
          <w:lang w:val="en-GB"/>
        </w:rPr>
        <w:t>Rubin DB</w:t>
      </w:r>
      <w:r w:rsidRPr="004666DA">
        <w:rPr>
          <w:rFonts w:ascii="Times New Roman" w:hAnsi="Times New Roman" w:cs="Times New Roman"/>
          <w:noProof/>
          <w:lang w:val="en-GB"/>
        </w:rPr>
        <w:t xml:space="preserve"> (2001)</w:t>
      </w:r>
      <w:r w:rsidR="004666DA" w:rsidRPr="004666DA">
        <w:rPr>
          <w:rFonts w:ascii="Times New Roman" w:hAnsi="Times New Roman" w:cs="Times New Roman"/>
          <w:noProof/>
          <w:lang w:val="en-GB"/>
        </w:rPr>
        <w:t>.</w:t>
      </w:r>
      <w:r w:rsidRPr="004666DA">
        <w:rPr>
          <w:rFonts w:ascii="Times New Roman" w:hAnsi="Times New Roman" w:cs="Times New Roman"/>
          <w:noProof/>
          <w:lang w:val="en-GB"/>
        </w:rPr>
        <w:t xml:space="preserve"> Using Propensity Scores to Help Design Observational Studies: Application to the Tobacco Litigation. </w:t>
      </w:r>
      <w:r w:rsidRPr="004666DA">
        <w:rPr>
          <w:rFonts w:ascii="Times New Roman" w:hAnsi="Times New Roman" w:cs="Times New Roman"/>
          <w:i/>
          <w:iCs/>
          <w:noProof/>
          <w:lang w:val="en-GB"/>
        </w:rPr>
        <w:t>Health Services and Outcomes Research Methodology</w:t>
      </w:r>
      <w:r w:rsidRPr="004666DA">
        <w:rPr>
          <w:rFonts w:ascii="Times New Roman" w:hAnsi="Times New Roman" w:cs="Times New Roman"/>
          <w:noProof/>
          <w:lang w:val="en-GB"/>
        </w:rPr>
        <w:t xml:space="preserve"> </w:t>
      </w:r>
      <w:r w:rsidRPr="004666DA">
        <w:rPr>
          <w:rFonts w:ascii="Times New Roman" w:hAnsi="Times New Roman" w:cs="Times New Roman"/>
          <w:b/>
          <w:noProof/>
          <w:lang w:val="en-GB"/>
        </w:rPr>
        <w:t>2</w:t>
      </w:r>
      <w:r w:rsidR="004666DA" w:rsidRPr="004666DA">
        <w:rPr>
          <w:rFonts w:ascii="Times New Roman" w:hAnsi="Times New Roman" w:cs="Times New Roman"/>
          <w:noProof/>
          <w:lang w:val="en-GB"/>
        </w:rPr>
        <w:t>,</w:t>
      </w:r>
      <w:r w:rsidRPr="004666DA">
        <w:rPr>
          <w:rFonts w:ascii="Times New Roman" w:hAnsi="Times New Roman" w:cs="Times New Roman"/>
          <w:noProof/>
          <w:lang w:val="en-GB"/>
        </w:rPr>
        <w:t>169–188.</w:t>
      </w:r>
    </w:p>
    <w:p w14:paraId="207354EA" w14:textId="07FF4284" w:rsidR="00F94BE2" w:rsidRPr="004666DA" w:rsidRDefault="00F94BE2" w:rsidP="00F1200F">
      <w:pPr>
        <w:widowControl w:val="0"/>
        <w:autoSpaceDE w:val="0"/>
        <w:autoSpaceDN w:val="0"/>
        <w:adjustRightInd w:val="0"/>
        <w:spacing w:line="480" w:lineRule="auto"/>
        <w:rPr>
          <w:rFonts w:ascii="Times New Roman" w:hAnsi="Times New Roman" w:cs="Times New Roman"/>
          <w:noProof/>
          <w:lang w:val="en-GB"/>
        </w:rPr>
      </w:pPr>
      <w:r w:rsidRPr="004666DA">
        <w:rPr>
          <w:rFonts w:ascii="Times New Roman" w:hAnsi="Times New Roman" w:cs="Times New Roman"/>
          <w:b/>
          <w:lang w:val="en-GB" w:eastAsia="en-GB"/>
        </w:rPr>
        <w:fldChar w:fldCharType="begin" w:fldLock="1"/>
      </w:r>
      <w:r w:rsidRPr="004666DA">
        <w:rPr>
          <w:rFonts w:ascii="Times New Roman" w:hAnsi="Times New Roman" w:cs="Times New Roman"/>
          <w:b/>
          <w:lang w:val="en-GB" w:eastAsia="en-GB"/>
        </w:rPr>
        <w:instrText xml:space="preserve">ADDIN Mendeley Bibliography CSL_BIBLIOGRAPHY </w:instrText>
      </w:r>
      <w:r w:rsidRPr="004666DA">
        <w:rPr>
          <w:rFonts w:ascii="Times New Roman" w:hAnsi="Times New Roman" w:cs="Times New Roman"/>
          <w:b/>
          <w:lang w:val="en-GB" w:eastAsia="en-GB"/>
        </w:rPr>
        <w:fldChar w:fldCharType="separate"/>
      </w:r>
      <w:r w:rsidR="00F1200F" w:rsidRPr="004666DA">
        <w:rPr>
          <w:rFonts w:ascii="Times New Roman" w:hAnsi="Times New Roman" w:cs="Times New Roman"/>
          <w:b/>
          <w:noProof/>
          <w:lang w:val="en-GB"/>
        </w:rPr>
        <w:t>Stuart EA</w:t>
      </w:r>
      <w:r w:rsidRPr="004666DA">
        <w:rPr>
          <w:rFonts w:ascii="Times New Roman" w:hAnsi="Times New Roman" w:cs="Times New Roman"/>
          <w:noProof/>
          <w:lang w:val="en-GB"/>
        </w:rPr>
        <w:t xml:space="preserve"> (2010)</w:t>
      </w:r>
      <w:r w:rsidR="004666DA" w:rsidRPr="004666DA">
        <w:rPr>
          <w:rFonts w:ascii="Times New Roman" w:hAnsi="Times New Roman" w:cs="Times New Roman"/>
          <w:noProof/>
          <w:lang w:val="en-GB"/>
        </w:rPr>
        <w:t>.</w:t>
      </w:r>
      <w:r w:rsidRPr="004666DA">
        <w:rPr>
          <w:rFonts w:ascii="Times New Roman" w:hAnsi="Times New Roman" w:cs="Times New Roman"/>
          <w:noProof/>
          <w:lang w:val="en-GB"/>
        </w:rPr>
        <w:t xml:space="preserve"> Matching methods for causal inference: A review and a look forward. </w:t>
      </w:r>
      <w:r w:rsidRPr="004666DA">
        <w:rPr>
          <w:rFonts w:ascii="Times New Roman" w:hAnsi="Times New Roman" w:cs="Times New Roman"/>
          <w:i/>
          <w:iCs/>
          <w:noProof/>
          <w:lang w:val="en-GB"/>
        </w:rPr>
        <w:t>Stat</w:t>
      </w:r>
      <w:r w:rsidR="00F1200F" w:rsidRPr="004666DA">
        <w:rPr>
          <w:rFonts w:ascii="Times New Roman" w:hAnsi="Times New Roman" w:cs="Times New Roman"/>
          <w:i/>
          <w:iCs/>
          <w:noProof/>
          <w:lang w:val="en-GB"/>
        </w:rPr>
        <w:t>istical</w:t>
      </w:r>
      <w:r w:rsidRPr="004666DA">
        <w:rPr>
          <w:rFonts w:ascii="Times New Roman" w:hAnsi="Times New Roman" w:cs="Times New Roman"/>
          <w:i/>
          <w:iCs/>
          <w:noProof/>
          <w:lang w:val="en-GB"/>
        </w:rPr>
        <w:t xml:space="preserve"> Sci</w:t>
      </w:r>
      <w:r w:rsidR="00F1200F" w:rsidRPr="004666DA">
        <w:rPr>
          <w:rFonts w:ascii="Times New Roman" w:hAnsi="Times New Roman" w:cs="Times New Roman"/>
          <w:i/>
          <w:iCs/>
          <w:noProof/>
          <w:lang w:val="en-GB"/>
        </w:rPr>
        <w:t>ence</w:t>
      </w:r>
      <w:r w:rsidRPr="004666DA">
        <w:rPr>
          <w:rFonts w:ascii="Times New Roman" w:hAnsi="Times New Roman" w:cs="Times New Roman"/>
          <w:noProof/>
          <w:lang w:val="en-GB"/>
        </w:rPr>
        <w:t xml:space="preserve"> </w:t>
      </w:r>
      <w:r w:rsidRPr="004666DA">
        <w:rPr>
          <w:rFonts w:ascii="Times New Roman" w:hAnsi="Times New Roman" w:cs="Times New Roman"/>
          <w:b/>
          <w:noProof/>
          <w:lang w:val="en-GB"/>
        </w:rPr>
        <w:t>25</w:t>
      </w:r>
      <w:r w:rsidR="004666DA" w:rsidRPr="004666DA">
        <w:rPr>
          <w:rFonts w:ascii="Times New Roman" w:hAnsi="Times New Roman" w:cs="Times New Roman"/>
          <w:noProof/>
          <w:lang w:val="en-GB"/>
        </w:rPr>
        <w:t xml:space="preserve">, </w:t>
      </w:r>
      <w:r w:rsidRPr="004666DA">
        <w:rPr>
          <w:rFonts w:ascii="Times New Roman" w:hAnsi="Times New Roman" w:cs="Times New Roman"/>
          <w:noProof/>
          <w:lang w:val="en-GB"/>
        </w:rPr>
        <w:t>1–21.</w:t>
      </w:r>
    </w:p>
    <w:p w14:paraId="5394FE4E" w14:textId="2A03B8AC" w:rsidR="00F94BE2" w:rsidRPr="004666DA" w:rsidRDefault="00F94BE2" w:rsidP="00043D25">
      <w:pPr>
        <w:spacing w:line="480" w:lineRule="auto"/>
        <w:jc w:val="both"/>
        <w:rPr>
          <w:rFonts w:ascii="Times New Roman" w:hAnsi="Times New Roman" w:cs="Times New Roman"/>
          <w:b/>
          <w:lang w:val="en-GB" w:eastAsia="en-GB"/>
        </w:rPr>
      </w:pPr>
      <w:r w:rsidRPr="004666DA">
        <w:rPr>
          <w:rFonts w:ascii="Times New Roman" w:hAnsi="Times New Roman" w:cs="Times New Roman"/>
          <w:b/>
          <w:lang w:val="en-GB" w:eastAsia="en-GB"/>
        </w:rPr>
        <w:fldChar w:fldCharType="end"/>
      </w:r>
    </w:p>
    <w:sectPr w:rsidR="00F94BE2" w:rsidRPr="004666DA" w:rsidSect="001C272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DB1BD7"/>
    <w:multiLevelType w:val="hybridMultilevel"/>
    <w:tmpl w:val="45F8A13A"/>
    <w:lvl w:ilvl="0" w:tplc="21646784">
      <w:start w:val="1"/>
      <w:numFmt w:val="lowerLetter"/>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D22BB2"/>
    <w:multiLevelType w:val="hybridMultilevel"/>
    <w:tmpl w:val="E4424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F034F"/>
    <w:multiLevelType w:val="hybridMultilevel"/>
    <w:tmpl w:val="16DEA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17FAD"/>
    <w:multiLevelType w:val="hybridMultilevel"/>
    <w:tmpl w:val="3A02AB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D40357D"/>
    <w:multiLevelType w:val="hybridMultilevel"/>
    <w:tmpl w:val="888A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E430B"/>
    <w:multiLevelType w:val="hybridMultilevel"/>
    <w:tmpl w:val="D8443AE4"/>
    <w:lvl w:ilvl="0" w:tplc="37A622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981791"/>
    <w:multiLevelType w:val="hybridMultilevel"/>
    <w:tmpl w:val="D8443AE4"/>
    <w:lvl w:ilvl="0" w:tplc="37A622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61359C"/>
    <w:multiLevelType w:val="multilevel"/>
    <w:tmpl w:val="C3B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C7045"/>
    <w:multiLevelType w:val="hybridMultilevel"/>
    <w:tmpl w:val="11D09A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D3BD4"/>
    <w:multiLevelType w:val="hybridMultilevel"/>
    <w:tmpl w:val="E56C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50B66"/>
    <w:multiLevelType w:val="hybridMultilevel"/>
    <w:tmpl w:val="96F014A4"/>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7BA665D9"/>
    <w:multiLevelType w:val="hybridMultilevel"/>
    <w:tmpl w:val="E368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2"/>
  </w:num>
  <w:num w:numId="5">
    <w:abstractNumId w:val="12"/>
  </w:num>
  <w:num w:numId="6">
    <w:abstractNumId w:val="1"/>
  </w:num>
  <w:num w:numId="7">
    <w:abstractNumId w:val="9"/>
  </w:num>
  <w:num w:numId="8">
    <w:abstractNumId w:val="5"/>
  </w:num>
  <w:num w:numId="9">
    <w:abstractNumId w:val="0"/>
  </w:num>
  <w:num w:numId="10">
    <w:abstractNumId w:val="7"/>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2D"/>
    <w:rsid w:val="00043D25"/>
    <w:rsid w:val="000624C2"/>
    <w:rsid w:val="00096507"/>
    <w:rsid w:val="000A14CC"/>
    <w:rsid w:val="000B3BD2"/>
    <w:rsid w:val="000F4BC1"/>
    <w:rsid w:val="001520E0"/>
    <w:rsid w:val="00177849"/>
    <w:rsid w:val="001C272B"/>
    <w:rsid w:val="001C425F"/>
    <w:rsid w:val="002147C8"/>
    <w:rsid w:val="002715B6"/>
    <w:rsid w:val="003950BB"/>
    <w:rsid w:val="003A412D"/>
    <w:rsid w:val="003C379F"/>
    <w:rsid w:val="003F344D"/>
    <w:rsid w:val="00401FCE"/>
    <w:rsid w:val="00443DA6"/>
    <w:rsid w:val="004610BA"/>
    <w:rsid w:val="004666DA"/>
    <w:rsid w:val="00477A9F"/>
    <w:rsid w:val="004942C0"/>
    <w:rsid w:val="004E1F93"/>
    <w:rsid w:val="004F2CCD"/>
    <w:rsid w:val="00503391"/>
    <w:rsid w:val="00544F39"/>
    <w:rsid w:val="00554C44"/>
    <w:rsid w:val="005707AB"/>
    <w:rsid w:val="00585FE4"/>
    <w:rsid w:val="005B3512"/>
    <w:rsid w:val="0063267D"/>
    <w:rsid w:val="00672029"/>
    <w:rsid w:val="006802F9"/>
    <w:rsid w:val="006F091C"/>
    <w:rsid w:val="00797A10"/>
    <w:rsid w:val="00873EB6"/>
    <w:rsid w:val="00877A1F"/>
    <w:rsid w:val="008A2B0E"/>
    <w:rsid w:val="009144BF"/>
    <w:rsid w:val="00950689"/>
    <w:rsid w:val="0099106E"/>
    <w:rsid w:val="009E5589"/>
    <w:rsid w:val="00B75E70"/>
    <w:rsid w:val="00BB5461"/>
    <w:rsid w:val="00BE0369"/>
    <w:rsid w:val="00C23AEC"/>
    <w:rsid w:val="00C9213D"/>
    <w:rsid w:val="00DF5FAF"/>
    <w:rsid w:val="00E648AE"/>
    <w:rsid w:val="00E80B54"/>
    <w:rsid w:val="00F1200F"/>
    <w:rsid w:val="00F3153A"/>
    <w:rsid w:val="00F812E4"/>
    <w:rsid w:val="00F94BE2"/>
    <w:rsid w:val="00FB7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15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78D4"/>
    <w:pPr>
      <w:spacing w:before="100" w:beforeAutospacing="1" w:after="100" w:afterAutospacing="1"/>
      <w:outlineLvl w:val="0"/>
    </w:pPr>
    <w:rPr>
      <w:rFonts w:ascii="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FB78D4"/>
    <w:pPr>
      <w:keepNext/>
      <w:keepLines/>
      <w:spacing w:before="40"/>
      <w:outlineLvl w:val="1"/>
    </w:pPr>
    <w:rPr>
      <w:rFonts w:asciiTheme="majorHAnsi" w:eastAsiaTheme="majorEastAsia" w:hAnsiTheme="majorHAnsi" w:cstheme="majorBidi"/>
      <w:color w:val="2E74B5" w:themeColor="accent1" w:themeShade="BF"/>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D4"/>
    <w:rPr>
      <w:rFonts w:ascii="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FB78D4"/>
    <w:rPr>
      <w:rFonts w:asciiTheme="majorHAnsi" w:eastAsiaTheme="majorEastAsia" w:hAnsiTheme="majorHAnsi" w:cstheme="majorBidi"/>
      <w:color w:val="2E74B5" w:themeColor="accent1" w:themeShade="BF"/>
      <w:sz w:val="26"/>
      <w:szCs w:val="26"/>
      <w:lang w:val="en-GB" w:eastAsia="en-GB"/>
    </w:rPr>
  </w:style>
  <w:style w:type="numbering" w:customStyle="1" w:styleId="NoList1">
    <w:name w:val="No List1"/>
    <w:next w:val="NoList"/>
    <w:uiPriority w:val="99"/>
    <w:semiHidden/>
    <w:unhideWhenUsed/>
    <w:rsid w:val="00FB78D4"/>
  </w:style>
  <w:style w:type="character" w:customStyle="1" w:styleId="apple-converted-space">
    <w:name w:val="apple-converted-space"/>
    <w:basedOn w:val="DefaultParagraphFont"/>
    <w:rsid w:val="00FB78D4"/>
  </w:style>
  <w:style w:type="table" w:styleId="TableGrid">
    <w:name w:val="Table Grid"/>
    <w:basedOn w:val="TableNormal"/>
    <w:uiPriority w:val="39"/>
    <w:rsid w:val="00FB78D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D4"/>
    <w:pPr>
      <w:ind w:left="720"/>
      <w:contextualSpacing/>
    </w:pPr>
  </w:style>
  <w:style w:type="paragraph" w:styleId="BalloonText">
    <w:name w:val="Balloon Text"/>
    <w:basedOn w:val="Normal"/>
    <w:link w:val="BalloonTextChar"/>
    <w:uiPriority w:val="99"/>
    <w:semiHidden/>
    <w:unhideWhenUsed/>
    <w:rsid w:val="00FB78D4"/>
    <w:rPr>
      <w:rFonts w:ascii="Times New Roman" w:hAnsi="Times New Roman" w:cs="Times New Roman"/>
      <w:sz w:val="18"/>
      <w:szCs w:val="18"/>
      <w:lang w:val="en-GB" w:eastAsia="en-GB"/>
    </w:rPr>
  </w:style>
  <w:style w:type="character" w:customStyle="1" w:styleId="BalloonTextChar">
    <w:name w:val="Balloon Text Char"/>
    <w:basedOn w:val="DefaultParagraphFont"/>
    <w:link w:val="BalloonText"/>
    <w:uiPriority w:val="99"/>
    <w:semiHidden/>
    <w:rsid w:val="00FB78D4"/>
    <w:rPr>
      <w:rFonts w:ascii="Times New Roman" w:hAnsi="Times New Roman" w:cs="Times New Roman"/>
      <w:sz w:val="18"/>
      <w:szCs w:val="18"/>
      <w:lang w:val="en-GB" w:eastAsia="en-GB"/>
    </w:rPr>
  </w:style>
  <w:style w:type="character" w:styleId="CommentReference">
    <w:name w:val="annotation reference"/>
    <w:basedOn w:val="DefaultParagraphFont"/>
    <w:uiPriority w:val="99"/>
    <w:semiHidden/>
    <w:unhideWhenUsed/>
    <w:rsid w:val="00FB78D4"/>
    <w:rPr>
      <w:sz w:val="18"/>
      <w:szCs w:val="18"/>
    </w:rPr>
  </w:style>
  <w:style w:type="paragraph" w:styleId="CommentText">
    <w:name w:val="annotation text"/>
    <w:basedOn w:val="Normal"/>
    <w:link w:val="CommentTextChar"/>
    <w:uiPriority w:val="99"/>
    <w:unhideWhenUsed/>
    <w:rsid w:val="00FB78D4"/>
    <w:rPr>
      <w:rFonts w:ascii="Times New Roman" w:hAnsi="Times New Roman" w:cs="Times New Roman"/>
      <w:lang w:val="en-GB" w:eastAsia="en-GB"/>
    </w:rPr>
  </w:style>
  <w:style w:type="character" w:customStyle="1" w:styleId="CommentTextChar">
    <w:name w:val="Comment Text Char"/>
    <w:basedOn w:val="DefaultParagraphFont"/>
    <w:link w:val="CommentText"/>
    <w:uiPriority w:val="99"/>
    <w:rsid w:val="00FB78D4"/>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FB78D4"/>
    <w:rPr>
      <w:b/>
      <w:bCs/>
      <w:sz w:val="20"/>
      <w:szCs w:val="20"/>
    </w:rPr>
  </w:style>
  <w:style w:type="character" w:customStyle="1" w:styleId="CommentSubjectChar">
    <w:name w:val="Comment Subject Char"/>
    <w:basedOn w:val="CommentTextChar"/>
    <w:link w:val="CommentSubject"/>
    <w:uiPriority w:val="99"/>
    <w:semiHidden/>
    <w:rsid w:val="00FB78D4"/>
    <w:rPr>
      <w:rFonts w:ascii="Times New Roman" w:hAnsi="Times New Roman" w:cs="Times New Roman"/>
      <w:b/>
      <w:bCs/>
      <w:sz w:val="20"/>
      <w:szCs w:val="20"/>
      <w:lang w:val="en-GB" w:eastAsia="en-GB"/>
    </w:rPr>
  </w:style>
  <w:style w:type="paragraph" w:styleId="Revision">
    <w:name w:val="Revision"/>
    <w:hidden/>
    <w:uiPriority w:val="99"/>
    <w:semiHidden/>
    <w:rsid w:val="00FB78D4"/>
    <w:rPr>
      <w:rFonts w:ascii="Times New Roman" w:hAnsi="Times New Roman" w:cs="Times New Roman"/>
      <w:lang w:val="en-GB" w:eastAsia="en-GB"/>
    </w:rPr>
  </w:style>
  <w:style w:type="character" w:styleId="Hyperlink">
    <w:name w:val="Hyperlink"/>
    <w:basedOn w:val="DefaultParagraphFont"/>
    <w:uiPriority w:val="99"/>
    <w:unhideWhenUsed/>
    <w:rsid w:val="00FB78D4"/>
    <w:rPr>
      <w:color w:val="0000FF"/>
      <w:u w:val="single"/>
    </w:rPr>
  </w:style>
  <w:style w:type="paragraph" w:styleId="NormalWeb">
    <w:name w:val="Normal (Web)"/>
    <w:basedOn w:val="Normal"/>
    <w:uiPriority w:val="99"/>
    <w:semiHidden/>
    <w:unhideWhenUsed/>
    <w:rsid w:val="00FB78D4"/>
    <w:pPr>
      <w:spacing w:before="100" w:beforeAutospacing="1" w:after="100" w:afterAutospacing="1"/>
    </w:pPr>
    <w:rPr>
      <w:rFonts w:ascii="Times New Roman" w:hAnsi="Times New Roman" w:cs="Times New Roman"/>
      <w:lang w:val="en-GB" w:eastAsia="en-GB"/>
    </w:rPr>
  </w:style>
  <w:style w:type="character" w:customStyle="1" w:styleId="highlight">
    <w:name w:val="highlight"/>
    <w:basedOn w:val="DefaultParagraphFont"/>
    <w:rsid w:val="00FB78D4"/>
  </w:style>
  <w:style w:type="character" w:customStyle="1" w:styleId="search-result-highlight">
    <w:name w:val="search-result-highlight"/>
    <w:basedOn w:val="DefaultParagraphFont"/>
    <w:rsid w:val="00FB78D4"/>
  </w:style>
  <w:style w:type="paragraph" w:styleId="Footer">
    <w:name w:val="footer"/>
    <w:basedOn w:val="Normal"/>
    <w:link w:val="FooterChar"/>
    <w:uiPriority w:val="99"/>
    <w:unhideWhenUsed/>
    <w:rsid w:val="00FB78D4"/>
    <w:pPr>
      <w:tabs>
        <w:tab w:val="center" w:pos="4513"/>
        <w:tab w:val="right" w:pos="9026"/>
      </w:tabs>
    </w:pPr>
    <w:rPr>
      <w:rFonts w:ascii="Times New Roman" w:hAnsi="Times New Roman" w:cs="Times New Roman"/>
      <w:lang w:val="en-GB" w:eastAsia="en-GB"/>
    </w:rPr>
  </w:style>
  <w:style w:type="character" w:customStyle="1" w:styleId="FooterChar">
    <w:name w:val="Footer Char"/>
    <w:basedOn w:val="DefaultParagraphFont"/>
    <w:link w:val="Footer"/>
    <w:uiPriority w:val="99"/>
    <w:rsid w:val="00FB78D4"/>
    <w:rPr>
      <w:rFonts w:ascii="Times New Roman" w:hAnsi="Times New Roman" w:cs="Times New Roman"/>
      <w:lang w:val="en-GB" w:eastAsia="en-GB"/>
    </w:rPr>
  </w:style>
  <w:style w:type="character" w:styleId="PageNumber">
    <w:name w:val="page number"/>
    <w:basedOn w:val="DefaultParagraphFont"/>
    <w:uiPriority w:val="99"/>
    <w:semiHidden/>
    <w:unhideWhenUsed/>
    <w:rsid w:val="00FB78D4"/>
  </w:style>
  <w:style w:type="paragraph" w:styleId="Header">
    <w:name w:val="header"/>
    <w:basedOn w:val="Normal"/>
    <w:link w:val="HeaderChar"/>
    <w:uiPriority w:val="99"/>
    <w:unhideWhenUsed/>
    <w:rsid w:val="00FB78D4"/>
    <w:pPr>
      <w:tabs>
        <w:tab w:val="center" w:pos="4513"/>
        <w:tab w:val="right" w:pos="9026"/>
      </w:tabs>
    </w:pPr>
    <w:rPr>
      <w:rFonts w:ascii="Times New Roman" w:hAnsi="Times New Roman" w:cs="Times New Roman"/>
      <w:lang w:val="en-GB" w:eastAsia="en-GB"/>
    </w:rPr>
  </w:style>
  <w:style w:type="character" w:customStyle="1" w:styleId="HeaderChar">
    <w:name w:val="Header Char"/>
    <w:basedOn w:val="DefaultParagraphFont"/>
    <w:link w:val="Header"/>
    <w:uiPriority w:val="99"/>
    <w:rsid w:val="00FB78D4"/>
    <w:rPr>
      <w:rFonts w:ascii="Times New Roman" w:hAnsi="Times New Roman" w:cs="Times New Roman"/>
      <w:lang w:val="en-GB" w:eastAsia="en-GB"/>
    </w:rPr>
  </w:style>
  <w:style w:type="character" w:styleId="Strong">
    <w:name w:val="Strong"/>
    <w:basedOn w:val="DefaultParagraphFont"/>
    <w:uiPriority w:val="22"/>
    <w:qFormat/>
    <w:rsid w:val="00FB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A6E8-AEE1-4C4F-909F-7480FA4A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7335</Words>
  <Characters>41813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Puetz</dc:creator>
  <cp:keywords/>
  <dc:description/>
  <cp:lastModifiedBy>Vanessa Puetz</cp:lastModifiedBy>
  <cp:revision>3</cp:revision>
  <dcterms:created xsi:type="dcterms:W3CDTF">2019-05-16T17:28:00Z</dcterms:created>
  <dcterms:modified xsi:type="dcterms:W3CDTF">2019-05-16T17:33:00Z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bbf9e274-ddfa-340b-93ab-8dc210ddd87a</vt:lpwstr>
  </property>
  <property fmtid="{D5CDD505-2E9C-101B-9397-08002B2CF9AE}" pid="24" name="Mendeley Citation Style_1">
    <vt:lpwstr>http://www.zotero.org/styles/pnas</vt:lpwstr>
  </property>
</Properties>
</file>