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7EE86" w14:textId="54FAED6A" w:rsidR="000539CB" w:rsidRPr="00F36218" w:rsidRDefault="00F36218" w:rsidP="00F36218">
      <w:pPr>
        <w:jc w:val="center"/>
        <w:rPr>
          <w:u w:val="single"/>
        </w:rPr>
      </w:pPr>
      <w:bookmarkStart w:id="0" w:name="_GoBack"/>
      <w:bookmarkEnd w:id="0"/>
      <w:r w:rsidRPr="00F36218">
        <w:rPr>
          <w:u w:val="single"/>
        </w:rPr>
        <w:t xml:space="preserve">Supplemental </w:t>
      </w:r>
      <w:r w:rsidR="00886857">
        <w:rPr>
          <w:u w:val="single"/>
        </w:rPr>
        <w:t>Results</w:t>
      </w:r>
      <w:r w:rsidRPr="00F36218">
        <w:rPr>
          <w:u w:val="single"/>
        </w:rPr>
        <w:t xml:space="preserve"> for “Dissecting decision-making in depression”</w:t>
      </w:r>
    </w:p>
    <w:p w14:paraId="1ED682FA" w14:textId="77777777" w:rsidR="00F36218" w:rsidRDefault="00F36218" w:rsidP="00F36218">
      <w:pPr>
        <w:jc w:val="center"/>
      </w:pPr>
    </w:p>
    <w:p w14:paraId="266B7874" w14:textId="29C405BC" w:rsidR="00F36218" w:rsidRDefault="00F36218" w:rsidP="00F36218">
      <w:pPr>
        <w:rPr>
          <w:b/>
        </w:rPr>
      </w:pPr>
      <w:r>
        <w:rPr>
          <w:b/>
        </w:rPr>
        <w:t>Figure S1</w:t>
      </w:r>
    </w:p>
    <w:p w14:paraId="601CC321" w14:textId="77777777" w:rsidR="00886857" w:rsidRDefault="00886857" w:rsidP="00F36218">
      <w:pPr>
        <w:rPr>
          <w:b/>
        </w:rPr>
      </w:pPr>
    </w:p>
    <w:p w14:paraId="03F8C67F" w14:textId="77777777" w:rsidR="00F36218" w:rsidRDefault="00F36218" w:rsidP="00F36218">
      <w:pPr>
        <w:rPr>
          <w:b/>
        </w:rPr>
      </w:pPr>
      <w:r>
        <w:rPr>
          <w:b/>
          <w:noProof/>
          <w:lang w:eastAsia="en-US"/>
        </w:rPr>
        <w:drawing>
          <wp:inline distT="0" distB="0" distL="0" distR="0" wp14:anchorId="578ECD11" wp14:editId="1C5DE71C">
            <wp:extent cx="3445002" cy="2313432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S1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002" cy="231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3AD22" w14:textId="77777777" w:rsidR="00F36218" w:rsidRDefault="00F36218" w:rsidP="00F36218">
      <w:pPr>
        <w:rPr>
          <w:i/>
        </w:rPr>
      </w:pPr>
    </w:p>
    <w:p w14:paraId="2E75D7A1" w14:textId="712DA47E" w:rsidR="00962143" w:rsidRDefault="00F36218" w:rsidP="00F36218">
      <w:pPr>
        <w:ind w:right="5400"/>
      </w:pPr>
      <w:r w:rsidRPr="00F36218">
        <w:rPr>
          <w:i/>
        </w:rPr>
        <w:t>Figure S1.</w:t>
      </w:r>
      <w:r>
        <w:t xml:space="preserve"> </w:t>
      </w:r>
      <w:r>
        <w:rPr>
          <w:u w:val="single"/>
        </w:rPr>
        <w:t>Signal detection results from Study 1</w:t>
      </w:r>
      <w:r>
        <w:t>. Analysis of (A) response bias and (B) discriminability returned only a trend (</w:t>
      </w:r>
      <w:r>
        <w:rPr>
          <w:i/>
        </w:rPr>
        <w:t>p</w:t>
      </w:r>
      <w:r>
        <w:t xml:space="preserve"> = 0.06) for a negative effect of MDD on discriminability.</w:t>
      </w:r>
    </w:p>
    <w:p w14:paraId="7F0C7692" w14:textId="77777777" w:rsidR="00962143" w:rsidRDefault="00962143">
      <w:r>
        <w:br w:type="page"/>
      </w:r>
    </w:p>
    <w:p w14:paraId="0110C9A8" w14:textId="0E650C42" w:rsidR="00F84B99" w:rsidRDefault="00F84B99" w:rsidP="00F36218">
      <w:pPr>
        <w:ind w:right="5400"/>
        <w:rPr>
          <w:b/>
        </w:rPr>
      </w:pPr>
      <w:r>
        <w:rPr>
          <w:b/>
        </w:rPr>
        <w:lastRenderedPageBreak/>
        <w:t>Figure S2</w:t>
      </w:r>
    </w:p>
    <w:p w14:paraId="5593FFAA" w14:textId="77777777" w:rsidR="00886857" w:rsidRDefault="00886857" w:rsidP="00F36218">
      <w:pPr>
        <w:ind w:right="5400"/>
        <w:rPr>
          <w:b/>
        </w:rPr>
      </w:pPr>
    </w:p>
    <w:p w14:paraId="21C86D3E" w14:textId="533F8E7E" w:rsidR="00962143" w:rsidRDefault="00962143" w:rsidP="00F36218">
      <w:pPr>
        <w:ind w:right="5400"/>
        <w:rPr>
          <w:b/>
        </w:rPr>
      </w:pPr>
      <w:r>
        <w:rPr>
          <w:b/>
          <w:noProof/>
        </w:rPr>
        <w:drawing>
          <wp:inline distT="0" distB="0" distL="0" distR="0" wp14:anchorId="484A507D" wp14:editId="481980B7">
            <wp:extent cx="3657600" cy="2726968"/>
            <wp:effectExtent l="0" t="0" r="0" b="3810"/>
            <wp:docPr id="3" name="Picture 3" descr="A close up of a map&#13;&#10;&#13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S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2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D070A" w14:textId="6F43322D" w:rsidR="00F84B99" w:rsidRDefault="00962143" w:rsidP="00F30D9B">
      <w:pPr>
        <w:ind w:right="5040"/>
        <w:rPr>
          <w:rFonts w:ascii="Times" w:eastAsia="Times" w:hAnsi="Times" w:cs="Times"/>
        </w:rPr>
      </w:pPr>
      <w:r>
        <w:rPr>
          <w:i/>
        </w:rPr>
        <w:t>Figure S2</w:t>
      </w:r>
      <w:r>
        <w:t xml:space="preserve">. </w:t>
      </w:r>
      <w:r>
        <w:rPr>
          <w:rFonts w:ascii="Times" w:eastAsia="Times" w:hAnsi="Times" w:cs="Times"/>
          <w:u w:val="single"/>
        </w:rPr>
        <w:t>HDDM parameters explain PRT variables in Study 1</w:t>
      </w:r>
      <w:r>
        <w:rPr>
          <w:rFonts w:ascii="Times" w:eastAsia="Times" w:hAnsi="Times" w:cs="Times"/>
        </w:rPr>
        <w:t>. Zero-order correlations between (A) response bias in the PRT and starting point bias from the HDDM (</w:t>
      </w:r>
      <w:r>
        <w:rPr>
          <w:rFonts w:ascii="Times" w:eastAsia="Times" w:hAnsi="Times" w:cs="Times"/>
          <w:i/>
        </w:rPr>
        <w:t>r</w:t>
      </w:r>
      <w:r>
        <w:rPr>
          <w:rFonts w:ascii="Times" w:eastAsia="Times" w:hAnsi="Times" w:cs="Times"/>
        </w:rPr>
        <w:t xml:space="preserve"> = 0.</w:t>
      </w:r>
      <w:r w:rsidR="0057331F">
        <w:rPr>
          <w:rFonts w:ascii="Times" w:eastAsia="Times" w:hAnsi="Times" w:cs="Times"/>
        </w:rPr>
        <w:t>55</w:t>
      </w:r>
      <w:r>
        <w:rPr>
          <w:rFonts w:ascii="Times" w:eastAsia="Times" w:hAnsi="Times" w:cs="Times"/>
        </w:rPr>
        <w:t xml:space="preserve">, </w:t>
      </w:r>
      <w:r>
        <w:rPr>
          <w:rFonts w:ascii="Times" w:eastAsia="Times" w:hAnsi="Times" w:cs="Times"/>
          <w:i/>
        </w:rPr>
        <w:t>p</w:t>
      </w:r>
      <w:r>
        <w:rPr>
          <w:rFonts w:ascii="Times" w:eastAsia="Times" w:hAnsi="Times" w:cs="Times"/>
        </w:rPr>
        <w:t xml:space="preserve"> &lt; 0.001), and (B) discriminability in the PRT and drift rate from the HDDM (</w:t>
      </w:r>
      <w:r>
        <w:rPr>
          <w:rFonts w:ascii="Times" w:eastAsia="Times" w:hAnsi="Times" w:cs="Times"/>
          <w:i/>
        </w:rPr>
        <w:t>r</w:t>
      </w:r>
      <w:r>
        <w:rPr>
          <w:rFonts w:ascii="Times" w:eastAsia="Times" w:hAnsi="Times" w:cs="Times"/>
        </w:rPr>
        <w:t xml:space="preserve"> = 0.</w:t>
      </w:r>
      <w:r w:rsidR="0057331F">
        <w:rPr>
          <w:rFonts w:ascii="Times" w:eastAsia="Times" w:hAnsi="Times" w:cs="Times"/>
        </w:rPr>
        <w:t>92</w:t>
      </w:r>
      <w:r>
        <w:rPr>
          <w:rFonts w:ascii="Times" w:eastAsia="Times" w:hAnsi="Times" w:cs="Times"/>
        </w:rPr>
        <w:t xml:space="preserve">, </w:t>
      </w:r>
      <w:r>
        <w:rPr>
          <w:rFonts w:ascii="Times" w:eastAsia="Times" w:hAnsi="Times" w:cs="Times"/>
          <w:i/>
        </w:rPr>
        <w:t>p</w:t>
      </w:r>
      <w:r>
        <w:rPr>
          <w:rFonts w:ascii="Times" w:eastAsia="Times" w:hAnsi="Times" w:cs="Times"/>
        </w:rPr>
        <w:t xml:space="preserve"> &lt; 0.001).</w:t>
      </w:r>
    </w:p>
    <w:p w14:paraId="0C224160" w14:textId="1932BCDF" w:rsidR="00E0725A" w:rsidRDefault="00E0725A">
      <w:r>
        <w:br w:type="page"/>
      </w:r>
    </w:p>
    <w:p w14:paraId="4A8464F1" w14:textId="143D59B9" w:rsidR="00E0725A" w:rsidRDefault="00EB18E9" w:rsidP="00F36218">
      <w:pPr>
        <w:ind w:right="5400"/>
        <w:rPr>
          <w:b/>
        </w:rPr>
      </w:pPr>
      <w:r>
        <w:rPr>
          <w:b/>
        </w:rPr>
        <w:lastRenderedPageBreak/>
        <w:t>Figure S3</w:t>
      </w:r>
    </w:p>
    <w:p w14:paraId="10A7BF5D" w14:textId="77777777" w:rsidR="00886857" w:rsidRDefault="00886857" w:rsidP="00F36218">
      <w:pPr>
        <w:ind w:right="5400"/>
        <w:rPr>
          <w:b/>
        </w:rPr>
      </w:pPr>
    </w:p>
    <w:p w14:paraId="3C315B92" w14:textId="1B3F3FDA" w:rsidR="00EB18E9" w:rsidRDefault="00EB18E9" w:rsidP="00F36218">
      <w:pPr>
        <w:ind w:right="5400"/>
        <w:rPr>
          <w:b/>
        </w:rPr>
      </w:pPr>
      <w:r>
        <w:rPr>
          <w:b/>
          <w:noProof/>
        </w:rPr>
        <w:drawing>
          <wp:inline distT="0" distB="0" distL="0" distR="0" wp14:anchorId="05CE97D3" wp14:editId="0265ECEF">
            <wp:extent cx="3657600" cy="2616200"/>
            <wp:effectExtent l="0" t="0" r="0" b="0"/>
            <wp:docPr id="4" name="Picture 4" descr="A close up of a map&#13;&#10;&#13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S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15C6C" w14:textId="1CC4608A" w:rsidR="00EB18E9" w:rsidRDefault="00EB18E9" w:rsidP="00F30D9B">
      <w:pPr>
        <w:ind w:right="5040"/>
        <w:rPr>
          <w:rFonts w:ascii="Times" w:eastAsia="Times" w:hAnsi="Times" w:cs="Times"/>
        </w:rPr>
      </w:pPr>
      <w:r>
        <w:rPr>
          <w:i/>
        </w:rPr>
        <w:t>Figure S3</w:t>
      </w:r>
      <w:r>
        <w:t xml:space="preserve">. </w:t>
      </w:r>
      <w:r w:rsidR="008838B4">
        <w:rPr>
          <w:rFonts w:ascii="Times" w:eastAsia="Times" w:hAnsi="Times" w:cs="Times"/>
          <w:u w:val="single"/>
        </w:rPr>
        <w:t>HDDM parameters explain PRT variables in Study 2</w:t>
      </w:r>
      <w:r w:rsidR="008838B4">
        <w:rPr>
          <w:rFonts w:ascii="Times" w:eastAsia="Times" w:hAnsi="Times" w:cs="Times"/>
        </w:rPr>
        <w:t xml:space="preserve">. </w:t>
      </w:r>
      <w:r w:rsidR="008838B4" w:rsidRPr="00FB3B90">
        <w:rPr>
          <w:rFonts w:ascii="Times" w:eastAsia="Times" w:hAnsi="Times" w:cs="Times"/>
        </w:rPr>
        <w:t xml:space="preserve">Zero-order correlations </w:t>
      </w:r>
      <w:r w:rsidR="008838B4">
        <w:rPr>
          <w:rFonts w:ascii="Times" w:eastAsia="Times" w:hAnsi="Times" w:cs="Times"/>
        </w:rPr>
        <w:t>between</w:t>
      </w:r>
      <w:r w:rsidR="008838B4" w:rsidRPr="00FB3B90">
        <w:rPr>
          <w:rFonts w:ascii="Times" w:eastAsia="Times" w:hAnsi="Times" w:cs="Times"/>
        </w:rPr>
        <w:t xml:space="preserve">: (A) response bias </w:t>
      </w:r>
      <w:r w:rsidR="008838B4">
        <w:rPr>
          <w:rFonts w:ascii="Times" w:eastAsia="Times" w:hAnsi="Times" w:cs="Times"/>
        </w:rPr>
        <w:t xml:space="preserve">in the PRT and </w:t>
      </w:r>
      <w:r w:rsidR="008838B4" w:rsidRPr="00FB3B90">
        <w:rPr>
          <w:rFonts w:ascii="Times" w:eastAsia="Times" w:hAnsi="Times" w:cs="Times"/>
        </w:rPr>
        <w:t xml:space="preserve">starting point bias </w:t>
      </w:r>
      <w:r w:rsidR="008838B4">
        <w:rPr>
          <w:rFonts w:ascii="Times" w:eastAsia="Times" w:hAnsi="Times" w:cs="Times"/>
        </w:rPr>
        <w:t xml:space="preserve">from the HDDM </w:t>
      </w:r>
      <w:r w:rsidR="008838B4" w:rsidRPr="00FB3B90">
        <w:rPr>
          <w:rFonts w:ascii="Times" w:eastAsia="Times" w:hAnsi="Times" w:cs="Times"/>
        </w:rPr>
        <w:t>(</w:t>
      </w:r>
      <w:r w:rsidR="008838B4" w:rsidRPr="00FB3B90">
        <w:rPr>
          <w:rFonts w:ascii="Times" w:eastAsia="Times" w:hAnsi="Times" w:cs="Times"/>
          <w:i/>
        </w:rPr>
        <w:t xml:space="preserve">r </w:t>
      </w:r>
      <w:r w:rsidR="008838B4" w:rsidRPr="00FB3B90">
        <w:rPr>
          <w:rFonts w:ascii="Times" w:eastAsia="Times" w:hAnsi="Times" w:cs="Times"/>
        </w:rPr>
        <w:t xml:space="preserve">= 0.40, </w:t>
      </w:r>
      <w:r w:rsidR="008838B4" w:rsidRPr="00FB3B90">
        <w:rPr>
          <w:rFonts w:ascii="Times" w:eastAsia="Times" w:hAnsi="Times" w:cs="Times"/>
          <w:i/>
        </w:rPr>
        <w:t xml:space="preserve">p </w:t>
      </w:r>
      <w:r w:rsidR="008838B4" w:rsidRPr="00FB3B90">
        <w:rPr>
          <w:rFonts w:ascii="Times" w:eastAsia="Times" w:hAnsi="Times" w:cs="Times"/>
        </w:rPr>
        <w:t>= 0.00</w:t>
      </w:r>
      <w:r w:rsidR="000757FE">
        <w:rPr>
          <w:rFonts w:ascii="Times" w:eastAsia="Times" w:hAnsi="Times" w:cs="Times"/>
        </w:rPr>
        <w:t>5</w:t>
      </w:r>
      <w:r w:rsidR="008838B4" w:rsidRPr="00FB3B90">
        <w:rPr>
          <w:rFonts w:ascii="Times" w:eastAsia="Times" w:hAnsi="Times" w:cs="Times"/>
        </w:rPr>
        <w:t xml:space="preserve">); and (B) discriminability </w:t>
      </w:r>
      <w:r w:rsidR="008838B4">
        <w:rPr>
          <w:rFonts w:ascii="Times" w:eastAsia="Times" w:hAnsi="Times" w:cs="Times"/>
        </w:rPr>
        <w:t xml:space="preserve">in the PRT and </w:t>
      </w:r>
      <w:r w:rsidR="008838B4" w:rsidRPr="00FB3B90">
        <w:rPr>
          <w:rFonts w:ascii="Times" w:eastAsia="Times" w:hAnsi="Times" w:cs="Times"/>
        </w:rPr>
        <w:t>drift rate</w:t>
      </w:r>
      <w:r w:rsidR="008838B4">
        <w:rPr>
          <w:rFonts w:ascii="Times" w:eastAsia="Times" w:hAnsi="Times" w:cs="Times"/>
        </w:rPr>
        <w:t xml:space="preserve"> from the HDDM</w:t>
      </w:r>
      <w:r w:rsidR="008838B4" w:rsidRPr="00FB3B90">
        <w:rPr>
          <w:rFonts w:ascii="Times" w:eastAsia="Times" w:hAnsi="Times" w:cs="Times"/>
        </w:rPr>
        <w:t xml:space="preserve"> (</w:t>
      </w:r>
      <w:r w:rsidR="008838B4" w:rsidRPr="00FB3B90">
        <w:rPr>
          <w:rFonts w:ascii="Times" w:eastAsia="Times" w:hAnsi="Times" w:cs="Times"/>
          <w:i/>
        </w:rPr>
        <w:t>r</w:t>
      </w:r>
      <w:r w:rsidR="008838B4" w:rsidRPr="00FB3B90">
        <w:rPr>
          <w:rFonts w:ascii="Times" w:eastAsia="Times" w:hAnsi="Times" w:cs="Times"/>
        </w:rPr>
        <w:t xml:space="preserve"> = 0.89, </w:t>
      </w:r>
      <w:r w:rsidR="008838B4" w:rsidRPr="00FB3B90">
        <w:rPr>
          <w:rFonts w:ascii="Times" w:eastAsia="Times" w:hAnsi="Times" w:cs="Times"/>
          <w:i/>
        </w:rPr>
        <w:t>p</w:t>
      </w:r>
      <w:r w:rsidR="008838B4" w:rsidRPr="00FB3B90">
        <w:rPr>
          <w:rFonts w:ascii="Times" w:eastAsia="Times" w:hAnsi="Times" w:cs="Times"/>
        </w:rPr>
        <w:t xml:space="preserve"> &lt; 0.001).</w:t>
      </w:r>
    </w:p>
    <w:p w14:paraId="34B853D1" w14:textId="1E744FEB" w:rsidR="00690608" w:rsidRDefault="00690608">
      <w:r>
        <w:br w:type="page"/>
      </w:r>
    </w:p>
    <w:p w14:paraId="6F2ABFC9" w14:textId="3704696C" w:rsidR="00690608" w:rsidRDefault="00690608" w:rsidP="00F36218">
      <w:pPr>
        <w:ind w:right="5400"/>
        <w:rPr>
          <w:b/>
        </w:rPr>
      </w:pPr>
      <w:r>
        <w:rPr>
          <w:b/>
        </w:rPr>
        <w:lastRenderedPageBreak/>
        <w:t>Figure S4</w:t>
      </w:r>
    </w:p>
    <w:p w14:paraId="3F4D1FFD" w14:textId="0CD0F8E4" w:rsidR="00690608" w:rsidRDefault="00690608" w:rsidP="00F36218">
      <w:pPr>
        <w:ind w:right="5400"/>
        <w:rPr>
          <w:b/>
        </w:rPr>
      </w:pPr>
    </w:p>
    <w:p w14:paraId="47E8FD59" w14:textId="409BD773" w:rsidR="00690608" w:rsidRDefault="006D5179" w:rsidP="00F36218">
      <w:pPr>
        <w:ind w:right="5400"/>
        <w:rPr>
          <w:b/>
        </w:rPr>
      </w:pPr>
      <w:r>
        <w:rPr>
          <w:b/>
          <w:noProof/>
        </w:rPr>
        <w:drawing>
          <wp:inline distT="0" distB="0" distL="0" distR="0" wp14:anchorId="58CFF293" wp14:editId="24AA9ED3">
            <wp:extent cx="3657600" cy="3657600"/>
            <wp:effectExtent l="0" t="0" r="0" b="0"/>
            <wp:docPr id="5" name="Picture 5" descr="A close up of a map&#13;&#10;&#13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S4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5259A" w14:textId="60CD3D70" w:rsidR="006D5179" w:rsidRDefault="006D5179" w:rsidP="00F30D9B">
      <w:pPr>
        <w:ind w:right="5040"/>
      </w:pPr>
      <w:r>
        <w:rPr>
          <w:i/>
        </w:rPr>
        <w:t>Figure S4</w:t>
      </w:r>
      <w:r>
        <w:t xml:space="preserve">. </w:t>
      </w:r>
      <w:r>
        <w:rPr>
          <w:u w:val="single"/>
        </w:rPr>
        <w:t>Psychometric results: Study 1</w:t>
      </w:r>
      <w:r>
        <w:t>. Internal consistency, as measured by split-half reliability and expressed using the Spearman-Brown (SB) prophecy</w:t>
      </w:r>
      <w:r w:rsidR="00DB69A0">
        <w:t>, in Study 1. Each dot represents the results from odd trials (y-axis) and even trials (x-axis) in a single participant.</w:t>
      </w:r>
    </w:p>
    <w:p w14:paraId="3CBACF46" w14:textId="65AE853F" w:rsidR="009F7920" w:rsidRDefault="009F7920">
      <w:r>
        <w:br w:type="page"/>
      </w:r>
    </w:p>
    <w:p w14:paraId="733AB366" w14:textId="420A61AA" w:rsidR="009F7920" w:rsidRDefault="009F7920" w:rsidP="00F36218">
      <w:pPr>
        <w:ind w:right="5400"/>
        <w:rPr>
          <w:b/>
        </w:rPr>
      </w:pPr>
      <w:r>
        <w:rPr>
          <w:b/>
        </w:rPr>
        <w:lastRenderedPageBreak/>
        <w:t>Figure S5</w:t>
      </w:r>
    </w:p>
    <w:p w14:paraId="23517C85" w14:textId="0822B1EB" w:rsidR="009F7920" w:rsidRDefault="009F7920" w:rsidP="00F36218">
      <w:pPr>
        <w:ind w:right="5400"/>
        <w:rPr>
          <w:b/>
        </w:rPr>
      </w:pPr>
    </w:p>
    <w:p w14:paraId="36102F4E" w14:textId="23BD56C9" w:rsidR="009F7920" w:rsidRDefault="000A2456" w:rsidP="00F36218">
      <w:pPr>
        <w:ind w:right="5400"/>
        <w:rPr>
          <w:b/>
        </w:rPr>
      </w:pPr>
      <w:r>
        <w:rPr>
          <w:b/>
          <w:noProof/>
        </w:rPr>
        <w:drawing>
          <wp:inline distT="0" distB="0" distL="0" distR="0" wp14:anchorId="0B05B7FA" wp14:editId="5E4F5002">
            <wp:extent cx="3657600" cy="3657600"/>
            <wp:effectExtent l="0" t="0" r="0" b="0"/>
            <wp:docPr id="6" name="Picture 6" descr="A close up of a map&#13;&#10;&#13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S5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8B85F" w14:textId="5CB04042" w:rsidR="000A2456" w:rsidRDefault="000A2456" w:rsidP="009F28D9">
      <w:pPr>
        <w:ind w:right="5040"/>
      </w:pPr>
      <w:r>
        <w:rPr>
          <w:i/>
        </w:rPr>
        <w:t>Figure S5</w:t>
      </w:r>
      <w:r>
        <w:t xml:space="preserve">. </w:t>
      </w:r>
      <w:r>
        <w:rPr>
          <w:u w:val="single"/>
        </w:rPr>
        <w:t>Psychometric results: Study 2</w:t>
      </w:r>
      <w:r>
        <w:t>. Internal consistency, as measured by split-half reliability and expressed using the Spearman-Brown (SB) prophecy, in Study 2. Each dot represents the results from odd trials (y-axis) and even trials (x-axis) in a single participant.</w:t>
      </w:r>
    </w:p>
    <w:p w14:paraId="31B732BD" w14:textId="78179BC0" w:rsidR="000A2456" w:rsidRPr="000A2456" w:rsidRDefault="000A2456" w:rsidP="00F36218">
      <w:pPr>
        <w:ind w:right="5400"/>
      </w:pPr>
    </w:p>
    <w:p w14:paraId="79DE1314" w14:textId="77777777" w:rsidR="00F36218" w:rsidRDefault="00F36218" w:rsidP="00962143"/>
    <w:sectPr w:rsidR="00F36218" w:rsidSect="00EA32A4">
      <w:pgSz w:w="12240" w:h="15840"/>
      <w:pgMar w:top="720" w:right="720" w:bottom="1440" w:left="720" w:header="720" w:footer="187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7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5A"/>
    <w:rsid w:val="000539CB"/>
    <w:rsid w:val="000757FE"/>
    <w:rsid w:val="00095994"/>
    <w:rsid w:val="000A2456"/>
    <w:rsid w:val="00387F63"/>
    <w:rsid w:val="00431F42"/>
    <w:rsid w:val="0057331F"/>
    <w:rsid w:val="00690608"/>
    <w:rsid w:val="006D5179"/>
    <w:rsid w:val="00847536"/>
    <w:rsid w:val="008838B4"/>
    <w:rsid w:val="00886857"/>
    <w:rsid w:val="00962143"/>
    <w:rsid w:val="009F28D9"/>
    <w:rsid w:val="009F415C"/>
    <w:rsid w:val="009F7920"/>
    <w:rsid w:val="00A54BC2"/>
    <w:rsid w:val="00BA665A"/>
    <w:rsid w:val="00CD56A4"/>
    <w:rsid w:val="00DB69A0"/>
    <w:rsid w:val="00DC2A10"/>
    <w:rsid w:val="00E0725A"/>
    <w:rsid w:val="00E372A1"/>
    <w:rsid w:val="00EA32A4"/>
    <w:rsid w:val="00EB18E9"/>
    <w:rsid w:val="00F30D9B"/>
    <w:rsid w:val="00F36218"/>
    <w:rsid w:val="00F37E49"/>
    <w:rsid w:val="00F84B9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DF4734"/>
  <w15:docId w15:val="{1B6A44EC-0E85-C047-A080-17F94E2C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9CB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21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21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Dillon</dc:creator>
  <cp:keywords/>
  <dc:description/>
  <cp:lastModifiedBy>Dillon, Daniel G.</cp:lastModifiedBy>
  <cp:revision>2</cp:revision>
  <dcterms:created xsi:type="dcterms:W3CDTF">2019-04-12T20:16:00Z</dcterms:created>
  <dcterms:modified xsi:type="dcterms:W3CDTF">2019-04-12T20:16:00Z</dcterms:modified>
</cp:coreProperties>
</file>