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DF1" w:rsidRDefault="00927DF1" w:rsidP="00927DF1">
      <w:pPr>
        <w:rPr>
          <w:lang w:val="en-US"/>
        </w:rPr>
      </w:pPr>
    </w:p>
    <w:tbl>
      <w:tblPr>
        <w:tblStyle w:val="TableGrid"/>
        <w:tblW w:w="9497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4274"/>
        <w:gridCol w:w="2089"/>
        <w:gridCol w:w="2184"/>
        <w:gridCol w:w="950"/>
      </w:tblGrid>
      <w:tr w:rsidR="00927DF1" w:rsidRPr="00E14325" w:rsidTr="00F3754B">
        <w:tc>
          <w:tcPr>
            <w:tcW w:w="5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7DF1" w:rsidRPr="00D9393B" w:rsidRDefault="00927DF1" w:rsidP="00F3754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lang w:val="en-US"/>
              </w:rPr>
              <w:br w:type="page"/>
            </w:r>
            <w:r w:rsidRPr="00D9393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Table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ST6</w:t>
            </w:r>
            <w:r w:rsidRPr="00D9393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.</w:t>
            </w: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Associations of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 history of depression </w:t>
            </w: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diagnosis before preg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nancy derived from the Care Register for Healthcare (HILMO) and self-reports,</w:t>
            </w: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depressive symptoms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and probable clinical depression reported during pregnancy with high-sensitivity </w:t>
            </w: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C-Reactive protein and glycoprotein acetyl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 across the three measurement points during pregnancy</w:t>
            </w: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Sensitivity analyses excluding blood samples which occurred within a month preceding or following acute infectious disease diagnoses derived from HILMO.</w:t>
            </w:r>
          </w:p>
        </w:tc>
      </w:tr>
      <w:tr w:rsidR="00927DF1" w:rsidRPr="00CC0C02" w:rsidTr="00F3754B">
        <w:tc>
          <w:tcPr>
            <w:tcW w:w="22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7DF1" w:rsidRPr="00D9393B" w:rsidRDefault="00927DF1" w:rsidP="00F375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7DF1" w:rsidRPr="003F6E2E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Estimate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 SD units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*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7DF1" w:rsidRPr="00D9393B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95% CI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7DF1" w:rsidRPr="00D9393B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</w:p>
        </w:tc>
      </w:tr>
      <w:tr w:rsidR="00927DF1" w:rsidRPr="00E14325" w:rsidTr="00F3754B">
        <w:tc>
          <w:tcPr>
            <w:tcW w:w="5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7DF1" w:rsidRPr="00D9393B" w:rsidRDefault="00927DF1" w:rsidP="00F375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393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High-sensitivity C-reactive protein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(</w:t>
            </w:r>
            <w:r w:rsidRPr="00D9393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SD units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 (outcome)</w:t>
            </w:r>
          </w:p>
        </w:tc>
      </w:tr>
      <w:tr w:rsidR="00927DF1" w:rsidRPr="00E14325" w:rsidTr="00F3754B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</w:tcPr>
          <w:p w:rsidR="00927DF1" w:rsidRDefault="00927DF1" w:rsidP="00F375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History of depression diagnosis</w:t>
            </w:r>
          </w:p>
          <w:p w:rsidR="00927DF1" w:rsidRDefault="00927DF1" w:rsidP="00F375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before pregnancy (yes vs. no)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:rsidR="00927DF1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</w:tcPr>
          <w:p w:rsidR="00927DF1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927DF1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27DF1" w:rsidRPr="00F02CC7" w:rsidTr="00F3754B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</w:tcPr>
          <w:p w:rsidR="00927DF1" w:rsidRPr="00D9393B" w:rsidRDefault="00927DF1" w:rsidP="00F3754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17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from HILMO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:rsidR="00927DF1" w:rsidRPr="00D9393B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0.70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</w:tcPr>
          <w:p w:rsidR="00927DF1" w:rsidRPr="00D9393B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0.27, 1.12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927DF1" w:rsidRPr="00D9393B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0.001</w:t>
            </w:r>
          </w:p>
        </w:tc>
      </w:tr>
      <w:tr w:rsidR="00927DF1" w:rsidRPr="00914CA4" w:rsidTr="00F3754B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</w:tcPr>
          <w:p w:rsidR="00927DF1" w:rsidRPr="00D9393B" w:rsidRDefault="00927DF1" w:rsidP="00F3754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17F9">
              <w:rPr>
                <w:rFonts w:ascii="Times New Roman" w:hAnsi="Times New Roman" w:cs="Times New Roman"/>
                <w:sz w:val="20"/>
                <w:szCs w:val="20"/>
              </w:rPr>
              <w:t xml:space="preserve">    from </w:t>
            </w:r>
            <w:proofErr w:type="spellStart"/>
            <w:r w:rsidRPr="001417F9">
              <w:rPr>
                <w:rFonts w:ascii="Times New Roman" w:hAnsi="Times New Roman" w:cs="Times New Roman"/>
                <w:sz w:val="20"/>
                <w:szCs w:val="20"/>
              </w:rPr>
              <w:t>self-reports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:rsidR="00927DF1" w:rsidRPr="00D9393B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0.57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</w:tcPr>
          <w:p w:rsidR="00927DF1" w:rsidRPr="00D9393B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0.18, 0.95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927DF1" w:rsidRPr="00D9393B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0.004</w:t>
            </w:r>
          </w:p>
        </w:tc>
      </w:tr>
      <w:tr w:rsidR="00927DF1" w:rsidRPr="00BC09AE" w:rsidTr="00F3754B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</w:tcPr>
          <w:p w:rsidR="00927DF1" w:rsidRPr="00134759" w:rsidRDefault="00927DF1" w:rsidP="00F375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Depressive symptoms during pregnancy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DF1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DF1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DF1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27DF1" w:rsidRPr="00BC09AE" w:rsidTr="00F3754B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</w:tcPr>
          <w:p w:rsidR="00927DF1" w:rsidRDefault="00927DF1" w:rsidP="00F3754B">
            <w:pPr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continuous score (mean of reports at 3 blood</w:t>
            </w:r>
          </w:p>
          <w:p w:rsidR="00927DF1" w:rsidRPr="00D9393B" w:rsidRDefault="00927DF1" w:rsidP="00F375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sampling points in SD units)****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:rsidR="00927DF1" w:rsidRPr="00000C2F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00C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0.06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</w:tcPr>
          <w:p w:rsidR="00927DF1" w:rsidRPr="00000C2F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00C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0.0001, 0.13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927DF1" w:rsidRPr="00000C2F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00C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0.05</w:t>
            </w:r>
          </w:p>
        </w:tc>
      </w:tr>
      <w:tr w:rsidR="00927DF1" w:rsidRPr="0094774D" w:rsidTr="00F3754B">
        <w:tc>
          <w:tcPr>
            <w:tcW w:w="22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7DF1" w:rsidRDefault="00927DF1" w:rsidP="00F3754B">
            <w:pPr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binary score (continuous score≥16, </w:t>
            </w:r>
          </w:p>
          <w:p w:rsidR="00927DF1" w:rsidRDefault="00927DF1" w:rsidP="00F3754B">
            <w:pPr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probable clinical depression </w:t>
            </w:r>
          </w:p>
          <w:p w:rsidR="00927DF1" w:rsidRDefault="00927DF1" w:rsidP="00F3754B">
            <w:pPr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vs. continuous score&lt;16, </w:t>
            </w:r>
          </w:p>
          <w:p w:rsidR="00927DF1" w:rsidRPr="00D9393B" w:rsidRDefault="00927DF1" w:rsidP="00F3754B">
            <w:pPr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no probable clinical depression)****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7DF1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27DF1" w:rsidRPr="00000C2F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0.27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7DF1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27DF1" w:rsidRPr="00000C2F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0.02, 0.52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7DF1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27DF1" w:rsidRPr="00000C2F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0.03</w:t>
            </w:r>
          </w:p>
        </w:tc>
      </w:tr>
      <w:tr w:rsidR="00927DF1" w:rsidRPr="00E14325" w:rsidTr="00F3754B">
        <w:tc>
          <w:tcPr>
            <w:tcW w:w="5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7DF1" w:rsidRPr="00D9393B" w:rsidRDefault="00927DF1" w:rsidP="00F375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393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Glycoprotein acetyls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(</w:t>
            </w:r>
            <w:r w:rsidRPr="00D9393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SD units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 (outcome)</w:t>
            </w:r>
          </w:p>
        </w:tc>
      </w:tr>
      <w:tr w:rsidR="00927DF1" w:rsidRPr="00E14325" w:rsidTr="00F3754B">
        <w:tc>
          <w:tcPr>
            <w:tcW w:w="225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7DF1" w:rsidRDefault="00927DF1" w:rsidP="00F375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History of depression diagnosis</w:t>
            </w:r>
          </w:p>
          <w:p w:rsidR="00927DF1" w:rsidRDefault="00927DF1" w:rsidP="00F375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before pregnancy (yes vs. no)</w:t>
            </w:r>
          </w:p>
        </w:tc>
        <w:tc>
          <w:tcPr>
            <w:tcW w:w="11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7DF1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7DF1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7DF1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27DF1" w:rsidRPr="00CD4D16" w:rsidTr="00F3754B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</w:tcPr>
          <w:p w:rsidR="00927DF1" w:rsidRPr="00D9393B" w:rsidRDefault="00927DF1" w:rsidP="00F3754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17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from HILMO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DF1" w:rsidRPr="00D9393B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0.49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DF1" w:rsidRPr="00D9393B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0.09, 0.90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DF1" w:rsidRPr="00D9393B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0.02</w:t>
            </w:r>
          </w:p>
        </w:tc>
      </w:tr>
      <w:tr w:rsidR="00927DF1" w:rsidRPr="00674CF9" w:rsidTr="00F3754B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</w:tcPr>
          <w:p w:rsidR="00927DF1" w:rsidRPr="00D9393B" w:rsidRDefault="00927DF1" w:rsidP="00F375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17F9">
              <w:rPr>
                <w:rFonts w:ascii="Times New Roman" w:hAnsi="Times New Roman" w:cs="Times New Roman"/>
                <w:sz w:val="20"/>
                <w:szCs w:val="20"/>
              </w:rPr>
              <w:t xml:space="preserve">    from </w:t>
            </w:r>
            <w:proofErr w:type="spellStart"/>
            <w:r w:rsidRPr="001417F9">
              <w:rPr>
                <w:rFonts w:ascii="Times New Roman" w:hAnsi="Times New Roman" w:cs="Times New Roman"/>
                <w:sz w:val="20"/>
                <w:szCs w:val="20"/>
              </w:rPr>
              <w:t>self-reports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DF1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0.29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DF1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-0.07, 0.64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DF1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0.12</w:t>
            </w:r>
          </w:p>
        </w:tc>
      </w:tr>
      <w:tr w:rsidR="00927DF1" w:rsidRPr="00BC09AE" w:rsidTr="00F3754B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</w:tcPr>
          <w:p w:rsidR="00927DF1" w:rsidRPr="00134759" w:rsidRDefault="00927DF1" w:rsidP="00F375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Depressive symptoms during pregnancy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DF1" w:rsidRPr="0094774D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DF1" w:rsidRPr="0094774D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DF1" w:rsidRPr="0094774D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</w:p>
        </w:tc>
      </w:tr>
      <w:tr w:rsidR="00927DF1" w:rsidRPr="00BC09AE" w:rsidTr="00F3754B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</w:tcPr>
          <w:p w:rsidR="00927DF1" w:rsidRDefault="00927DF1" w:rsidP="00F3754B">
            <w:pPr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continuous score (mean of reports at 3 blood</w:t>
            </w:r>
          </w:p>
          <w:p w:rsidR="00927DF1" w:rsidRPr="00D9393B" w:rsidRDefault="00927DF1" w:rsidP="00F375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sampling points in SD units)****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DF1" w:rsidRPr="00215627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156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0.05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DF1" w:rsidRPr="00215627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156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-0.001, 0.11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DF1" w:rsidRPr="00215627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156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0.09</w:t>
            </w:r>
          </w:p>
        </w:tc>
      </w:tr>
      <w:tr w:rsidR="00927DF1" w:rsidRPr="00674CF9" w:rsidTr="00F3754B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</w:tcPr>
          <w:p w:rsidR="00927DF1" w:rsidRDefault="00927DF1" w:rsidP="00F3754B">
            <w:pPr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binary score (continuous score≥16, </w:t>
            </w:r>
          </w:p>
          <w:p w:rsidR="00927DF1" w:rsidRDefault="00927DF1" w:rsidP="00F3754B">
            <w:pPr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probable clinical depression </w:t>
            </w:r>
          </w:p>
          <w:p w:rsidR="00927DF1" w:rsidRDefault="00927DF1" w:rsidP="00F3754B">
            <w:pPr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vs. continuous score&lt;16, </w:t>
            </w:r>
          </w:p>
          <w:p w:rsidR="00927DF1" w:rsidRPr="00D9393B" w:rsidRDefault="00927DF1" w:rsidP="00F3754B">
            <w:pPr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no probable clinical depression)****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:rsidR="00927DF1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27DF1" w:rsidRPr="00000C2F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0.25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</w:tcPr>
          <w:p w:rsidR="00927DF1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27DF1" w:rsidRPr="00000C2F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0.02, 0.47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927DF1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27DF1" w:rsidRPr="00000C2F" w:rsidRDefault="00927DF1" w:rsidP="00F375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0.04</w:t>
            </w:r>
          </w:p>
        </w:tc>
      </w:tr>
      <w:tr w:rsidR="00927DF1" w:rsidRPr="00E14325" w:rsidTr="00F3754B">
        <w:tc>
          <w:tcPr>
            <w:tcW w:w="5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7DF1" w:rsidRDefault="00927DF1" w:rsidP="00F375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Note. *Estimates and 95% Confidence Intervals (95% CI) reflect differences between those with and without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</w:t>
            </w: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history of </w:t>
            </w: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depression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diagnosis before pregnancy or with and without probable clinical depression during pregnancy</w:t>
            </w: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high-sensitivity C-reactive protein (hsCRP)</w:t>
            </w: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glycoprotein acetyls in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standard deviation (</w:t>
            </w: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units or change in SD units in hsCRP and glycoprotein acetyls per SD unit change in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continuous </w:t>
            </w: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depressive symptoms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score during pregnancy</w:t>
            </w: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 </w:t>
            </w:r>
          </w:p>
          <w:p w:rsidR="00927DF1" w:rsidRDefault="00927DF1" w:rsidP="00F375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 13 measurements were excluded out of a total of 1125 measurements in the analytic sample (n=375).</w:t>
            </w:r>
          </w:p>
          <w:p w:rsidR="00927DF1" w:rsidRDefault="00927DF1" w:rsidP="00F375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*** 11 measurements were excluded out of a total of 1041 measurements in the analytic sample (n=347).</w:t>
            </w:r>
          </w:p>
          <w:p w:rsidR="00927DF1" w:rsidRPr="00D9393B" w:rsidRDefault="00927DF1" w:rsidP="00F375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**** 6 measurements were excluded out of a total of 885 measurements in the analytic sample (n=295).</w:t>
            </w:r>
          </w:p>
        </w:tc>
      </w:tr>
    </w:tbl>
    <w:p w:rsidR="00927DF1" w:rsidRPr="00ED0A05" w:rsidRDefault="00927DF1" w:rsidP="00927DF1">
      <w:pPr>
        <w:rPr>
          <w:lang w:val="en-US"/>
        </w:rPr>
      </w:pPr>
    </w:p>
    <w:p w:rsidR="00E83BFB" w:rsidRPr="00927DF1" w:rsidRDefault="00E83BFB">
      <w:pPr>
        <w:rPr>
          <w:lang w:val="en-US"/>
        </w:rPr>
      </w:pPr>
      <w:bookmarkStart w:id="0" w:name="_GoBack"/>
      <w:bookmarkEnd w:id="0"/>
    </w:p>
    <w:sectPr w:rsidR="00E83BFB" w:rsidRPr="00927DF1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1"/>
    <w:rsid w:val="00000BE0"/>
    <w:rsid w:val="00243118"/>
    <w:rsid w:val="003F1AB0"/>
    <w:rsid w:val="00723AA7"/>
    <w:rsid w:val="00894C67"/>
    <w:rsid w:val="00927DF1"/>
    <w:rsid w:val="00BD5870"/>
    <w:rsid w:val="00E83BFB"/>
    <w:rsid w:val="00FF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CEC7C2-DD08-4F71-973A-87D4198D4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7D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7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Lahti, Marius</dc:creator>
  <cp:keywords/>
  <dc:description/>
  <cp:lastModifiedBy>Lahti, Marius</cp:lastModifiedBy>
  <cp:revision>1</cp:revision>
  <dcterms:created xsi:type="dcterms:W3CDTF">2019-07-05T14:46:00Z</dcterms:created>
  <dcterms:modified xsi:type="dcterms:W3CDTF">2019-07-05T14:47:00Z</dcterms:modified>
</cp:coreProperties>
</file>