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EB7AC" w14:textId="77777777" w:rsidR="001E0B29" w:rsidRPr="001E0B29" w:rsidRDefault="001E0B29" w:rsidP="00305883">
      <w:pPr>
        <w:rPr>
          <w:lang w:val="en-US"/>
        </w:rPr>
      </w:pPr>
    </w:p>
    <w:tbl>
      <w:tblPr>
        <w:tblpPr w:leftFromText="180" w:rightFromText="180" w:vertAnchor="text" w:horzAnchor="margin" w:tblpY="128"/>
        <w:tblW w:w="15309" w:type="dxa"/>
        <w:tblLayout w:type="fixed"/>
        <w:tblLook w:val="01E0" w:firstRow="1" w:lastRow="1" w:firstColumn="1" w:lastColumn="1" w:noHBand="0" w:noVBand="0"/>
      </w:tblPr>
      <w:tblGrid>
        <w:gridCol w:w="3631"/>
        <w:gridCol w:w="3637"/>
        <w:gridCol w:w="1611"/>
        <w:gridCol w:w="1611"/>
        <w:gridCol w:w="1611"/>
        <w:gridCol w:w="1604"/>
        <w:gridCol w:w="1604"/>
      </w:tblGrid>
      <w:tr w:rsidR="001E0B29" w:rsidRPr="008117E9" w14:paraId="48D4A9E3" w14:textId="77777777" w:rsidTr="001E0B29"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A63FC58" w14:textId="77777777" w:rsidR="001E0B29" w:rsidRPr="00980CE6" w:rsidRDefault="001E0B29" w:rsidP="0011022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b/>
                <w:sz w:val="21"/>
                <w:szCs w:val="21"/>
                <w:lang w:val="en-GB"/>
              </w:rPr>
              <w:t xml:space="preserve">Table </w:t>
            </w:r>
            <w:r>
              <w:rPr>
                <w:rFonts w:ascii="Times New Roman" w:eastAsia="SimSun" w:hAnsi="Times New Roman" w:cs="Times New Roman"/>
                <w:b/>
                <w:sz w:val="21"/>
                <w:szCs w:val="21"/>
                <w:lang w:val="en-GB" w:eastAsia="zh-CN"/>
              </w:rPr>
              <w:t>ST3.</w:t>
            </w:r>
            <w:r w:rsidRPr="00980CE6">
              <w:rPr>
                <w:rFonts w:ascii="Times New Roman" w:eastAsia="SimSun" w:hAnsi="Times New Roman" w:cs="Times New Roman"/>
                <w:b/>
                <w:sz w:val="21"/>
                <w:szCs w:val="21"/>
                <w:lang w:val="en-GB" w:eastAsia="zh-CN"/>
              </w:rPr>
              <w:t xml:space="preserve"> 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 xml:space="preserve">Newcastle–Ottawa scale for assessment of quality of cohort studies (each asterisk represents if individual criterion within the subsection 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en-GB" w:eastAsia="zh-CN"/>
              </w:rPr>
              <w:t xml:space="preserve">was 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fulfilled)</w:t>
            </w:r>
            <w:r w:rsidR="00FD1571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 xml:space="preserve"> </w:t>
            </w:r>
            <w:r w:rsidR="00FD15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testing associations between maternal depression and inflammation during pregnancy.</w:t>
            </w:r>
          </w:p>
        </w:tc>
      </w:tr>
      <w:tr w:rsidR="001E0B29" w:rsidRPr="001E0B29" w14:paraId="69BE4987" w14:textId="77777777" w:rsidTr="00FD1571"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65537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bookmarkStart w:id="0" w:name="_Hlk382561655"/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Quality assessment criteria</w:t>
            </w:r>
          </w:p>
        </w:tc>
        <w:tc>
          <w:tcPr>
            <w:tcW w:w="11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FDA1A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bookmarkStart w:id="1" w:name="OLE_LINK19"/>
            <w:bookmarkStart w:id="2" w:name="OLE_LINK20"/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Acceptable(</w:t>
            </w:r>
            <w:bookmarkStart w:id="3" w:name="OLE_LINK124"/>
            <w:bookmarkStart w:id="4" w:name="OLE_LINK125"/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  <w:bookmarkEnd w:id="3"/>
            <w:bookmarkEnd w:id="4"/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)</w:t>
            </w:r>
            <w:bookmarkEnd w:id="1"/>
            <w:bookmarkEnd w:id="2"/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ED6FB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Blackmore</w:t>
            </w:r>
            <w:r w:rsidR="00FD1571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 xml:space="preserve"> et al.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>, 2011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A5C96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Azar</w:t>
            </w:r>
            <w:r w:rsidR="00FD1571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 xml:space="preserve"> and Mercer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>, 2013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EB4A5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Haeri</w:t>
            </w:r>
            <w:r w:rsidR="00FD1571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 xml:space="preserve"> et al,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, 2013*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4E2BA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Gustafsson</w:t>
            </w:r>
            <w:r w:rsidR="00FD1571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 xml:space="preserve"> et al.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>,</w:t>
            </w:r>
          </w:p>
          <w:p w14:paraId="7ECAC9AA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>2018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785A1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Osborne</w:t>
            </w:r>
            <w:r w:rsidR="00FD1571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 xml:space="preserve"> et al.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, 2018*</w:t>
            </w:r>
          </w:p>
        </w:tc>
      </w:tr>
      <w:bookmarkEnd w:id="0"/>
      <w:tr w:rsidR="001E0B29" w:rsidRPr="001E0B29" w14:paraId="5AECC873" w14:textId="77777777" w:rsidTr="00502184">
        <w:trPr>
          <w:trHeight w:hRule="exact" w:val="454"/>
        </w:trPr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14:paraId="4417AA4B" w14:textId="77777777" w:rsidR="001E0B29" w:rsidRPr="00980CE6" w:rsidRDefault="001E0B29" w:rsidP="00FD157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/>
              </w:rPr>
              <w:t>Selection</w:t>
            </w:r>
          </w:p>
        </w:tc>
      </w:tr>
      <w:tr w:rsidR="001E0B29" w:rsidRPr="00980CE6" w14:paraId="76409424" w14:textId="77777777" w:rsidTr="00FD1571">
        <w:trPr>
          <w:trHeight w:val="567"/>
        </w:trPr>
        <w:tc>
          <w:tcPr>
            <w:tcW w:w="1186" w:type="pct"/>
            <w:vAlign w:val="center"/>
          </w:tcPr>
          <w:p w14:paraId="48D2CF60" w14:textId="77777777" w:rsidR="001E0B29" w:rsidRPr="00980CE6" w:rsidRDefault="001E0B29" w:rsidP="00FD1571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Representativeness of the exposed cohort?</w:t>
            </w:r>
          </w:p>
        </w:tc>
        <w:tc>
          <w:tcPr>
            <w:tcW w:w="1188" w:type="pct"/>
            <w:vAlign w:val="center"/>
          </w:tcPr>
          <w:p w14:paraId="5A6A696B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Represent</w:t>
            </w:r>
            <w:r w:rsidRPr="006B337A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ative of average pregnant women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 xml:space="preserve"> (age/being a</w:t>
            </w:r>
            <w:r w:rsidRPr="006B337A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 xml:space="preserve">t risk of disease, sample size, 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generalizability)</w:t>
            </w:r>
          </w:p>
        </w:tc>
        <w:tc>
          <w:tcPr>
            <w:tcW w:w="526" w:type="pct"/>
            <w:vAlign w:val="center"/>
          </w:tcPr>
          <w:p w14:paraId="3F5B1C04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vAlign w:val="center"/>
          </w:tcPr>
          <w:p w14:paraId="254E9FBE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6" w:type="pct"/>
            <w:vAlign w:val="center"/>
          </w:tcPr>
          <w:p w14:paraId="54531124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4" w:type="pct"/>
            <w:vAlign w:val="center"/>
          </w:tcPr>
          <w:p w14:paraId="11C5791C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4" w:type="pct"/>
            <w:vAlign w:val="center"/>
          </w:tcPr>
          <w:p w14:paraId="5FC3D148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</w:tr>
      <w:tr w:rsidR="001E0B29" w:rsidRPr="00980CE6" w14:paraId="0FE4B02E" w14:textId="77777777" w:rsidTr="00502184">
        <w:trPr>
          <w:trHeight w:hRule="exact" w:val="510"/>
        </w:trPr>
        <w:tc>
          <w:tcPr>
            <w:tcW w:w="1186" w:type="pct"/>
            <w:vAlign w:val="center"/>
          </w:tcPr>
          <w:p w14:paraId="268012E1" w14:textId="77777777" w:rsidR="001E0B29" w:rsidRPr="00980CE6" w:rsidRDefault="001E0B29" w:rsidP="00FD1571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Selection of the non-exposed cohort?</w:t>
            </w:r>
          </w:p>
        </w:tc>
        <w:tc>
          <w:tcPr>
            <w:tcW w:w="1188" w:type="pct"/>
            <w:vAlign w:val="center"/>
          </w:tcPr>
          <w:p w14:paraId="1A610780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Drawn from same community as exposed cohort</w:t>
            </w:r>
          </w:p>
        </w:tc>
        <w:tc>
          <w:tcPr>
            <w:tcW w:w="526" w:type="pct"/>
            <w:vAlign w:val="center"/>
          </w:tcPr>
          <w:p w14:paraId="17697119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vAlign w:val="center"/>
          </w:tcPr>
          <w:p w14:paraId="43249D61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vAlign w:val="center"/>
          </w:tcPr>
          <w:p w14:paraId="6EB66F26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4" w:type="pct"/>
            <w:vAlign w:val="center"/>
          </w:tcPr>
          <w:p w14:paraId="67D2E7A2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4" w:type="pct"/>
            <w:vAlign w:val="center"/>
          </w:tcPr>
          <w:p w14:paraId="210D222C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</w:tr>
      <w:tr w:rsidR="001E0B29" w:rsidRPr="00980CE6" w14:paraId="4AFD9818" w14:textId="77777777" w:rsidTr="00502184">
        <w:trPr>
          <w:trHeight w:hRule="exact" w:val="510"/>
        </w:trPr>
        <w:tc>
          <w:tcPr>
            <w:tcW w:w="1186" w:type="pct"/>
            <w:vAlign w:val="center"/>
          </w:tcPr>
          <w:p w14:paraId="53477F0B" w14:textId="77777777" w:rsidR="001E0B29" w:rsidRPr="00980CE6" w:rsidRDefault="001E0B29" w:rsidP="00FD1571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Ascertainment of exposure</w:t>
            </w:r>
          </w:p>
        </w:tc>
        <w:tc>
          <w:tcPr>
            <w:tcW w:w="1188" w:type="pct"/>
            <w:vAlign w:val="center"/>
          </w:tcPr>
          <w:p w14:paraId="78E1BAE2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Depression Diagnosis in health records, structured interview</w:t>
            </w:r>
          </w:p>
        </w:tc>
        <w:tc>
          <w:tcPr>
            <w:tcW w:w="526" w:type="pct"/>
            <w:vAlign w:val="center"/>
          </w:tcPr>
          <w:p w14:paraId="06CB73E7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vAlign w:val="center"/>
          </w:tcPr>
          <w:p w14:paraId="462A2BE0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>-</w:t>
            </w:r>
          </w:p>
        </w:tc>
        <w:tc>
          <w:tcPr>
            <w:tcW w:w="526" w:type="pct"/>
            <w:vAlign w:val="center"/>
          </w:tcPr>
          <w:p w14:paraId="5AE20ABD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4" w:type="pct"/>
            <w:vAlign w:val="center"/>
          </w:tcPr>
          <w:p w14:paraId="2CC2D0C0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4" w:type="pct"/>
            <w:vAlign w:val="center"/>
          </w:tcPr>
          <w:p w14:paraId="48CF124B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</w:tr>
      <w:tr w:rsidR="001E0B29" w:rsidRPr="00980CE6" w14:paraId="1EF82E6E" w14:textId="77777777" w:rsidTr="00502184">
        <w:trPr>
          <w:trHeight w:hRule="exact" w:val="737"/>
        </w:trPr>
        <w:tc>
          <w:tcPr>
            <w:tcW w:w="1186" w:type="pct"/>
            <w:vAlign w:val="center"/>
          </w:tcPr>
          <w:p w14:paraId="7DC0AA2E" w14:textId="77777777" w:rsidR="001E0B29" w:rsidRPr="00980CE6" w:rsidRDefault="001E0B29" w:rsidP="00FD1571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en-GB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Demonstration that outcome of interest was not present at start of study</w:t>
            </w:r>
          </w:p>
        </w:tc>
        <w:tc>
          <w:tcPr>
            <w:tcW w:w="1188" w:type="pct"/>
            <w:vAlign w:val="center"/>
          </w:tcPr>
          <w:p w14:paraId="634DA244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>No inflammatory disease</w:t>
            </w:r>
          </w:p>
        </w:tc>
        <w:tc>
          <w:tcPr>
            <w:tcW w:w="526" w:type="pct"/>
            <w:vAlign w:val="center"/>
          </w:tcPr>
          <w:p w14:paraId="3456F8C6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vAlign w:val="center"/>
          </w:tcPr>
          <w:p w14:paraId="07929741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6" w:type="pct"/>
            <w:vAlign w:val="center"/>
          </w:tcPr>
          <w:p w14:paraId="1DC14B7E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4" w:type="pct"/>
            <w:vAlign w:val="center"/>
          </w:tcPr>
          <w:p w14:paraId="1B79E111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4" w:type="pct"/>
            <w:vAlign w:val="center"/>
          </w:tcPr>
          <w:p w14:paraId="2DBBF6CF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</w:tr>
      <w:tr w:rsidR="001E0B29" w:rsidRPr="006B337A" w14:paraId="28A0330C" w14:textId="77777777" w:rsidTr="00502184">
        <w:trPr>
          <w:trHeight w:hRule="exact" w:val="454"/>
        </w:trPr>
        <w:tc>
          <w:tcPr>
            <w:tcW w:w="5000" w:type="pct"/>
            <w:gridSpan w:val="7"/>
            <w:vAlign w:val="center"/>
          </w:tcPr>
          <w:p w14:paraId="3219F386" w14:textId="77777777" w:rsidR="001E0B29" w:rsidRPr="00980CE6" w:rsidRDefault="001E0B29" w:rsidP="00FD157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b/>
                <w:bCs/>
                <w:sz w:val="21"/>
                <w:szCs w:val="21"/>
                <w:lang w:val="nl-NL"/>
              </w:rPr>
              <w:t>Comparability</w:t>
            </w:r>
          </w:p>
        </w:tc>
      </w:tr>
      <w:tr w:rsidR="001E0B29" w:rsidRPr="00980CE6" w14:paraId="3A3805BE" w14:textId="77777777" w:rsidTr="00502184">
        <w:trPr>
          <w:trHeight w:hRule="exact" w:val="510"/>
        </w:trPr>
        <w:tc>
          <w:tcPr>
            <w:tcW w:w="1186" w:type="pct"/>
            <w:vAlign w:val="center"/>
          </w:tcPr>
          <w:p w14:paraId="24D32542" w14:textId="77777777" w:rsidR="001E0B29" w:rsidRPr="00980CE6" w:rsidRDefault="001E0B29" w:rsidP="00FD1571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Comparability of cohorts on the basis of the design or analysis</w:t>
            </w:r>
          </w:p>
        </w:tc>
        <w:tc>
          <w:tcPr>
            <w:tcW w:w="1188" w:type="pct"/>
            <w:vAlign w:val="center"/>
          </w:tcPr>
          <w:p w14:paraId="53491CE8" w14:textId="77777777" w:rsidR="001E0B29" w:rsidRPr="00980CE6" w:rsidRDefault="001E0B29" w:rsidP="00FD1571">
            <w:pPr>
              <w:spacing w:after="0" w:line="240" w:lineRule="auto"/>
              <w:ind w:leftChars="-6" w:left="-13" w:firstLine="1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 xml:space="preserve">Study controls for 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body mass index</w:t>
            </w:r>
          </w:p>
        </w:tc>
        <w:tc>
          <w:tcPr>
            <w:tcW w:w="526" w:type="pct"/>
            <w:vAlign w:val="center"/>
          </w:tcPr>
          <w:p w14:paraId="36E6D882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vAlign w:val="center"/>
          </w:tcPr>
          <w:p w14:paraId="510CC01A" w14:textId="77777777" w:rsidR="001E0B29" w:rsidRPr="00980CE6" w:rsidRDefault="001E0B29" w:rsidP="00FD157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6" w:type="pct"/>
            <w:vAlign w:val="center"/>
          </w:tcPr>
          <w:p w14:paraId="71328D38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4" w:type="pct"/>
            <w:vAlign w:val="center"/>
          </w:tcPr>
          <w:p w14:paraId="3B608D23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4" w:type="pct"/>
            <w:vAlign w:val="center"/>
          </w:tcPr>
          <w:p w14:paraId="021351DC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</w:tr>
      <w:tr w:rsidR="001E0B29" w:rsidRPr="00980CE6" w14:paraId="20316889" w14:textId="77777777" w:rsidTr="00502184">
        <w:trPr>
          <w:trHeight w:hRule="exact" w:val="510"/>
        </w:trPr>
        <w:tc>
          <w:tcPr>
            <w:tcW w:w="1186" w:type="pct"/>
            <w:vAlign w:val="center"/>
          </w:tcPr>
          <w:p w14:paraId="124112EF" w14:textId="77777777" w:rsidR="001E0B29" w:rsidRPr="00980CE6" w:rsidRDefault="001E0B29" w:rsidP="00FD1571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bookmarkStart w:id="5" w:name="OLE_LINK23"/>
            <w:bookmarkStart w:id="6" w:name="OLE_LINK24"/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Study controls for additional risk factors?</w:t>
            </w:r>
            <w:bookmarkEnd w:id="5"/>
            <w:bookmarkEnd w:id="6"/>
          </w:p>
        </w:tc>
        <w:tc>
          <w:tcPr>
            <w:tcW w:w="1188" w:type="pct"/>
            <w:vAlign w:val="center"/>
          </w:tcPr>
          <w:p w14:paraId="65801B30" w14:textId="77777777" w:rsidR="001E0B29" w:rsidRPr="00980CE6" w:rsidRDefault="001E0B29" w:rsidP="00FD1571">
            <w:pPr>
              <w:spacing w:after="0" w:line="240" w:lineRule="auto"/>
              <w:ind w:leftChars="-6" w:left="-13" w:firstLine="1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 xml:space="preserve">Study controls for </w:t>
            </w: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hypertensive and/or diabetes disorders</w:t>
            </w:r>
          </w:p>
        </w:tc>
        <w:tc>
          <w:tcPr>
            <w:tcW w:w="526" w:type="pct"/>
            <w:vAlign w:val="center"/>
          </w:tcPr>
          <w:p w14:paraId="7E9FDB66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6" w:type="pct"/>
            <w:vAlign w:val="center"/>
          </w:tcPr>
          <w:p w14:paraId="55B0C586" w14:textId="77777777" w:rsidR="001E0B29" w:rsidRPr="00980CE6" w:rsidRDefault="001E0B29" w:rsidP="00FD157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>-</w:t>
            </w:r>
          </w:p>
        </w:tc>
        <w:tc>
          <w:tcPr>
            <w:tcW w:w="526" w:type="pct"/>
            <w:vAlign w:val="center"/>
          </w:tcPr>
          <w:p w14:paraId="79968E0D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4" w:type="pct"/>
            <w:vAlign w:val="center"/>
          </w:tcPr>
          <w:p w14:paraId="1FD489E7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4" w:type="pct"/>
            <w:vAlign w:val="center"/>
          </w:tcPr>
          <w:p w14:paraId="37BB1C17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</w:tr>
      <w:tr w:rsidR="001E0B29" w:rsidRPr="006B337A" w14:paraId="423A62FC" w14:textId="77777777" w:rsidTr="00502184">
        <w:trPr>
          <w:trHeight w:hRule="exact" w:val="454"/>
        </w:trPr>
        <w:tc>
          <w:tcPr>
            <w:tcW w:w="5000" w:type="pct"/>
            <w:gridSpan w:val="7"/>
            <w:vAlign w:val="center"/>
          </w:tcPr>
          <w:p w14:paraId="228422DE" w14:textId="77777777" w:rsidR="001E0B29" w:rsidRPr="00980CE6" w:rsidRDefault="001E0B29" w:rsidP="00FD157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b/>
                <w:bCs/>
                <w:sz w:val="21"/>
                <w:szCs w:val="21"/>
                <w:lang w:val="nl-NL"/>
              </w:rPr>
              <w:t>Outcome</w:t>
            </w:r>
          </w:p>
        </w:tc>
      </w:tr>
      <w:tr w:rsidR="001E0B29" w:rsidRPr="00980CE6" w14:paraId="20C96310" w14:textId="77777777" w:rsidTr="00502184">
        <w:trPr>
          <w:trHeight w:hRule="exact" w:val="510"/>
        </w:trPr>
        <w:tc>
          <w:tcPr>
            <w:tcW w:w="1186" w:type="pct"/>
            <w:vAlign w:val="center"/>
          </w:tcPr>
          <w:p w14:paraId="54F42A33" w14:textId="77777777" w:rsidR="001E0B29" w:rsidRPr="00980CE6" w:rsidRDefault="001E0B29" w:rsidP="00FD1571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bookmarkStart w:id="7" w:name="OLE_LINK1"/>
            <w:bookmarkStart w:id="8" w:name="OLE_LINK2"/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Assessment of outcome</w:t>
            </w:r>
            <w:bookmarkEnd w:id="7"/>
            <w:bookmarkEnd w:id="8"/>
          </w:p>
        </w:tc>
        <w:tc>
          <w:tcPr>
            <w:tcW w:w="1188" w:type="pct"/>
            <w:vAlign w:val="center"/>
          </w:tcPr>
          <w:p w14:paraId="3603B966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Independent blind assessment of inflammation</w:t>
            </w:r>
          </w:p>
        </w:tc>
        <w:tc>
          <w:tcPr>
            <w:tcW w:w="526" w:type="pct"/>
            <w:vAlign w:val="center"/>
          </w:tcPr>
          <w:p w14:paraId="47EC53D9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vAlign w:val="center"/>
          </w:tcPr>
          <w:p w14:paraId="505984D9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vAlign w:val="center"/>
          </w:tcPr>
          <w:p w14:paraId="154A4A95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4" w:type="pct"/>
            <w:vAlign w:val="center"/>
          </w:tcPr>
          <w:p w14:paraId="5E1BF01F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4" w:type="pct"/>
            <w:vAlign w:val="center"/>
          </w:tcPr>
          <w:p w14:paraId="70D7C5BA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</w:tr>
      <w:tr w:rsidR="001E0B29" w:rsidRPr="00980CE6" w14:paraId="4EF05350" w14:textId="77777777" w:rsidTr="00502184">
        <w:trPr>
          <w:trHeight w:hRule="exact" w:val="510"/>
        </w:trPr>
        <w:tc>
          <w:tcPr>
            <w:tcW w:w="1186" w:type="pct"/>
            <w:vAlign w:val="center"/>
          </w:tcPr>
          <w:p w14:paraId="68EA2544" w14:textId="77777777" w:rsidR="001E0B29" w:rsidRPr="00980CE6" w:rsidRDefault="001E0B29" w:rsidP="00FD1571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en-GB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Was follow-up long enough for outcomes to occur</w:t>
            </w:r>
          </w:p>
        </w:tc>
        <w:tc>
          <w:tcPr>
            <w:tcW w:w="1188" w:type="pct"/>
            <w:vAlign w:val="center"/>
          </w:tcPr>
          <w:p w14:paraId="79A49457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bookmarkStart w:id="9" w:name="OLE_LINK29"/>
            <w:bookmarkStart w:id="10" w:name="OLE_LINK30"/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At least two inflammation asessments at different gestational stages</w:t>
            </w:r>
            <w:bookmarkEnd w:id="9"/>
            <w:bookmarkEnd w:id="10"/>
          </w:p>
        </w:tc>
        <w:tc>
          <w:tcPr>
            <w:tcW w:w="526" w:type="pct"/>
            <w:vAlign w:val="center"/>
          </w:tcPr>
          <w:p w14:paraId="39DBCA5D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vAlign w:val="center"/>
          </w:tcPr>
          <w:p w14:paraId="3FEF15E5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vAlign w:val="center"/>
          </w:tcPr>
          <w:p w14:paraId="5227D04D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4" w:type="pct"/>
            <w:vAlign w:val="center"/>
          </w:tcPr>
          <w:p w14:paraId="5C6EF935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24" w:type="pct"/>
            <w:vAlign w:val="center"/>
          </w:tcPr>
          <w:p w14:paraId="285B3AED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</w:tr>
      <w:tr w:rsidR="001E0B29" w:rsidRPr="00980CE6" w14:paraId="608EBDD0" w14:textId="77777777" w:rsidTr="00502184">
        <w:trPr>
          <w:trHeight w:val="907"/>
        </w:trPr>
        <w:tc>
          <w:tcPr>
            <w:tcW w:w="1186" w:type="pct"/>
            <w:tcBorders>
              <w:bottom w:val="single" w:sz="4" w:space="0" w:color="auto"/>
            </w:tcBorders>
            <w:vAlign w:val="center"/>
          </w:tcPr>
          <w:p w14:paraId="74B90D42" w14:textId="77777777" w:rsidR="001E0B29" w:rsidRPr="00980CE6" w:rsidRDefault="001E0B29" w:rsidP="00FD1571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en-GB" w:eastAsia="zh-CN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Adequacy of follow up of cohorts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vAlign w:val="center"/>
          </w:tcPr>
          <w:p w14:paraId="7A3E9E13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Complete follow-up, or subjects lost to follow-up unlikely to introduce bias (&gt;60% follow up, or description provided of those lost)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4F433DE8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61AAC29F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6EF949B1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6C8CF5C6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76BD8B1D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</w:tr>
      <w:tr w:rsidR="001E0B29" w:rsidRPr="00980CE6" w14:paraId="622D0F9A" w14:textId="77777777" w:rsidTr="00502184">
        <w:trPr>
          <w:trHeight w:hRule="exact" w:val="510"/>
        </w:trPr>
        <w:tc>
          <w:tcPr>
            <w:tcW w:w="237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4AC27" w14:textId="77777777" w:rsidR="001E0B29" w:rsidRPr="00980CE6" w:rsidRDefault="001E0B29" w:rsidP="0011022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980CE6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/>
              </w:rPr>
              <w:t>Overall quality score (maximum=9)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D3AF8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C1E06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8B588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  <w:t>6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8E4DD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0F6E8" w14:textId="77777777" w:rsidR="001E0B29" w:rsidRPr="00980CE6" w:rsidRDefault="001E0B29" w:rsidP="00FD157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</w:pPr>
            <w:r w:rsidRPr="00980CE6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  <w:t>6</w:t>
            </w:r>
          </w:p>
        </w:tc>
      </w:tr>
      <w:tr w:rsidR="00FD1571" w:rsidRPr="008117E9" w14:paraId="56EDEFC9" w14:textId="77777777" w:rsidTr="00FD1571">
        <w:trPr>
          <w:trHeight w:val="567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C614E" w14:textId="0BA7D0A2" w:rsidR="00FD1571" w:rsidRPr="00F74D25" w:rsidRDefault="00FD1571" w:rsidP="00F10330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  <w:r w:rsidRPr="000768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Studies of </w:t>
            </w:r>
            <w:r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Haeri, </w:t>
            </w:r>
            <w:r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>et al.,,</w:t>
            </w:r>
            <w:r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 2013, and Osborne et al., 2018 </w:t>
            </w:r>
            <w:r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>were</w:t>
            </w:r>
            <w:r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 classified by the authors as case-control. 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However, after assessment, we judged that the studies should not be assessed as a clas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sical case-control studies, 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but should be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ass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essed using the criteria of 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cohort studies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.</w:t>
            </w:r>
            <w:r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 Haeri, Baker, and Ruano</w:t>
            </w:r>
            <w:r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>,</w:t>
            </w:r>
            <w:r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 2013</w:t>
            </w:r>
            <w:r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. 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compared women with major depressive disorder diagnosis at any time during pregnancy with controls without clinically relevant depressive symtpoms in early pregnancy (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control group was not assessed for depression at any later stage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during pregnancy)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. Moreover, in this study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inflammatory biomarkers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were assessed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before, at the time of or after the case-control stat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us definition. In the Osborne et al., 2018,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the cases comprised 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49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women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with major depressive disorder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. However,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18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of the cases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did not meet the diagnostic criteria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for major depressive disorder</w:t>
            </w:r>
            <w:r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when assessed during pregnancy</w:t>
            </w:r>
            <w:r w:rsidRPr="0007682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>.</w:t>
            </w:r>
            <w:r w:rsidR="00F74D25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Note.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>Q</w:t>
            </w:r>
            <w:r w:rsidRPr="0007682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>uality of evidence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 according to the NOS-criteria</w:t>
            </w:r>
            <w:r w:rsidRPr="0007682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 </w:t>
            </w:r>
            <w:r w:rsidR="00F1033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for cohort studies </w:t>
            </w:r>
            <w:r w:rsidR="00F1033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fldChar w:fldCharType="begin"/>
            </w:r>
            <w:r w:rsidR="00F1033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instrText xml:space="preserve"> ADDIN EN.CITE &lt;EndNote&gt;&lt;Cite&gt;&lt;Author&gt;Wells&lt;/Author&gt;&lt;Year&gt;2014&lt;/Year&gt;&lt;RecNum&gt;671&lt;/RecNum&gt;&lt;DisplayText&gt;(Wells&lt;style face="italic"&gt; et al.&lt;/style&gt;, 2014a, b)&lt;/DisplayText&gt;&lt;record&gt;&lt;rec-number&gt;671&lt;/rec-number&gt;&lt;foreign-keys&gt;&lt;key app="EN" db-id="tr2sap95ms92erep5fyvdr9krvfr5v5z5vdw" timestamp="1562155734"&gt;671&lt;/key&gt;&lt;/foreign-keys&gt;&lt;ref-type name="Web Page"&gt;12&lt;/ref-type&gt;&lt;contributors&gt;&lt;authors&gt;&lt;author&gt;Wells, GA, &lt;/author&gt;&lt;author&gt;Shea, B &lt;/author&gt;&lt;author&gt;O’Connell, D. &lt;/author&gt;&lt;author&gt;Peterson, J&lt;/author&gt;&lt;author&gt;Welch, V&lt;/author&gt;&lt;author&gt;Losos, M&lt;/author&gt;&lt;author&gt;Tugwell, P&lt;/author&gt;&lt;/authors&gt;&lt;/contributors&gt;&lt;titles&gt;&lt;title&gt;Newcastle-Ottawa quality assessment form for cohort studies. E17–E18&lt;/title&gt;&lt;/titles&gt;&lt;volume&gt;2019&lt;/volume&gt;&lt;number&gt;10 June&lt;/number&gt;&lt;dates&gt;&lt;year&gt;2014&lt;/year&gt;&lt;/dates&gt;&lt;pub-location&gt;http://www.ncbi.nlm.nih.gov/books/NBK115843/bin/appe-fm3.pdf &lt;/pub-location&gt;&lt;urls&gt;&lt;/urls&gt;&lt;/record&gt;&lt;/Cite&gt;&lt;Cite&gt;&lt;Author&gt;Wells&lt;/Author&gt;&lt;Year&gt;2014&lt;/Year&gt;&lt;RecNum&gt;672&lt;/RecNum&gt;&lt;record&gt;&lt;rec-number&gt;672&lt;/rec-number&gt;&lt;foreign-keys&gt;&lt;key app="EN" db-id="tr2sap95ms92erep5fyvdr9krvfr5v5z5vdw" timestamp="1562157979"&gt;672&lt;/key&gt;&lt;/foreign-keys&gt;&lt;ref-type name="Web Page"&gt;12&lt;/ref-type&gt;&lt;contributors&gt;&lt;authors&gt;&lt;author&gt;Wells, GA, &lt;/author&gt;&lt;author&gt;Shea, B &lt;/author&gt;&lt;author&gt;O’Connell, D. &lt;/author&gt;&lt;author&gt;Peterson, J&lt;/author&gt;&lt;author&gt;Welch, V&lt;/author&gt;&lt;author&gt;Losos, M&lt;/author&gt;&lt;author&gt;Tugwell, P&lt;/author&gt;&lt;/authors&gt;&lt;/contributors&gt;&lt;titles&gt;&lt;title&gt;The Newcastle-Ottawa Scale (NOS) for assessing the quality of nonrandomised studies in meta-analyses&lt;/title&gt;&lt;/titles&gt;&lt;dates&gt;&lt;year&gt;2014&lt;/year&gt;&lt;/dates&gt;&lt;pub-location&gt;http://www.ohri.ca/programs/clinical_epidemiology/oxford.asp&lt;/pub-location&gt;&lt;urls&gt;&lt;/urls&gt;&lt;/record&gt;&lt;/Cite&gt;&lt;/EndNote&gt;</w:instrText>
            </w:r>
            <w:r w:rsidR="00F1033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fldChar w:fldCharType="separate"/>
            </w:r>
            <w:r w:rsidR="00F10330">
              <w:rPr>
                <w:rFonts w:ascii="Times New Roman" w:eastAsia="SimSun" w:hAnsi="Times New Roman" w:cs="Times New Roman"/>
                <w:noProof/>
                <w:sz w:val="18"/>
                <w:szCs w:val="18"/>
                <w:lang w:val="nl-NL"/>
              </w:rPr>
              <w:t>(Wells</w:t>
            </w:r>
            <w:r w:rsidR="00F10330" w:rsidRPr="00F10330">
              <w:rPr>
                <w:rFonts w:ascii="Times New Roman" w:eastAsia="SimSun" w:hAnsi="Times New Roman" w:cs="Times New Roman"/>
                <w:i/>
                <w:noProof/>
                <w:sz w:val="18"/>
                <w:szCs w:val="18"/>
                <w:lang w:val="nl-NL"/>
              </w:rPr>
              <w:t xml:space="preserve"> et al.</w:t>
            </w:r>
            <w:r w:rsidR="00F10330">
              <w:rPr>
                <w:rFonts w:ascii="Times New Roman" w:eastAsia="SimSun" w:hAnsi="Times New Roman" w:cs="Times New Roman"/>
                <w:noProof/>
                <w:sz w:val="18"/>
                <w:szCs w:val="18"/>
                <w:lang w:val="nl-NL"/>
              </w:rPr>
              <w:t>, 2014a, b)</w:t>
            </w:r>
            <w:r w:rsidR="00F1033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fldChar w:fldCharType="end"/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 </w:t>
            </w:r>
            <w:r w:rsidRPr="0007682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were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>reviewed</w:t>
            </w:r>
            <w:r w:rsidRPr="0007682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 independently by Rachel Robinson and by Marius Lahti-Pulkkinen an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d Polina Girchenko. In cases of </w:t>
            </w:r>
            <w:r w:rsidRPr="0007682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>disagreement, they were discussed and agreed upon by consensus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>.</w:t>
            </w:r>
          </w:p>
        </w:tc>
      </w:tr>
    </w:tbl>
    <w:p w14:paraId="0114D501" w14:textId="77777777" w:rsidR="001E0B29" w:rsidRPr="00980CE6" w:rsidRDefault="001E0B29" w:rsidP="001E0B29">
      <w:pPr>
        <w:spacing w:after="0" w:line="240" w:lineRule="auto"/>
        <w:rPr>
          <w:rFonts w:ascii="Times New Roman" w:eastAsia="SimSun" w:hAnsi="Times New Roman" w:cs="Times New Roman"/>
          <w:color w:val="000000"/>
          <w:shd w:val="clear" w:color="auto" w:fill="FFFFFF"/>
          <w:lang w:val="nl-NL"/>
        </w:rPr>
      </w:pPr>
    </w:p>
    <w:p w14:paraId="0220125F" w14:textId="688676A6" w:rsidR="008117E9" w:rsidRDefault="00BD70AF">
      <w:pPr>
        <w:rPr>
          <w:b/>
          <w:caps/>
          <w:lang w:val="en-US"/>
        </w:rPr>
      </w:pPr>
      <w:r w:rsidRPr="00BD70AF">
        <w:rPr>
          <w:b/>
          <w:caps/>
          <w:lang w:val="en-US"/>
        </w:rPr>
        <w:t>References</w:t>
      </w:r>
    </w:p>
    <w:p w14:paraId="34210002" w14:textId="77777777" w:rsidR="008117E9" w:rsidRPr="008117E9" w:rsidRDefault="008117E9" w:rsidP="008117E9">
      <w:pPr>
        <w:pStyle w:val="EndNoteBibliography"/>
        <w:framePr w:hSpace="0" w:wrap="auto" w:vAnchor="margin" w:yAlign="inline"/>
        <w:spacing w:after="0"/>
        <w:suppressOverlap w:val="0"/>
      </w:pPr>
      <w:r w:rsidRPr="00055212">
        <w:rPr>
          <w:b/>
        </w:rPr>
        <w:t xml:space="preserve">Azar, R. &amp; Mercer, D. </w:t>
      </w:r>
      <w:r w:rsidRPr="00055212">
        <w:t>(2013). Mild depressive symptoms are associated with elevated C-reactive protein and proinflammatory c</w:t>
      </w:r>
      <w:r w:rsidRPr="00F04A1D">
        <w:t xml:space="preserve">ytokine levels during early to midgestation: a prospective pilot study. </w:t>
      </w:r>
      <w:r w:rsidRPr="00055212">
        <w:rPr>
          <w:i/>
        </w:rPr>
        <w:t>Journal of Women'</w:t>
      </w:r>
      <w:r>
        <w:rPr>
          <w:i/>
        </w:rPr>
        <w:t>s Health,</w:t>
      </w:r>
      <w:r w:rsidRPr="00055212">
        <w:t xml:space="preserve"> </w:t>
      </w:r>
      <w:r w:rsidRPr="00055212">
        <w:rPr>
          <w:b/>
        </w:rPr>
        <w:t>22</w:t>
      </w:r>
      <w:r w:rsidRPr="00055212">
        <w:t>, 385-</w:t>
      </w:r>
      <w:r>
        <w:t>38</w:t>
      </w:r>
      <w:r w:rsidRPr="00055212">
        <w:t>9.</w:t>
      </w:r>
    </w:p>
    <w:p w14:paraId="710A2537" w14:textId="77777777" w:rsidR="008117E9" w:rsidRDefault="008117E9" w:rsidP="008117E9">
      <w:pPr>
        <w:pStyle w:val="EndNoteBibliography"/>
        <w:framePr w:hSpace="0" w:wrap="auto" w:vAnchor="margin" w:yAlign="inline"/>
        <w:spacing w:after="0"/>
        <w:suppressOverlap w:val="0"/>
      </w:pPr>
      <w:r w:rsidRPr="00F04A1D">
        <w:rPr>
          <w:b/>
        </w:rPr>
        <w:t xml:space="preserve">Blackmore, E. R., Moynihan, J. A., Rubinow, D. R., Pressman, E. K., Gilchrist, M. &amp; O'Connor, T. G. </w:t>
      </w:r>
      <w:r w:rsidRPr="00F04A1D">
        <w:t xml:space="preserve">(2011). Psychiatric symptoms and proinflammatory cytokines in pregnancy. </w:t>
      </w:r>
      <w:r w:rsidRPr="00F04A1D">
        <w:rPr>
          <w:i/>
        </w:rPr>
        <w:t>Psychosomatic Medicine,</w:t>
      </w:r>
      <w:r w:rsidRPr="00F04A1D">
        <w:t xml:space="preserve"> </w:t>
      </w:r>
      <w:r w:rsidRPr="00F04A1D">
        <w:rPr>
          <w:b/>
        </w:rPr>
        <w:t>73</w:t>
      </w:r>
      <w:r w:rsidRPr="00F04A1D">
        <w:t>, 656-663.</w:t>
      </w:r>
    </w:p>
    <w:p w14:paraId="2D429CAD" w14:textId="77777777" w:rsidR="008117E9" w:rsidRPr="00EC7DDF" w:rsidRDefault="008117E9" w:rsidP="008117E9">
      <w:pPr>
        <w:pStyle w:val="EndNoteBibliography"/>
        <w:framePr w:hSpace="0" w:wrap="auto" w:vAnchor="margin" w:yAlign="inline"/>
        <w:spacing w:after="0"/>
        <w:suppressOverlap w:val="0"/>
      </w:pPr>
      <w:r w:rsidRPr="008117E9">
        <w:rPr>
          <w:b/>
        </w:rPr>
        <w:t xml:space="preserve">Gustafsson, H. C., Sullivan, E. L., Nousen, E. K., Sullivan, C. A., Huang, E., Rincon, M., Nigg, J. T. &amp; Loftis, J. M. </w:t>
      </w:r>
      <w:r w:rsidRPr="008117E9">
        <w:t xml:space="preserve">(2018). </w:t>
      </w:r>
      <w:r w:rsidRPr="00EC7DDF">
        <w:t xml:space="preserve">Maternal prenatal depression predicts infant negative affect via maternal inflammatory cytokine levels. </w:t>
      </w:r>
      <w:r w:rsidRPr="00EC7DDF">
        <w:rPr>
          <w:i/>
        </w:rPr>
        <w:t>Brain, Behavior, and Immunity,</w:t>
      </w:r>
      <w:r w:rsidRPr="00EC7DDF">
        <w:t xml:space="preserve"> </w:t>
      </w:r>
      <w:r w:rsidRPr="00EC7DDF">
        <w:rPr>
          <w:b/>
        </w:rPr>
        <w:t>73</w:t>
      </w:r>
      <w:r w:rsidRPr="00EC7DDF">
        <w:t>, 470-481.</w:t>
      </w:r>
    </w:p>
    <w:p w14:paraId="6F816FB0" w14:textId="77777777" w:rsidR="008117E9" w:rsidRPr="00F04A1D" w:rsidRDefault="008117E9" w:rsidP="008117E9">
      <w:pPr>
        <w:pStyle w:val="EndNoteBibliography"/>
        <w:framePr w:hSpace="0" w:wrap="auto" w:vAnchor="margin" w:yAlign="inline"/>
        <w:spacing w:after="0"/>
        <w:suppressOverlap w:val="0"/>
      </w:pPr>
      <w:r w:rsidRPr="00F04A1D">
        <w:rPr>
          <w:b/>
        </w:rPr>
        <w:t xml:space="preserve">Osborne, S., Biaggi, A., Chua, T. E., Du Preez, A., Hazelgrove, K., Nikkheslat, N., Previti, G., Zunszain, P. A., Conroy, S. &amp; Pariante, C. M. </w:t>
      </w:r>
      <w:r w:rsidRPr="00F04A1D">
        <w:t xml:space="preserve">(2018). Antenatal depression programs cortisol stress reactivity in offspring through increased maternal inflammation and cortisol in pregnancy: The Psychiatry Research and Motherhood - Depression (PRAM-D) Study. </w:t>
      </w:r>
      <w:r w:rsidRPr="00F04A1D">
        <w:rPr>
          <w:i/>
        </w:rPr>
        <w:t xml:space="preserve">Psychoneuroendocrinology, </w:t>
      </w:r>
      <w:r w:rsidRPr="00F04A1D">
        <w:rPr>
          <w:b/>
        </w:rPr>
        <w:t>98,</w:t>
      </w:r>
      <w:r w:rsidRPr="00F04A1D">
        <w:t xml:space="preserve"> 211-236.</w:t>
      </w:r>
    </w:p>
    <w:p w14:paraId="53A6A0C8" w14:textId="77777777" w:rsidR="008117E9" w:rsidRDefault="008117E9" w:rsidP="008117E9">
      <w:pPr>
        <w:pStyle w:val="EndNoteBibliography"/>
        <w:framePr w:hSpace="0" w:wrap="auto" w:vAnchor="margin" w:yAlign="inline"/>
        <w:spacing w:after="0"/>
        <w:suppressOverlap w:val="0"/>
      </w:pPr>
      <w:r w:rsidRPr="008117E9">
        <w:rPr>
          <w:b/>
        </w:rPr>
        <w:t xml:space="preserve">Haeri, S., Baker, A. M. &amp; Ruano, R. </w:t>
      </w:r>
      <w:r w:rsidRPr="008117E9">
        <w:t xml:space="preserve">(2013). </w:t>
      </w:r>
      <w:r w:rsidRPr="00EC7DDF">
        <w:t xml:space="preserve">Do pregnant women with depression have a pro-inflammatory profile? </w:t>
      </w:r>
      <w:r w:rsidRPr="00EC7DDF">
        <w:rPr>
          <w:rStyle w:val="Emphasis"/>
        </w:rPr>
        <w:t>Journal</w:t>
      </w:r>
      <w:r w:rsidRPr="00EC7DDF">
        <w:rPr>
          <w:rStyle w:val="st"/>
        </w:rPr>
        <w:t xml:space="preserve"> of </w:t>
      </w:r>
      <w:r w:rsidRPr="00EC7DDF">
        <w:rPr>
          <w:rStyle w:val="Emphasis"/>
        </w:rPr>
        <w:t>Obstetrics</w:t>
      </w:r>
      <w:r w:rsidRPr="00EC7DDF">
        <w:rPr>
          <w:rStyle w:val="st"/>
        </w:rPr>
        <w:t xml:space="preserve"> and </w:t>
      </w:r>
      <w:r w:rsidRPr="00EC7DDF">
        <w:rPr>
          <w:rStyle w:val="Emphasis"/>
        </w:rPr>
        <w:t>Gynaecology</w:t>
      </w:r>
      <w:r w:rsidRPr="00EC7DDF">
        <w:rPr>
          <w:rStyle w:val="st"/>
        </w:rPr>
        <w:t xml:space="preserve"> Research,</w:t>
      </w:r>
      <w:r w:rsidRPr="00EC7DDF">
        <w:t xml:space="preserve"> </w:t>
      </w:r>
      <w:r w:rsidRPr="00EC7DDF">
        <w:rPr>
          <w:b/>
        </w:rPr>
        <w:t>39</w:t>
      </w:r>
      <w:r w:rsidRPr="00EC7DDF">
        <w:t>, 948-952.</w:t>
      </w:r>
    </w:p>
    <w:p w14:paraId="3A72FD96" w14:textId="77777777" w:rsidR="008117E9" w:rsidRPr="008117E9" w:rsidRDefault="008117E9" w:rsidP="008117E9">
      <w:pPr>
        <w:pStyle w:val="EndNoteBibliography"/>
        <w:framePr w:hSpace="0" w:wrap="auto" w:vAnchor="margin" w:yAlign="inline"/>
        <w:spacing w:after="0"/>
        <w:suppressOverlap w:val="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8117E9">
        <w:rPr>
          <w:b/>
        </w:rPr>
        <w:t xml:space="preserve">Wells, G., Shea, B., O’Connell, D., Peterson, J., Welch, V., Losos, M. &amp; Tugwell, P. </w:t>
      </w:r>
      <w:r w:rsidRPr="008117E9">
        <w:t xml:space="preserve">(2014a). Newcastle-Ottawa quality assessment form for cohort studies. E17–E18. </w:t>
      </w:r>
      <w:hyperlink r:id="rId4" w:history="1">
        <w:r w:rsidRPr="008117E9">
          <w:rPr>
            <w:rStyle w:val="Hyperlink"/>
          </w:rPr>
          <w:t>http://www.ncbi.nlm.nih.gov/books/NBK115843/bin/appe-fm3.pdf</w:t>
        </w:r>
      </w:hyperlink>
      <w:r w:rsidRPr="008117E9">
        <w:t xml:space="preserve"> </w:t>
      </w:r>
    </w:p>
    <w:p w14:paraId="687730AB" w14:textId="77777777" w:rsidR="008117E9" w:rsidRPr="008117E9" w:rsidRDefault="008117E9" w:rsidP="008117E9">
      <w:pPr>
        <w:pStyle w:val="EndNoteBibliography"/>
        <w:framePr w:hSpace="0" w:wrap="auto" w:vAnchor="margin" w:yAlign="inline"/>
        <w:spacing w:after="0"/>
        <w:suppressOverlap w:val="0"/>
      </w:pPr>
      <w:r w:rsidRPr="008117E9">
        <w:rPr>
          <w:b/>
        </w:rPr>
        <w:t xml:space="preserve">Wells, G., Shea, B., O’Connell, D., Peterson, J., Welch, V., Losos, M. &amp; Tugwell, P. </w:t>
      </w:r>
      <w:r w:rsidRPr="008117E9">
        <w:t xml:space="preserve">(2014b). The Newcastle-Ottawa Scale (NOS) for assessing the quality of nonrandomised studies in meta-analyses. </w:t>
      </w:r>
      <w:hyperlink r:id="rId5" w:history="1">
        <w:r w:rsidRPr="008117E9">
          <w:rPr>
            <w:rStyle w:val="Hyperlink"/>
          </w:rPr>
          <w:t>http://www.ohri.ca/programs/clinical_epidemiology/oxford.asp</w:t>
        </w:r>
      </w:hyperlink>
      <w:r w:rsidRPr="008117E9">
        <w:t>.</w:t>
      </w:r>
    </w:p>
    <w:p w14:paraId="2C41848A" w14:textId="6419E3FE" w:rsidR="008117E9" w:rsidRPr="008F7F46" w:rsidRDefault="008117E9" w:rsidP="008117E9">
      <w:pPr>
        <w:pStyle w:val="EndNoteBibliography"/>
        <w:framePr w:hSpace="0" w:wrap="auto" w:vAnchor="margin" w:yAlign="inline"/>
        <w:spacing w:after="0"/>
        <w:suppressOverlap w:val="0"/>
      </w:pPr>
      <w:r>
        <w:fldChar w:fldCharType="end"/>
      </w:r>
      <w:bookmarkStart w:id="11" w:name="_GoBack"/>
      <w:bookmarkEnd w:id="11"/>
    </w:p>
    <w:sectPr w:rsidR="008117E9" w:rsidRPr="008F7F46" w:rsidSect="008117E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sychological 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421F8B"/>
    <w:rsid w:val="000105F4"/>
    <w:rsid w:val="0006331F"/>
    <w:rsid w:val="00075707"/>
    <w:rsid w:val="00076820"/>
    <w:rsid w:val="000C60C9"/>
    <w:rsid w:val="000D4B63"/>
    <w:rsid w:val="000F5C63"/>
    <w:rsid w:val="001100E4"/>
    <w:rsid w:val="00110227"/>
    <w:rsid w:val="0011666F"/>
    <w:rsid w:val="001538EA"/>
    <w:rsid w:val="001573C4"/>
    <w:rsid w:val="00173CCC"/>
    <w:rsid w:val="001B4141"/>
    <w:rsid w:val="001B5C26"/>
    <w:rsid w:val="001E0B29"/>
    <w:rsid w:val="001F5242"/>
    <w:rsid w:val="002101F1"/>
    <w:rsid w:val="002120CD"/>
    <w:rsid w:val="002431E9"/>
    <w:rsid w:val="00253EF7"/>
    <w:rsid w:val="00266753"/>
    <w:rsid w:val="00291AC3"/>
    <w:rsid w:val="002C6BB2"/>
    <w:rsid w:val="00300E98"/>
    <w:rsid w:val="00305883"/>
    <w:rsid w:val="003134EB"/>
    <w:rsid w:val="003200F6"/>
    <w:rsid w:val="00334A9F"/>
    <w:rsid w:val="00337C1F"/>
    <w:rsid w:val="00345375"/>
    <w:rsid w:val="00357969"/>
    <w:rsid w:val="00385A40"/>
    <w:rsid w:val="003B6D5B"/>
    <w:rsid w:val="003C0F5F"/>
    <w:rsid w:val="00421F8B"/>
    <w:rsid w:val="0044587F"/>
    <w:rsid w:val="004536B2"/>
    <w:rsid w:val="0046414C"/>
    <w:rsid w:val="0049597A"/>
    <w:rsid w:val="004A13C9"/>
    <w:rsid w:val="004A26E2"/>
    <w:rsid w:val="00500E52"/>
    <w:rsid w:val="00502184"/>
    <w:rsid w:val="00593892"/>
    <w:rsid w:val="006D2341"/>
    <w:rsid w:val="006E1511"/>
    <w:rsid w:val="00780CF6"/>
    <w:rsid w:val="007B28A7"/>
    <w:rsid w:val="008117E9"/>
    <w:rsid w:val="008403A9"/>
    <w:rsid w:val="00880A0D"/>
    <w:rsid w:val="008C5DE2"/>
    <w:rsid w:val="008D61C6"/>
    <w:rsid w:val="008F7F46"/>
    <w:rsid w:val="009478B7"/>
    <w:rsid w:val="00990071"/>
    <w:rsid w:val="009A442B"/>
    <w:rsid w:val="009B27A4"/>
    <w:rsid w:val="009F00BB"/>
    <w:rsid w:val="00A477E1"/>
    <w:rsid w:val="00A53352"/>
    <w:rsid w:val="00AC078D"/>
    <w:rsid w:val="00B022EE"/>
    <w:rsid w:val="00B53BAB"/>
    <w:rsid w:val="00B90B45"/>
    <w:rsid w:val="00B91805"/>
    <w:rsid w:val="00BA24F7"/>
    <w:rsid w:val="00BD70AF"/>
    <w:rsid w:val="00C445A1"/>
    <w:rsid w:val="00C76EFB"/>
    <w:rsid w:val="00CA7A4F"/>
    <w:rsid w:val="00CB0E30"/>
    <w:rsid w:val="00CC2D0F"/>
    <w:rsid w:val="00CE2C41"/>
    <w:rsid w:val="00CF3C77"/>
    <w:rsid w:val="00CF6EC9"/>
    <w:rsid w:val="00D50569"/>
    <w:rsid w:val="00D54C68"/>
    <w:rsid w:val="00D6351D"/>
    <w:rsid w:val="00D644EF"/>
    <w:rsid w:val="00D7388F"/>
    <w:rsid w:val="00DF5E4F"/>
    <w:rsid w:val="00E029A7"/>
    <w:rsid w:val="00E12CEE"/>
    <w:rsid w:val="00E73072"/>
    <w:rsid w:val="00EE625A"/>
    <w:rsid w:val="00EF3D76"/>
    <w:rsid w:val="00F10330"/>
    <w:rsid w:val="00F542C1"/>
    <w:rsid w:val="00F74D25"/>
    <w:rsid w:val="00FD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9439"/>
  <w15:chartTrackingRefBased/>
  <w15:docId w15:val="{7EC0A102-F9DD-4FBF-A172-A4442A27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291AC3"/>
  </w:style>
  <w:style w:type="paragraph" w:customStyle="1" w:styleId="EndNoteBibliographyTitle">
    <w:name w:val="EndNote Bibliography Title"/>
    <w:basedOn w:val="Normal"/>
    <w:link w:val="EndNoteBibliographyTitleChar"/>
    <w:rsid w:val="003200F6"/>
    <w:pPr>
      <w:framePr w:hSpace="141" w:wrap="around" w:vAnchor="text" w:hAnchor="text" w:y="1"/>
      <w:spacing w:after="0"/>
      <w:suppressOverlap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200F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200F6"/>
    <w:pPr>
      <w:framePr w:hSpace="141" w:wrap="around" w:vAnchor="text" w:hAnchor="text" w:y="1"/>
      <w:spacing w:line="240" w:lineRule="auto"/>
      <w:suppressOverlap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200F6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0F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10330"/>
    <w:rPr>
      <w:color w:val="0563C1" w:themeColor="hyperlink"/>
      <w:u w:val="single"/>
    </w:rPr>
  </w:style>
  <w:style w:type="table" w:styleId="TableGridLight">
    <w:name w:val="Grid Table Light"/>
    <w:basedOn w:val="TableNormal"/>
    <w:uiPriority w:val="40"/>
    <w:rsid w:val="001B5C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12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C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C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C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CEE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53E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hri.ca/programs/clinical_epidemiology/oxford.asp" TargetMode="External"/><Relationship Id="rId4" Type="http://schemas.openxmlformats.org/officeDocument/2006/relationships/hyperlink" Target="http://www.ncbi.nlm.nih.gov/books/NBK115843/bin/appe-fm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701</Words>
  <Characters>5681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6370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Räikkönen, Katri</dc:creator>
  <cp:keywords/>
  <dc:description/>
  <cp:lastModifiedBy>Lahti, Marius</cp:lastModifiedBy>
  <cp:revision>4</cp:revision>
  <dcterms:created xsi:type="dcterms:W3CDTF">2019-07-05T14:21:00Z</dcterms:created>
  <dcterms:modified xsi:type="dcterms:W3CDTF">2019-07-05T14:40:00Z</dcterms:modified>
</cp:coreProperties>
</file>