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9B" w:rsidRPr="00D97FC3" w:rsidRDefault="00925C9B" w:rsidP="00925C9B">
      <w:pPr>
        <w:spacing w:after="0" w:line="240" w:lineRule="auto"/>
        <w:rPr>
          <w:rFonts w:ascii="Times New Roman" w:eastAsia="SimSun" w:hAnsi="Times New Roman" w:cs="Times New Roman"/>
          <w:sz w:val="21"/>
          <w:szCs w:val="21"/>
          <w:lang w:val="en-GB" w:eastAsia="zh-CN"/>
        </w:rPr>
      </w:pPr>
    </w:p>
    <w:tbl>
      <w:tblPr>
        <w:tblpPr w:leftFromText="180" w:rightFromText="180" w:vertAnchor="text" w:horzAnchor="margin" w:tblpY="128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678"/>
        <w:gridCol w:w="1559"/>
        <w:gridCol w:w="1559"/>
        <w:gridCol w:w="1559"/>
        <w:gridCol w:w="1559"/>
        <w:gridCol w:w="1559"/>
      </w:tblGrid>
      <w:tr w:rsidR="00925C9B" w:rsidRPr="00DE1381" w:rsidTr="00D97FC3">
        <w:trPr>
          <w:trHeight w:hRule="exact" w:val="567"/>
        </w:trPr>
        <w:tc>
          <w:tcPr>
            <w:tcW w:w="5000" w:type="pct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925C9B" w:rsidRPr="00D97FC3" w:rsidRDefault="00925C9B" w:rsidP="00D97FC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en-GB"/>
              </w:rPr>
              <w:t xml:space="preserve">Table </w:t>
            </w: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en-GB" w:eastAsia="zh-CN"/>
              </w:rPr>
              <w:t xml:space="preserve">ST2. 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 xml:space="preserve">Newcastle–Ottawa scale for assessment of quality of cross-sectional studies (each asterisk represents if individual criterion within the subsection 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  <w:t xml:space="preserve">was 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fulfilled)</w:t>
            </w:r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testing associations between depression and inflammation during pregnancy.</w:t>
            </w:r>
          </w:p>
        </w:tc>
      </w:tr>
      <w:tr w:rsidR="00925C9B" w:rsidRPr="00D97FC3" w:rsidTr="00D97FC3">
        <w:trPr>
          <w:trHeight w:hRule="exact" w:val="737"/>
        </w:trPr>
        <w:tc>
          <w:tcPr>
            <w:tcW w:w="10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Quality assessment criteria</w:t>
            </w:r>
          </w:p>
        </w:tc>
        <w:tc>
          <w:tcPr>
            <w:tcW w:w="15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Acceptable(</w:t>
            </w: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)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Scrandis et al., 2008*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Christian et al., 2009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Cassidy-Bushrow et al., 2012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Cheng and Pickler, 2014*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Simpson et al., 2016*</w:t>
            </w:r>
          </w:p>
        </w:tc>
      </w:tr>
      <w:tr w:rsidR="00925C9B" w:rsidRPr="00D97FC3" w:rsidTr="00D97FC3">
        <w:trPr>
          <w:trHeight w:hRule="exact" w:val="510"/>
        </w:trPr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/>
              </w:rPr>
              <w:t>Selection</w:t>
            </w:r>
          </w:p>
        </w:tc>
        <w:tc>
          <w:tcPr>
            <w:tcW w:w="15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</w:p>
        </w:tc>
      </w:tr>
      <w:tr w:rsidR="00925C9B" w:rsidRPr="00D97FC3" w:rsidTr="00D97FC3">
        <w:trPr>
          <w:trHeight w:hRule="exact" w:val="73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Representativeness of the sample?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Representative of average pregnant women, (age/being at risk of disease, generalizability, random or non-random sampling)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</w:tr>
      <w:tr w:rsidR="00925C9B" w:rsidRPr="00D97FC3" w:rsidTr="00D97FC3">
        <w:trPr>
          <w:trHeight w:hRule="exact"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Selected group of users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No inflammatory disease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925C9B" w:rsidRPr="00D97FC3" w:rsidTr="00D97FC3">
        <w:trPr>
          <w:trHeight w:hRule="exact"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Sample size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Justified and Satisfactory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</w:tr>
      <w:tr w:rsidR="00925C9B" w:rsidRPr="00D97FC3" w:rsidTr="00D97FC3">
        <w:trPr>
          <w:trHeight w:hRule="exact" w:val="73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Diagnose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 xml:space="preserve">Structured Interview Depression Diagnosis </w:t>
            </w: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★★</w:t>
            </w:r>
          </w:p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 xml:space="preserve">Health Record Diagnosis or Validated Symptom Scale </w:t>
            </w: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925C9B" w:rsidRPr="00D97FC3" w:rsidTr="00D97FC3">
        <w:trPr>
          <w:trHeight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b/>
                <w:bCs/>
                <w:sz w:val="21"/>
                <w:szCs w:val="21"/>
                <w:lang w:val="nl-NL"/>
              </w:rPr>
              <w:t>Comparability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highlight w:val="yellow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highlight w:val="yellow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highlight w:val="yellow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highlight w:val="yellow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highlight w:val="yellow"/>
                <w:lang w:val="nl-NL"/>
              </w:rPr>
            </w:pPr>
          </w:p>
        </w:tc>
      </w:tr>
      <w:tr w:rsidR="00925C9B" w:rsidRPr="00D97FC3" w:rsidTr="00D97FC3">
        <w:trPr>
          <w:trHeight w:hRule="exact"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D97FC3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 xml:space="preserve">Comparability of cohorts on the basis of </w:t>
            </w:r>
            <w:r w:rsid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 xml:space="preserve">the 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design or analysis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spacing w:after="0" w:line="240" w:lineRule="auto"/>
              <w:ind w:leftChars="-6" w:left="-13" w:firstLine="1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  <w:t>Study controls for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 xml:space="preserve"> body mass index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925C9B" w:rsidRPr="00D97FC3" w:rsidTr="00D97FC3">
        <w:trPr>
          <w:trHeight w:hRule="exact"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Study controls for additional risk factors?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spacing w:after="0" w:line="240" w:lineRule="auto"/>
              <w:ind w:leftChars="-6" w:left="-13" w:firstLine="1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Study Controls for hypertensive disorders  and/or diabetes disorders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</w:tr>
      <w:tr w:rsidR="00925C9B" w:rsidRPr="00D97FC3" w:rsidTr="00D97FC3">
        <w:trPr>
          <w:trHeight w:hRule="exact"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b/>
                <w:bCs/>
                <w:sz w:val="21"/>
                <w:szCs w:val="21"/>
                <w:lang w:val="nl-NL"/>
              </w:rPr>
              <w:t>Outcome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</w:p>
        </w:tc>
      </w:tr>
      <w:tr w:rsidR="00925C9B" w:rsidRPr="00D97FC3" w:rsidTr="00D97FC3">
        <w:trPr>
          <w:trHeight w:val="567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Assessment of the Method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Validated Inflamation Assessment</w:t>
            </w: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★★</w:t>
            </w:r>
          </w:p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Non-validated, clearly defined inflammation assessment</w:t>
            </w: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★★</w:t>
            </w:r>
          </w:p>
        </w:tc>
      </w:tr>
      <w:tr w:rsidR="00925C9B" w:rsidRPr="00D97FC3" w:rsidTr="00D97FC3">
        <w:trPr>
          <w:trHeight w:val="567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ind w:leftChars="85" w:left="187"/>
              <w:rPr>
                <w:rFonts w:ascii="Times New Roman" w:eastAsia="SimSun" w:hAnsi="Times New Roman" w:cs="Times New Roman"/>
                <w:sz w:val="21"/>
                <w:szCs w:val="21"/>
                <w:lang w:val="en-GB" w:eastAsia="zh-CN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en-GB"/>
              </w:rPr>
              <w:t>Statistical Test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The statistical assessment is clearly described, provides measurement error, confidence interval and probability level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Segoe UI Symbol" w:eastAsia="SimSun" w:hAnsi="Segoe UI Symbol" w:cs="Segoe UI Symbol"/>
                <w:sz w:val="21"/>
                <w:szCs w:val="21"/>
                <w:lang w:val="nl-NL"/>
              </w:rPr>
              <w:t>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-</w:t>
            </w:r>
          </w:p>
        </w:tc>
      </w:tr>
      <w:tr w:rsidR="00925C9B" w:rsidRPr="00D97FC3" w:rsidTr="00D97FC3">
        <w:trPr>
          <w:trHeight w:val="567"/>
        </w:trPr>
        <w:tc>
          <w:tcPr>
            <w:tcW w:w="2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/>
              </w:rPr>
              <w:t>Overall quality score (maximum= 10)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</w:pPr>
            <w:r w:rsidRPr="00D97FC3">
              <w:rPr>
                <w:rFonts w:ascii="Times New Roman" w:eastAsia="SimSun" w:hAnsi="Times New Roman" w:cs="Times New Roman"/>
                <w:b/>
                <w:sz w:val="21"/>
                <w:szCs w:val="21"/>
                <w:lang w:val="nl-NL" w:eastAsia="zh-CN"/>
              </w:rPr>
              <w:t>6</w:t>
            </w:r>
          </w:p>
        </w:tc>
      </w:tr>
      <w:tr w:rsidR="00925C9B" w:rsidRPr="00DE1381" w:rsidTr="00D97FC3">
        <w:trPr>
          <w:trHeight w:val="567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925C9B" w:rsidRPr="00D97FC3" w:rsidRDefault="00925C9B" w:rsidP="00F375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*</w:t>
            </w:r>
            <w:r w:rsidR="00FE4B4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Studies by</w:t>
            </w:r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Scrandis</w:t>
            </w:r>
            <w:proofErr w:type="spellEnd"/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al, 2008, Cheng and Pickler, 2014, and Simpson et al., 2016 were prospective in design. However, all studies had only one measurement during pregnancy (prospective measurements were postpartum) and reported cross-sectional correlations of depression and inflammation during pregnancy</w:t>
            </w:r>
            <w:r w:rsidR="00FE4B4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Thus</w:t>
            </w:r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</w:t>
            </w:r>
            <w:r w:rsidR="00FE4B4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we classified them</w:t>
            </w:r>
            <w:r w:rsid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as cross-sectional.</w:t>
            </w:r>
          </w:p>
          <w:p w:rsidR="00925C9B" w:rsidRPr="00D97FC3" w:rsidRDefault="00925C9B" w:rsidP="00F37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  <w:lang w:val="nl-NL"/>
              </w:rPr>
            </w:pPr>
            <w:r w:rsidRPr="00D97F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Note. 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Quality of evidence according to the NOS-criteria </w:t>
            </w:r>
            <w:r w:rsidR="00D97FC3"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>for cross-sectional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studies 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fldChar w:fldCharType="begin"/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instrText xml:space="preserve"> ADDIN EN.CITE &lt;EndNote&gt;&lt;Cite&gt;&lt;Author&gt;Wells&lt;/Author&gt;&lt;Year&gt;2014&lt;/Year&gt;&lt;RecNum&gt;671&lt;/RecNum&gt;&lt;DisplayText&gt;(Wells&lt;style face="italic"&gt; et al.&lt;/style&gt;, 2014a)&lt;/DisplayText&gt;&lt;record&gt;&lt;rec-number&gt;671&lt;/rec-number&gt;&lt;foreign-keys&gt;&lt;key app="EN" db-id="tr2sap95ms92erep5fyvdr9krvfr5v5z5vdw" timestamp="1562155734"&gt;671&lt;/key&gt;&lt;/foreign-keys&gt;&lt;ref-type name="Web Page"&gt;12&lt;/ref-type&gt;&lt;contributors&gt;&lt;authors&gt;&lt;author&gt;Wells, GA, &lt;/author&gt;&lt;author&gt;Shea, B &lt;/author&gt;&lt;author&gt;O’Connell, D. &lt;/author&gt;&lt;author&gt;Peterson, J&lt;/author&gt;&lt;author&gt;Welch, V&lt;/author&gt;&lt;author&gt;Losos, M&lt;/author&gt;&lt;author&gt;Tugwell, P&lt;/author&gt;&lt;/authors&gt;&lt;/contributors&gt;&lt;titles&gt;&lt;title&gt;Newcastle-Ottawa quality assessment form for cohort studies. E17–E18&lt;/title&gt;&lt;/titles&gt;&lt;volume&gt;2019&lt;/volume&gt;&lt;number&gt;10 June&lt;/number&gt;&lt;dates&gt;&lt;year&gt;2014&lt;/year&gt;&lt;/dates&gt;&lt;pub-location&gt;http://www.ncbi.nlm.nih.gov/books/NBK115843/bin/appe-fm3.pdf &lt;/pub-location&gt;&lt;urls&gt;&lt;/urls&gt;&lt;/record&gt;&lt;/Cite&gt;&lt;/EndNote&gt;</w:instrTex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fldChar w:fldCharType="separate"/>
            </w:r>
            <w:r w:rsidR="00D97FC3" w:rsidRPr="00D97FC3">
              <w:rPr>
                <w:rFonts w:ascii="Times New Roman" w:eastAsia="SimSun" w:hAnsi="Times New Roman" w:cs="Times New Roman"/>
                <w:noProof/>
                <w:sz w:val="21"/>
                <w:szCs w:val="21"/>
                <w:lang w:val="nl-NL"/>
              </w:rPr>
              <w:t>(Anthony and Lin, 2018; Herzog et al., 2013</w:t>
            </w:r>
            <w:r w:rsidRPr="00D97FC3">
              <w:rPr>
                <w:rFonts w:ascii="Times New Roman" w:eastAsia="SimSun" w:hAnsi="Times New Roman" w:cs="Times New Roman"/>
                <w:noProof/>
                <w:sz w:val="21"/>
                <w:szCs w:val="21"/>
                <w:lang w:val="nl-NL"/>
              </w:rPr>
              <w:t>)</w:t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fldChar w:fldCharType="end"/>
            </w:r>
            <w:r w:rsidRPr="00D97FC3">
              <w:rPr>
                <w:rFonts w:ascii="Times New Roman" w:eastAsia="SimSun" w:hAnsi="Times New Roman" w:cs="Times New Roman"/>
                <w:sz w:val="21"/>
                <w:szCs w:val="21"/>
                <w:lang w:val="nl-NL"/>
              </w:rPr>
              <w:t xml:space="preserve"> were reviewed independently by Rachel Robinson and by Marius Lahti-Pulkkinen and Polina Girchenko. In cases of disagreement, they were discussed and agreed upon by consensus.</w:t>
            </w:r>
          </w:p>
        </w:tc>
      </w:tr>
    </w:tbl>
    <w:p w:rsidR="00925C9B" w:rsidRPr="00BA3AD6" w:rsidRDefault="00925C9B" w:rsidP="00925C9B">
      <w:pPr>
        <w:rPr>
          <w:rFonts w:ascii="Times New Roman" w:hAnsi="Times New Roman" w:cs="Times New Roman"/>
          <w:b/>
          <w:caps/>
          <w:sz w:val="21"/>
          <w:szCs w:val="21"/>
          <w:lang w:val="en-US"/>
        </w:rPr>
      </w:pPr>
      <w:bookmarkStart w:id="0" w:name="_GoBack"/>
      <w:bookmarkEnd w:id="0"/>
      <w:r w:rsidRPr="00BA3AD6">
        <w:rPr>
          <w:rFonts w:ascii="Times New Roman" w:hAnsi="Times New Roman" w:cs="Times New Roman"/>
          <w:b/>
          <w:caps/>
          <w:sz w:val="21"/>
          <w:szCs w:val="21"/>
          <w:lang w:val="en-US"/>
        </w:rPr>
        <w:lastRenderedPageBreak/>
        <w:t>References</w:t>
      </w:r>
    </w:p>
    <w:p w:rsidR="00925C9B" w:rsidRPr="00DE1381" w:rsidRDefault="00DE1381" w:rsidP="00DE1381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DE1381">
        <w:rPr>
          <w:rFonts w:asciiTheme="minorHAnsi" w:hAnsiTheme="minorHAnsi"/>
          <w:b/>
        </w:rPr>
        <w:t xml:space="preserve">Azar, R. &amp; Mercer, D. </w:t>
      </w:r>
      <w:r w:rsidRPr="00DE1381">
        <w:rPr>
          <w:rFonts w:asciiTheme="minorHAnsi" w:hAnsiTheme="minorHAnsi"/>
        </w:rPr>
        <w:t xml:space="preserve">(2013). Mild depressive symptoms are associated with elevated C-reactive protein and proinflammatory cytokine levels during early to midgestation: a prospective pilot study. </w:t>
      </w:r>
      <w:r w:rsidRPr="00DE1381">
        <w:rPr>
          <w:rFonts w:asciiTheme="minorHAnsi" w:hAnsiTheme="minorHAnsi"/>
          <w:i/>
        </w:rPr>
        <w:t>Journal of Women's Health,</w:t>
      </w:r>
      <w:r w:rsidRPr="00DE1381">
        <w:rPr>
          <w:rFonts w:asciiTheme="minorHAnsi" w:hAnsiTheme="minorHAnsi"/>
        </w:rPr>
        <w:t xml:space="preserve"> </w:t>
      </w:r>
      <w:r w:rsidRPr="00DE1381">
        <w:rPr>
          <w:rFonts w:asciiTheme="minorHAnsi" w:hAnsiTheme="minorHAnsi"/>
          <w:b/>
        </w:rPr>
        <w:t>22</w:t>
      </w:r>
      <w:r w:rsidRPr="00DE1381">
        <w:rPr>
          <w:rFonts w:asciiTheme="minorHAnsi" w:hAnsiTheme="minorHAnsi"/>
        </w:rPr>
        <w:t>, 385-389.</w:t>
      </w:r>
      <w:r w:rsidR="00925C9B" w:rsidRPr="00DE1381">
        <w:rPr>
          <w:rFonts w:asciiTheme="minorHAnsi" w:hAnsiTheme="minorHAnsi" w:cs="Times New Roman"/>
          <w:lang w:val="fi-FI"/>
        </w:rPr>
        <w:fldChar w:fldCharType="begin"/>
      </w:r>
      <w:r w:rsidR="00925C9B" w:rsidRPr="00DE1381">
        <w:rPr>
          <w:rFonts w:asciiTheme="minorHAnsi" w:hAnsiTheme="minorHAnsi" w:cs="Times New Roman"/>
        </w:rPr>
        <w:instrText xml:space="preserve"> ADDIN EN.REFLIST </w:instrText>
      </w:r>
      <w:r w:rsidR="00925C9B" w:rsidRPr="00DE1381">
        <w:rPr>
          <w:rFonts w:asciiTheme="minorHAnsi" w:hAnsiTheme="minorHAnsi" w:cs="Times New Roman"/>
          <w:lang w:val="fi-FI"/>
        </w:rPr>
        <w:fldChar w:fldCharType="separate"/>
      </w:r>
    </w:p>
    <w:p w:rsidR="00925C9B" w:rsidRPr="00DE1381" w:rsidRDefault="00925C9B" w:rsidP="00DE1381">
      <w:pPr>
        <w:pStyle w:val="EndNoteBibliography"/>
        <w:framePr w:wrap="around"/>
        <w:spacing w:after="0"/>
        <w:rPr>
          <w:rFonts w:asciiTheme="minorHAnsi" w:hAnsiTheme="minorHAnsi" w:cs="Times New Roman"/>
        </w:rPr>
      </w:pPr>
      <w:r w:rsidRPr="00DE1381">
        <w:rPr>
          <w:rFonts w:asciiTheme="minorHAnsi" w:hAnsiTheme="minorHAnsi" w:cs="Times New Roman"/>
          <w:b/>
        </w:rPr>
        <w:t xml:space="preserve">Cassidy-Bushrow, A. E., Peters, R. M., Johnson, D. A. &amp; Templin, T. N. </w:t>
      </w:r>
      <w:r w:rsidRPr="00DE1381">
        <w:rPr>
          <w:rFonts w:asciiTheme="minorHAnsi" w:hAnsiTheme="minorHAnsi" w:cs="Times New Roman"/>
        </w:rPr>
        <w:t xml:space="preserve">(2012). Association of depressive symptoms with inflammatory biomarkers among pregnant African-American women. </w:t>
      </w:r>
      <w:r w:rsidRPr="00DE1381">
        <w:rPr>
          <w:rFonts w:asciiTheme="minorHAnsi" w:hAnsiTheme="minorHAnsi" w:cs="Times New Roman"/>
          <w:i/>
        </w:rPr>
        <w:t>Journal of Reproductive Immunology</w:t>
      </w:r>
      <w:r w:rsidRPr="00DE1381">
        <w:rPr>
          <w:rFonts w:asciiTheme="minorHAnsi" w:hAnsiTheme="minorHAnsi" w:cs="Times New Roman"/>
        </w:rPr>
        <w:t xml:space="preserve"> </w:t>
      </w:r>
      <w:r w:rsidRPr="00DE1381">
        <w:rPr>
          <w:rFonts w:asciiTheme="minorHAnsi" w:hAnsiTheme="minorHAnsi" w:cs="Times New Roman"/>
          <w:b/>
        </w:rPr>
        <w:t>94</w:t>
      </w:r>
      <w:r w:rsidRPr="00DE1381">
        <w:rPr>
          <w:rFonts w:asciiTheme="minorHAnsi" w:hAnsiTheme="minorHAnsi" w:cs="Times New Roman"/>
        </w:rPr>
        <w:t>, 202-209.</w:t>
      </w:r>
    </w:p>
    <w:p w:rsidR="00925C9B" w:rsidRPr="00DE1381" w:rsidRDefault="00925C9B" w:rsidP="00DE1381">
      <w:pPr>
        <w:pStyle w:val="EndNoteBibliography"/>
        <w:framePr w:wrap="around"/>
        <w:spacing w:after="0"/>
        <w:rPr>
          <w:rFonts w:asciiTheme="minorHAnsi" w:hAnsiTheme="minorHAnsi" w:cs="Times New Roman"/>
        </w:rPr>
      </w:pPr>
      <w:r w:rsidRPr="00DE1381">
        <w:rPr>
          <w:rFonts w:asciiTheme="minorHAnsi" w:hAnsiTheme="minorHAnsi" w:cs="Times New Roman"/>
          <w:b/>
        </w:rPr>
        <w:t xml:space="preserve">Cheng, C. Y. &amp; Pickler, R. H. </w:t>
      </w:r>
      <w:r w:rsidRPr="00DE1381">
        <w:rPr>
          <w:rFonts w:asciiTheme="minorHAnsi" w:hAnsiTheme="minorHAnsi" w:cs="Times New Roman"/>
        </w:rPr>
        <w:t xml:space="preserve">(2014). Perinatal stress, fatigue, depressive symptoms, and immune modulation in late pregnancy and one month postpartum. </w:t>
      </w:r>
      <w:r w:rsidRPr="00DE1381">
        <w:rPr>
          <w:rFonts w:asciiTheme="minorHAnsi" w:hAnsiTheme="minorHAnsi" w:cs="Times New Roman"/>
          <w:i/>
        </w:rPr>
        <w:t>ScientificWorldJournal</w:t>
      </w:r>
      <w:r w:rsidRPr="00DE1381">
        <w:rPr>
          <w:rFonts w:asciiTheme="minorHAnsi" w:hAnsiTheme="minorHAnsi" w:cs="Times New Roman"/>
        </w:rPr>
        <w:t xml:space="preserve"> </w:t>
      </w:r>
      <w:r w:rsidRPr="00DE1381">
        <w:rPr>
          <w:rFonts w:asciiTheme="minorHAnsi" w:hAnsiTheme="minorHAnsi" w:cs="Times New Roman"/>
          <w:b/>
        </w:rPr>
        <w:t>2014</w:t>
      </w:r>
      <w:r w:rsidRPr="00DE1381">
        <w:rPr>
          <w:rFonts w:asciiTheme="minorHAnsi" w:hAnsiTheme="minorHAnsi" w:cs="Times New Roman"/>
        </w:rPr>
        <w:t>, 652630.</w:t>
      </w:r>
    </w:p>
    <w:p w:rsidR="00925C9B" w:rsidRPr="00DE1381" w:rsidRDefault="00925C9B" w:rsidP="00DE1381">
      <w:pPr>
        <w:pStyle w:val="EndNoteBibliography"/>
        <w:framePr w:wrap="around"/>
        <w:spacing w:after="0"/>
        <w:rPr>
          <w:rFonts w:asciiTheme="minorHAnsi" w:hAnsiTheme="minorHAnsi" w:cs="Times New Roman"/>
        </w:rPr>
      </w:pPr>
      <w:r w:rsidRPr="00DE1381">
        <w:rPr>
          <w:rFonts w:asciiTheme="minorHAnsi" w:hAnsiTheme="minorHAnsi" w:cs="Times New Roman"/>
          <w:b/>
        </w:rPr>
        <w:t xml:space="preserve">Christian, L. M., Franco, A., Glaser, R. &amp; Iams, J. D. </w:t>
      </w:r>
      <w:r w:rsidRPr="00DE1381">
        <w:rPr>
          <w:rFonts w:asciiTheme="minorHAnsi" w:hAnsiTheme="minorHAnsi" w:cs="Times New Roman"/>
        </w:rPr>
        <w:t xml:space="preserve">(2009). Depressive symptoms are associated with elevated serum proinflammatory cytokines among pregnant women. </w:t>
      </w:r>
      <w:r w:rsidRPr="00DE1381">
        <w:rPr>
          <w:rFonts w:asciiTheme="minorHAnsi" w:hAnsiTheme="minorHAnsi" w:cs="Times New Roman"/>
          <w:i/>
        </w:rPr>
        <w:t>Brain, Behavior, and Immunity,</w:t>
      </w:r>
      <w:r w:rsidRPr="00DE1381">
        <w:rPr>
          <w:rFonts w:asciiTheme="minorHAnsi" w:hAnsiTheme="minorHAnsi" w:cs="Times New Roman"/>
        </w:rPr>
        <w:t xml:space="preserve"> </w:t>
      </w:r>
      <w:r w:rsidRPr="00DE1381">
        <w:rPr>
          <w:rFonts w:asciiTheme="minorHAnsi" w:hAnsiTheme="minorHAnsi" w:cs="Times New Roman"/>
          <w:b/>
        </w:rPr>
        <w:t>23</w:t>
      </w:r>
      <w:r w:rsidRPr="00DE1381">
        <w:rPr>
          <w:rFonts w:asciiTheme="minorHAnsi" w:hAnsiTheme="minorHAnsi" w:cs="Times New Roman"/>
        </w:rPr>
        <w:t>, 750-754.</w:t>
      </w:r>
    </w:p>
    <w:p w:rsidR="00DE1381" w:rsidRPr="00DE1381" w:rsidRDefault="00DE1381" w:rsidP="00DE1381">
      <w:pPr>
        <w:pStyle w:val="EndNoteBibliography"/>
        <w:framePr w:wrap="around"/>
        <w:spacing w:after="0"/>
        <w:rPr>
          <w:rFonts w:asciiTheme="minorHAnsi" w:hAnsiTheme="minorHAnsi"/>
          <w:b/>
          <w:lang w:val="sv-SE"/>
        </w:rPr>
      </w:pPr>
      <w:r w:rsidRPr="00DE1381">
        <w:rPr>
          <w:rFonts w:asciiTheme="minorHAnsi" w:hAnsiTheme="minorHAnsi"/>
          <w:b/>
          <w:lang w:val="sv-SE"/>
        </w:rPr>
        <w:t xml:space="preserve">Herzog, R., Álvarez-Pasquin, M., J., Díaz, C., Del Barrio, J. L., Estrada, J. M., &amp; Gil, Á. </w:t>
      </w:r>
      <w:r w:rsidRPr="00DE1381">
        <w:rPr>
          <w:rFonts w:asciiTheme="minorHAnsi" w:hAnsiTheme="minorHAnsi"/>
          <w:lang w:val="sv-SE"/>
        </w:rPr>
        <w:t xml:space="preserve">(2013). </w:t>
      </w:r>
      <w:r w:rsidRPr="00DE1381">
        <w:rPr>
          <w:rFonts w:asciiTheme="minorHAnsi" w:hAnsiTheme="minorHAnsi"/>
          <w:lang w:val="sv-SE"/>
        </w:rPr>
        <w:t xml:space="preserve"> </w:t>
      </w:r>
      <w:r w:rsidRPr="00DE1381">
        <w:rPr>
          <w:rFonts w:asciiTheme="minorHAnsi" w:eastAsia="Times New Roman" w:hAnsiTheme="minorHAnsi" w:cs="Times New Roman"/>
          <w:bCs/>
          <w:kern w:val="36"/>
        </w:rPr>
        <w:t>Are healthcare workers' intentions to vaccinate related to their knowledge, beliefs and attitudes? A systematic review.</w:t>
      </w:r>
      <w:r w:rsidRPr="00DE1381">
        <w:rPr>
          <w:rFonts w:asciiTheme="minorHAnsi" w:eastAsia="Times New Roman" w:hAnsiTheme="minorHAnsi" w:cs="Times New Roman"/>
        </w:rPr>
        <w:t xml:space="preserve"> </w:t>
      </w:r>
      <w:r w:rsidRPr="00DE1381">
        <w:rPr>
          <w:rFonts w:asciiTheme="minorHAnsi" w:eastAsia="Times New Roman" w:hAnsiTheme="minorHAnsi" w:cs="Times New Roman"/>
          <w:i/>
        </w:rPr>
        <w:t>BMC Public Health</w:t>
      </w:r>
      <w:r w:rsidRPr="00DE1381">
        <w:rPr>
          <w:rFonts w:asciiTheme="minorHAnsi" w:eastAsia="Times New Roman" w:hAnsiTheme="minorHAnsi" w:cs="Times New Roman"/>
        </w:rPr>
        <w:t xml:space="preserve"> </w:t>
      </w:r>
      <w:r w:rsidRPr="00DE1381">
        <w:rPr>
          <w:rFonts w:asciiTheme="minorHAnsi" w:eastAsia="Times New Roman" w:hAnsiTheme="minorHAnsi" w:cs="Times New Roman"/>
          <w:b/>
        </w:rPr>
        <w:t>13</w:t>
      </w:r>
      <w:r w:rsidRPr="00DE1381">
        <w:rPr>
          <w:rFonts w:asciiTheme="minorHAnsi" w:eastAsia="Times New Roman" w:hAnsiTheme="minorHAnsi" w:cs="Times New Roman"/>
        </w:rPr>
        <w:t>, 154.</w:t>
      </w:r>
    </w:p>
    <w:p w:rsidR="00925C9B" w:rsidRPr="00DE1381" w:rsidRDefault="00925C9B" w:rsidP="00DE1381">
      <w:pPr>
        <w:pStyle w:val="EndNoteBibliography"/>
        <w:framePr w:wrap="around"/>
        <w:spacing w:after="0"/>
        <w:rPr>
          <w:rFonts w:asciiTheme="minorHAnsi" w:hAnsiTheme="minorHAnsi" w:cs="Times New Roman"/>
        </w:rPr>
      </w:pPr>
      <w:r w:rsidRPr="00DE1381">
        <w:rPr>
          <w:rFonts w:asciiTheme="minorHAnsi" w:hAnsiTheme="minorHAnsi" w:cs="Times New Roman"/>
          <w:b/>
        </w:rPr>
        <w:t xml:space="preserve">Scrandis, D. A., Langenberg, P., Tonelli, L. H., Sheikh, T. M., Manogura, A. C., Alberico, L. A., Hermanstyne, T., Fuchs, D., Mighty, H., Hasday, J. D., Boteva, K. &amp; Postolache, T. T. </w:t>
      </w:r>
      <w:r w:rsidRPr="00DE1381">
        <w:rPr>
          <w:rFonts w:asciiTheme="minorHAnsi" w:hAnsiTheme="minorHAnsi" w:cs="Times New Roman"/>
        </w:rPr>
        <w:t xml:space="preserve">(2008). Prepartum Depressive Symptoms Correlate Positively with C-Reactive Protein Levels and Negatively with Tryptophan Levels: A Preliminary Report. </w:t>
      </w:r>
      <w:r w:rsidRPr="00DE1381">
        <w:rPr>
          <w:rFonts w:asciiTheme="minorHAnsi" w:hAnsiTheme="minorHAnsi" w:cs="Times New Roman"/>
          <w:i/>
        </w:rPr>
        <w:t>International Journal of Child Health and Human Development; IJCHD,</w:t>
      </w:r>
      <w:r w:rsidRPr="00DE1381">
        <w:rPr>
          <w:rFonts w:asciiTheme="minorHAnsi" w:hAnsiTheme="minorHAnsi" w:cs="Times New Roman"/>
        </w:rPr>
        <w:t xml:space="preserve"> </w:t>
      </w:r>
      <w:r w:rsidRPr="00DE1381">
        <w:rPr>
          <w:rFonts w:asciiTheme="minorHAnsi" w:hAnsiTheme="minorHAnsi" w:cs="Times New Roman"/>
          <w:b/>
        </w:rPr>
        <w:t>1</w:t>
      </w:r>
      <w:r w:rsidRPr="00DE1381">
        <w:rPr>
          <w:rFonts w:asciiTheme="minorHAnsi" w:hAnsiTheme="minorHAnsi" w:cs="Times New Roman"/>
        </w:rPr>
        <w:t>, 167-174.</w:t>
      </w:r>
    </w:p>
    <w:p w:rsidR="00925C9B" w:rsidRPr="00DE1381" w:rsidRDefault="00925C9B" w:rsidP="00DE1381">
      <w:pPr>
        <w:pStyle w:val="EndNoteBibliography"/>
        <w:framePr w:wrap="around"/>
        <w:spacing w:after="0"/>
        <w:rPr>
          <w:rFonts w:asciiTheme="minorHAnsi" w:hAnsiTheme="minorHAnsi" w:cs="Times New Roman"/>
        </w:rPr>
      </w:pPr>
      <w:r w:rsidRPr="00DE1381">
        <w:rPr>
          <w:rFonts w:asciiTheme="minorHAnsi" w:hAnsiTheme="minorHAnsi" w:cs="Times New Roman"/>
          <w:b/>
        </w:rPr>
        <w:t xml:space="preserve">Simpson, W., Steiner, M., Coote, M. &amp; Frey, B. N. </w:t>
      </w:r>
      <w:r w:rsidRPr="00DE1381">
        <w:rPr>
          <w:rFonts w:asciiTheme="minorHAnsi" w:hAnsiTheme="minorHAnsi" w:cs="Times New Roman"/>
        </w:rPr>
        <w:t xml:space="preserve">(2016). Relationship between inflammatory biomarkers and depressive symptoms during late pregnancy and the early postpartum period: a longitudinal study. </w:t>
      </w:r>
      <w:r w:rsidRPr="00DE1381">
        <w:rPr>
          <w:rFonts w:asciiTheme="minorHAnsi" w:hAnsiTheme="minorHAnsi" w:cs="Times New Roman"/>
          <w:i/>
        </w:rPr>
        <w:t>Brazilian Journal of Psychiatry,</w:t>
      </w:r>
      <w:r w:rsidRPr="00DE1381">
        <w:rPr>
          <w:rFonts w:asciiTheme="minorHAnsi" w:hAnsiTheme="minorHAnsi" w:cs="Times New Roman"/>
        </w:rPr>
        <w:t xml:space="preserve"> </w:t>
      </w:r>
      <w:r w:rsidRPr="00DE1381">
        <w:rPr>
          <w:rFonts w:asciiTheme="minorHAnsi" w:hAnsiTheme="minorHAnsi" w:cs="Times New Roman"/>
          <w:b/>
        </w:rPr>
        <w:t>38</w:t>
      </w:r>
      <w:r w:rsidR="00BA3AD6" w:rsidRPr="00DE1381">
        <w:rPr>
          <w:rFonts w:asciiTheme="minorHAnsi" w:hAnsiTheme="minorHAnsi" w:cs="Times New Roman"/>
        </w:rPr>
        <w:t>, 190-196.</w:t>
      </w:r>
    </w:p>
    <w:p w:rsidR="00E83BFB" w:rsidRDefault="00925C9B" w:rsidP="00DE1381">
      <w:pPr>
        <w:spacing w:after="0" w:line="240" w:lineRule="auto"/>
      </w:pPr>
      <w:r w:rsidRPr="00DE1381">
        <w:rPr>
          <w:rFonts w:cs="Times New Roman"/>
          <w:lang w:val="en-US"/>
        </w:rPr>
        <w:fldChar w:fldCharType="end"/>
      </w:r>
    </w:p>
    <w:sectPr w:rsidR="00E83BFB" w:rsidSect="001369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9B"/>
    <w:rsid w:val="00000BE0"/>
    <w:rsid w:val="001369F9"/>
    <w:rsid w:val="00243118"/>
    <w:rsid w:val="003F1AB0"/>
    <w:rsid w:val="00723AA7"/>
    <w:rsid w:val="007F026F"/>
    <w:rsid w:val="00894C67"/>
    <w:rsid w:val="00925C9B"/>
    <w:rsid w:val="00B54F4D"/>
    <w:rsid w:val="00BA3AD6"/>
    <w:rsid w:val="00BD5870"/>
    <w:rsid w:val="00D97FC3"/>
    <w:rsid w:val="00DE1381"/>
    <w:rsid w:val="00E83BFB"/>
    <w:rsid w:val="00FE4B4E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2A95A-E498-4927-97E5-9DD1E239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925C9B"/>
  </w:style>
  <w:style w:type="paragraph" w:customStyle="1" w:styleId="EndNoteBibliography">
    <w:name w:val="EndNote Bibliography"/>
    <w:basedOn w:val="Normal"/>
    <w:link w:val="EndNoteBibliographyChar"/>
    <w:rsid w:val="00925C9B"/>
    <w:pPr>
      <w:framePr w:hSpace="141" w:wrap="around" w:vAnchor="text" w:hAnchor="text" w:y="1"/>
      <w:spacing w:line="240" w:lineRule="auto"/>
      <w:suppressOverlap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25C9B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925C9B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25C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527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Lahti, Marius</dc:creator>
  <cp:keywords/>
  <dc:description/>
  <cp:lastModifiedBy>Lahti, Marius</cp:lastModifiedBy>
  <cp:revision>6</cp:revision>
  <dcterms:created xsi:type="dcterms:W3CDTF">2019-07-05T12:58:00Z</dcterms:created>
  <dcterms:modified xsi:type="dcterms:W3CDTF">2019-07-05T15:44:00Z</dcterms:modified>
</cp:coreProperties>
</file>