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F880E" w14:textId="77777777" w:rsidR="00917D85" w:rsidRDefault="00917D85">
      <w:pPr>
        <w:outlineLvl w:val="0"/>
        <w:rPr>
          <w:b/>
          <w:sz w:val="28"/>
          <w:szCs w:val="28"/>
          <w:lang w:val="en-CA"/>
        </w:rPr>
      </w:pPr>
    </w:p>
    <w:p w14:paraId="3F13548E" w14:textId="77777777" w:rsidR="00A05F14" w:rsidRDefault="007C2CFB">
      <w:pPr>
        <w:outlineLvl w:val="0"/>
        <w:rPr>
          <w:b/>
          <w:sz w:val="28"/>
          <w:szCs w:val="28"/>
          <w:lang w:val="en-CA"/>
        </w:rPr>
      </w:pPr>
      <w:r>
        <w:rPr>
          <w:b/>
          <w:sz w:val="28"/>
          <w:szCs w:val="28"/>
          <w:lang w:val="en-CA"/>
        </w:rPr>
        <w:t>Supplement</w:t>
      </w:r>
      <w:r w:rsidR="007C3A15">
        <w:rPr>
          <w:b/>
          <w:sz w:val="28"/>
          <w:szCs w:val="28"/>
          <w:lang w:val="en-CA"/>
        </w:rPr>
        <w:t>ary Material</w:t>
      </w:r>
      <w:r>
        <w:rPr>
          <w:b/>
          <w:sz w:val="28"/>
          <w:szCs w:val="28"/>
          <w:lang w:val="en-CA"/>
        </w:rPr>
        <w:t xml:space="preserve"> - </w:t>
      </w:r>
      <w:r w:rsidR="002138D0">
        <w:rPr>
          <w:b/>
          <w:sz w:val="28"/>
          <w:szCs w:val="28"/>
          <w:lang w:val="en-CA"/>
        </w:rPr>
        <w:t>Table of Contents</w:t>
      </w:r>
    </w:p>
    <w:p w14:paraId="639FB2C3" w14:textId="77777777" w:rsidR="00A05F14" w:rsidRDefault="00A05F14">
      <w:pPr>
        <w:outlineLvl w:val="0"/>
        <w:rPr>
          <w:b/>
          <w:sz w:val="28"/>
          <w:szCs w:val="28"/>
          <w:lang w:val="en-CA"/>
        </w:rPr>
      </w:pPr>
    </w:p>
    <w:p w14:paraId="0099C141" w14:textId="77777777" w:rsidR="00A05F14" w:rsidRDefault="00A05F14">
      <w:pPr>
        <w:outlineLvl w:val="0"/>
        <w:rPr>
          <w:b/>
          <w:sz w:val="28"/>
          <w:szCs w:val="28"/>
          <w:lang w:val="en-CA"/>
        </w:rPr>
      </w:pPr>
    </w:p>
    <w:p w14:paraId="259788FF" w14:textId="77777777" w:rsidR="00A05F14" w:rsidRPr="00456A9A" w:rsidRDefault="007C3A15">
      <w:pPr>
        <w:outlineLvl w:val="0"/>
        <w:rPr>
          <w:b/>
          <w:u w:val="single"/>
          <w:lang w:val="en-CA"/>
        </w:rPr>
      </w:pPr>
      <w:r>
        <w:rPr>
          <w:b/>
          <w:u w:val="single"/>
          <w:lang w:val="en-CA"/>
        </w:rPr>
        <w:t xml:space="preserve">Supplementary </w:t>
      </w:r>
      <w:r w:rsidR="002138D0" w:rsidRPr="00456A9A">
        <w:rPr>
          <w:b/>
          <w:u w:val="single"/>
          <w:lang w:val="en-CA"/>
        </w:rPr>
        <w:t>M</w:t>
      </w:r>
      <w:r w:rsidR="007C2CFB" w:rsidRPr="00456A9A">
        <w:rPr>
          <w:b/>
          <w:u w:val="single"/>
          <w:lang w:val="en-CA"/>
        </w:rPr>
        <w:t>ethods</w:t>
      </w:r>
    </w:p>
    <w:p w14:paraId="416F62D3" w14:textId="77777777" w:rsidR="002041B3" w:rsidRPr="002041B3" w:rsidRDefault="002041B3">
      <w:pPr>
        <w:pStyle w:val="ListParagraph"/>
        <w:numPr>
          <w:ilvl w:val="0"/>
          <w:numId w:val="1"/>
        </w:numPr>
        <w:rPr>
          <w:lang w:val="en-CA"/>
        </w:rPr>
      </w:pPr>
      <w:r>
        <w:rPr>
          <w:lang w:val="en-CA"/>
        </w:rPr>
        <w:t>Neuroimaging Study Inclusion Criteria</w:t>
      </w:r>
    </w:p>
    <w:p w14:paraId="692F02DE" w14:textId="77777777" w:rsidR="00A05F14" w:rsidRPr="002814CE" w:rsidRDefault="002138D0">
      <w:pPr>
        <w:pStyle w:val="ListParagraph"/>
        <w:numPr>
          <w:ilvl w:val="0"/>
          <w:numId w:val="1"/>
        </w:numPr>
        <w:rPr>
          <w:lang w:val="en-CA"/>
        </w:rPr>
      </w:pPr>
      <w:r>
        <w:t>Clinical Assessment, Neuropsychological and Demographic Data</w:t>
      </w:r>
    </w:p>
    <w:p w14:paraId="4B8DE872" w14:textId="77777777" w:rsidR="002814CE" w:rsidRDefault="002814CE">
      <w:pPr>
        <w:pStyle w:val="ListParagraph"/>
        <w:numPr>
          <w:ilvl w:val="0"/>
          <w:numId w:val="1"/>
        </w:numPr>
        <w:rPr>
          <w:lang w:val="en-CA"/>
        </w:rPr>
      </w:pPr>
      <w:r>
        <w:t>Image Processing Details</w:t>
      </w:r>
    </w:p>
    <w:p w14:paraId="1E1B498A" w14:textId="77777777" w:rsidR="00A66160" w:rsidRPr="00AC3851" w:rsidRDefault="002138D0" w:rsidP="00AC3851">
      <w:pPr>
        <w:pStyle w:val="ListParagraph"/>
        <w:numPr>
          <w:ilvl w:val="0"/>
          <w:numId w:val="1"/>
        </w:numPr>
        <w:rPr>
          <w:lang w:val="en-CA"/>
        </w:rPr>
      </w:pPr>
      <w:r>
        <w:rPr>
          <w:lang w:val="en-CA"/>
        </w:rPr>
        <w:t>Final Sample &amp; Quality control procedures</w:t>
      </w:r>
    </w:p>
    <w:p w14:paraId="17E0EABB" w14:textId="77777777" w:rsidR="00A66160" w:rsidRPr="00AA51F1" w:rsidRDefault="00A66160">
      <w:pPr>
        <w:pStyle w:val="ListParagraph"/>
        <w:numPr>
          <w:ilvl w:val="0"/>
          <w:numId w:val="1"/>
        </w:numPr>
        <w:rPr>
          <w:lang w:val="en-CA"/>
        </w:rPr>
      </w:pPr>
      <w:r w:rsidRPr="00AA51F1">
        <w:rPr>
          <w:lang w:val="en-CA"/>
        </w:rPr>
        <w:t>Choosing the best model for vertex-wise WGC</w:t>
      </w:r>
      <w:r w:rsidR="005D2662" w:rsidRPr="00AA51F1">
        <w:rPr>
          <w:lang w:val="en-CA"/>
        </w:rPr>
        <w:t xml:space="preserve"> and CT</w:t>
      </w:r>
      <w:r w:rsidRPr="00AA51F1">
        <w:rPr>
          <w:lang w:val="en-CA"/>
        </w:rPr>
        <w:t xml:space="preserve"> data</w:t>
      </w:r>
      <w:r w:rsidR="00C014F0" w:rsidRPr="00AA51F1">
        <w:rPr>
          <w:lang w:val="en-CA"/>
        </w:rPr>
        <w:t>.</w:t>
      </w:r>
    </w:p>
    <w:p w14:paraId="2A99D93C" w14:textId="77777777" w:rsidR="00AC3851" w:rsidRDefault="00AC3851" w:rsidP="00AC3851">
      <w:pPr>
        <w:rPr>
          <w:b/>
          <w:lang w:val="en-CA"/>
        </w:rPr>
      </w:pPr>
    </w:p>
    <w:p w14:paraId="6B2F8958" w14:textId="77777777" w:rsidR="00AC3851" w:rsidRDefault="007C3A15" w:rsidP="00AC3851">
      <w:pPr>
        <w:rPr>
          <w:b/>
          <w:u w:val="single"/>
          <w:lang w:val="en-CA"/>
        </w:rPr>
      </w:pPr>
      <w:r>
        <w:rPr>
          <w:b/>
          <w:u w:val="single"/>
          <w:lang w:val="en-CA"/>
        </w:rPr>
        <w:t xml:space="preserve">Supplementary </w:t>
      </w:r>
      <w:r w:rsidR="00AC3851" w:rsidRPr="00AC3851">
        <w:rPr>
          <w:b/>
          <w:u w:val="single"/>
          <w:lang w:val="en-CA"/>
        </w:rPr>
        <w:t>Results</w:t>
      </w:r>
    </w:p>
    <w:p w14:paraId="19B4D7CD" w14:textId="77777777" w:rsidR="00AC3851" w:rsidRDefault="00AC3851" w:rsidP="00AC3851">
      <w:pPr>
        <w:pStyle w:val="ListParagraph"/>
        <w:numPr>
          <w:ilvl w:val="0"/>
          <w:numId w:val="3"/>
        </w:numPr>
        <w:rPr>
          <w:lang w:val="en-CA"/>
        </w:rPr>
      </w:pPr>
      <w:r w:rsidRPr="00AE4243">
        <w:rPr>
          <w:lang w:val="en-CA"/>
        </w:rPr>
        <w:t>Cross-sectional assessment of verbal memory and negative symptoms.</w:t>
      </w:r>
    </w:p>
    <w:p w14:paraId="1E1434C4" w14:textId="25C7FA9B" w:rsidR="008506E5" w:rsidRPr="00AE4243" w:rsidRDefault="008506E5" w:rsidP="00AC3851">
      <w:pPr>
        <w:pStyle w:val="ListParagraph"/>
        <w:numPr>
          <w:ilvl w:val="0"/>
          <w:numId w:val="3"/>
        </w:numPr>
        <w:rPr>
          <w:lang w:val="en-CA"/>
        </w:rPr>
      </w:pPr>
      <w:r>
        <w:rPr>
          <w:lang w:val="en-CA"/>
        </w:rPr>
        <w:t>Relationship between change in verbal memory and change in negative symptoms.</w:t>
      </w:r>
    </w:p>
    <w:p w14:paraId="49C79D6D" w14:textId="77777777" w:rsidR="00D4107A" w:rsidRPr="00EA081B" w:rsidRDefault="00D4107A">
      <w:pPr>
        <w:rPr>
          <w:b/>
          <w:lang w:val="en-CA"/>
        </w:rPr>
      </w:pPr>
    </w:p>
    <w:p w14:paraId="09EF4328" w14:textId="77777777" w:rsidR="00A05F14" w:rsidRPr="00456A9A" w:rsidRDefault="007C3A15">
      <w:pPr>
        <w:rPr>
          <w:u w:val="single"/>
          <w:lang w:val="en-CA"/>
        </w:rPr>
      </w:pPr>
      <w:r>
        <w:rPr>
          <w:b/>
          <w:u w:val="single"/>
          <w:lang w:val="en-CA"/>
        </w:rPr>
        <w:t xml:space="preserve">Supplementary </w:t>
      </w:r>
      <w:r w:rsidR="00456A9A" w:rsidRPr="00456A9A">
        <w:rPr>
          <w:b/>
          <w:u w:val="single"/>
          <w:lang w:val="en-CA"/>
        </w:rPr>
        <w:t>Figures</w:t>
      </w:r>
    </w:p>
    <w:p w14:paraId="3AEFFFDE" w14:textId="77777777" w:rsidR="00A05F14" w:rsidRDefault="007C3A15" w:rsidP="00D17F3F">
      <w:pPr>
        <w:rPr>
          <w:lang w:val="en-CA"/>
        </w:rPr>
      </w:pPr>
      <w:r>
        <w:rPr>
          <w:b/>
          <w:lang w:val="en-CA"/>
        </w:rPr>
        <w:t xml:space="preserve">Supplementary </w:t>
      </w:r>
      <w:r w:rsidR="00456A9A">
        <w:rPr>
          <w:b/>
          <w:lang w:val="en-CA"/>
        </w:rPr>
        <w:t>Figure</w:t>
      </w:r>
      <w:r w:rsidR="00A52C35">
        <w:rPr>
          <w:b/>
          <w:lang w:val="en-CA"/>
        </w:rPr>
        <w:t xml:space="preserve"> 1</w:t>
      </w:r>
      <w:r w:rsidR="002138D0">
        <w:rPr>
          <w:b/>
          <w:lang w:val="en-CA"/>
        </w:rPr>
        <w:t>.</w:t>
      </w:r>
      <w:r w:rsidR="002138D0">
        <w:rPr>
          <w:lang w:val="en-CA"/>
        </w:rPr>
        <w:t xml:space="preserve"> Effect of cumulative chlorpromazine equivalents on </w:t>
      </w:r>
      <w:r w:rsidR="005D2662">
        <w:rPr>
          <w:lang w:val="en-CA"/>
        </w:rPr>
        <w:t xml:space="preserve">WGC and </w:t>
      </w:r>
      <w:r w:rsidR="002138D0">
        <w:rPr>
          <w:lang w:val="en-CA"/>
        </w:rPr>
        <w:t>CT rate of change (t-statistic maps)</w:t>
      </w:r>
      <w:r w:rsidR="00D17F3F">
        <w:rPr>
          <w:lang w:val="en-CA"/>
        </w:rPr>
        <w:t>.</w:t>
      </w:r>
    </w:p>
    <w:p w14:paraId="2437B32E" w14:textId="77777777" w:rsidR="00A52C35" w:rsidRPr="00A52C35" w:rsidRDefault="00A52C35" w:rsidP="00D17F3F">
      <w:pPr>
        <w:rPr>
          <w:lang w:val="en-CA"/>
        </w:rPr>
      </w:pPr>
      <w:r>
        <w:rPr>
          <w:b/>
          <w:lang w:val="en-CA"/>
        </w:rPr>
        <w:t>Supplementary Figure 2.</w:t>
      </w:r>
      <w:r>
        <w:rPr>
          <w:lang w:val="en-CA"/>
        </w:rPr>
        <w:t xml:space="preserve"> Spaghetti plots of negative symptoms over time.</w:t>
      </w:r>
    </w:p>
    <w:p w14:paraId="07E1A2C9" w14:textId="77777777" w:rsidR="004D788F" w:rsidRDefault="00A52C35" w:rsidP="00D17F3F">
      <w:pPr>
        <w:rPr>
          <w:lang w:val="en-CA"/>
        </w:rPr>
      </w:pPr>
      <w:r>
        <w:rPr>
          <w:b/>
          <w:lang w:val="en-CA"/>
        </w:rPr>
        <w:t>Supplementary Figure 3</w:t>
      </w:r>
      <w:r w:rsidR="004D788F">
        <w:rPr>
          <w:b/>
          <w:lang w:val="en-CA"/>
        </w:rPr>
        <w:t>.</w:t>
      </w:r>
      <w:r w:rsidR="004D788F">
        <w:rPr>
          <w:lang w:val="en-CA"/>
        </w:rPr>
        <w:t xml:space="preserve"> Results </w:t>
      </w:r>
      <w:r w:rsidR="009D4F4B">
        <w:rPr>
          <w:lang w:val="en-CA"/>
        </w:rPr>
        <w:t xml:space="preserve">from </w:t>
      </w:r>
      <w:r w:rsidR="00975FBF">
        <w:rPr>
          <w:lang w:val="en-CA"/>
        </w:rPr>
        <w:t xml:space="preserve">main manuscript </w:t>
      </w:r>
      <w:r w:rsidR="004D788F">
        <w:rPr>
          <w:lang w:val="en-CA"/>
        </w:rPr>
        <w:t>without covarying for mean cortical thickness</w:t>
      </w:r>
      <w:r w:rsidR="00C014F0">
        <w:rPr>
          <w:lang w:val="en-CA"/>
        </w:rPr>
        <w:t xml:space="preserve"> or mean WGC</w:t>
      </w:r>
      <w:r w:rsidR="00CA4492">
        <w:rPr>
          <w:lang w:val="en-CA"/>
        </w:rPr>
        <w:t>.</w:t>
      </w:r>
    </w:p>
    <w:p w14:paraId="762EBFE6" w14:textId="77777777" w:rsidR="004D788F" w:rsidRPr="00B1144D" w:rsidRDefault="009B7A51" w:rsidP="00D17F3F">
      <w:pPr>
        <w:rPr>
          <w:b/>
          <w:lang w:val="en-CA"/>
        </w:rPr>
      </w:pPr>
      <w:r>
        <w:rPr>
          <w:b/>
          <w:lang w:val="en-CA"/>
        </w:rPr>
        <w:tab/>
      </w:r>
      <w:r w:rsidR="007C3A15">
        <w:rPr>
          <w:b/>
          <w:lang w:val="en-CA"/>
        </w:rPr>
        <w:t xml:space="preserve">Supplementary </w:t>
      </w:r>
      <w:r w:rsidR="00354D7B">
        <w:rPr>
          <w:b/>
          <w:lang w:val="en-CA"/>
        </w:rPr>
        <w:t xml:space="preserve">Figure </w:t>
      </w:r>
      <w:r w:rsidR="00A52C35">
        <w:rPr>
          <w:b/>
          <w:lang w:val="en-CA"/>
        </w:rPr>
        <w:t>3</w:t>
      </w:r>
      <w:r w:rsidR="00975FBF">
        <w:rPr>
          <w:b/>
          <w:lang w:val="en-CA"/>
        </w:rPr>
        <w:t>a</w:t>
      </w:r>
      <w:r w:rsidR="004D788F" w:rsidRPr="00B1144D">
        <w:rPr>
          <w:b/>
          <w:lang w:val="en-CA"/>
        </w:rPr>
        <w:t xml:space="preserve">. </w:t>
      </w:r>
      <w:r w:rsidR="004D788F" w:rsidRPr="00CA4492">
        <w:rPr>
          <w:lang w:val="en-CA"/>
        </w:rPr>
        <w:t>Change in Negative Symptoms</w:t>
      </w:r>
    </w:p>
    <w:p w14:paraId="7A84D44F" w14:textId="77777777" w:rsidR="004D788F" w:rsidRDefault="009B7A51" w:rsidP="00D17F3F">
      <w:pPr>
        <w:rPr>
          <w:lang w:val="en-CA"/>
        </w:rPr>
      </w:pPr>
      <w:r>
        <w:rPr>
          <w:b/>
          <w:lang w:val="en-CA"/>
        </w:rPr>
        <w:tab/>
      </w:r>
      <w:r w:rsidR="007C3A15">
        <w:rPr>
          <w:b/>
          <w:lang w:val="en-CA"/>
        </w:rPr>
        <w:t xml:space="preserve">Supplementary </w:t>
      </w:r>
      <w:r w:rsidR="00354D7B">
        <w:rPr>
          <w:b/>
          <w:lang w:val="en-CA"/>
        </w:rPr>
        <w:t xml:space="preserve">Figure </w:t>
      </w:r>
      <w:r w:rsidR="00A52C35">
        <w:rPr>
          <w:b/>
          <w:lang w:val="en-CA"/>
        </w:rPr>
        <w:t>3</w:t>
      </w:r>
      <w:r w:rsidR="00975FBF">
        <w:rPr>
          <w:b/>
          <w:lang w:val="en-CA"/>
        </w:rPr>
        <w:t>b</w:t>
      </w:r>
      <w:r w:rsidR="004D788F" w:rsidRPr="00B1144D">
        <w:rPr>
          <w:b/>
          <w:lang w:val="en-CA"/>
        </w:rPr>
        <w:t xml:space="preserve">. </w:t>
      </w:r>
      <w:r w:rsidR="004D788F" w:rsidRPr="00CA4492">
        <w:rPr>
          <w:lang w:val="en-CA"/>
        </w:rPr>
        <w:t>Baseline Verbal Memory * Change in Negative Symptoms</w:t>
      </w:r>
    </w:p>
    <w:p w14:paraId="54D1E158" w14:textId="77777777" w:rsidR="0095097C" w:rsidRPr="0095097C" w:rsidRDefault="007C3A15" w:rsidP="00D17F3F">
      <w:pPr>
        <w:rPr>
          <w:lang w:val="en-CA"/>
        </w:rPr>
      </w:pPr>
      <w:r>
        <w:rPr>
          <w:b/>
          <w:lang w:val="en-CA"/>
        </w:rPr>
        <w:t xml:space="preserve">Supplementary </w:t>
      </w:r>
      <w:r w:rsidR="0095097C">
        <w:rPr>
          <w:b/>
          <w:lang w:val="en-CA"/>
        </w:rPr>
        <w:t xml:space="preserve">Figure </w:t>
      </w:r>
      <w:r w:rsidR="00A52C35">
        <w:rPr>
          <w:b/>
          <w:lang w:val="en-CA"/>
        </w:rPr>
        <w:t>4</w:t>
      </w:r>
      <w:r w:rsidR="0095097C">
        <w:rPr>
          <w:lang w:val="en-CA"/>
        </w:rPr>
        <w:t>. Covarying for General Cognitive Ability in analysis of Baseline Verbal Memory * Change in Negative Symptoms.</w:t>
      </w:r>
    </w:p>
    <w:p w14:paraId="12BED68C" w14:textId="77777777" w:rsidR="00A05F14" w:rsidRDefault="00A05F14">
      <w:pPr>
        <w:ind w:left="360"/>
        <w:rPr>
          <w:b/>
          <w:lang w:val="en-CA"/>
        </w:rPr>
      </w:pPr>
    </w:p>
    <w:p w14:paraId="3E3969B7" w14:textId="77777777" w:rsidR="00D4107A" w:rsidRDefault="00D4107A">
      <w:pPr>
        <w:ind w:left="360"/>
        <w:rPr>
          <w:b/>
          <w:lang w:val="en-CA"/>
        </w:rPr>
      </w:pPr>
    </w:p>
    <w:p w14:paraId="3B995571" w14:textId="77777777" w:rsidR="00A66160" w:rsidRPr="00716ACE" w:rsidRDefault="007C3A15">
      <w:pPr>
        <w:rPr>
          <w:b/>
          <w:u w:val="single"/>
          <w:lang w:val="en-CA"/>
        </w:rPr>
      </w:pPr>
      <w:r w:rsidRPr="00716ACE">
        <w:rPr>
          <w:b/>
          <w:u w:val="single"/>
          <w:lang w:val="en-CA"/>
        </w:rPr>
        <w:t xml:space="preserve">Supplementary </w:t>
      </w:r>
      <w:r w:rsidR="0053026C" w:rsidRPr="00716ACE">
        <w:rPr>
          <w:b/>
          <w:u w:val="single"/>
          <w:lang w:val="en-CA"/>
        </w:rPr>
        <w:t>T</w:t>
      </w:r>
      <w:r w:rsidR="00354D7B" w:rsidRPr="00716ACE">
        <w:rPr>
          <w:b/>
          <w:u w:val="single"/>
          <w:lang w:val="en-CA"/>
        </w:rPr>
        <w:t>ables</w:t>
      </w:r>
    </w:p>
    <w:p w14:paraId="046FA03A" w14:textId="0929F456" w:rsidR="00A66160" w:rsidRPr="002E7BF8" w:rsidRDefault="007C3A15">
      <w:pPr>
        <w:rPr>
          <w:lang w:val="en-CA"/>
        </w:rPr>
      </w:pPr>
      <w:r w:rsidRPr="002E7BF8">
        <w:rPr>
          <w:b/>
          <w:lang w:val="en-CA"/>
        </w:rPr>
        <w:t xml:space="preserve">Supplementary </w:t>
      </w:r>
      <w:r w:rsidR="00A66160" w:rsidRPr="002E7BF8">
        <w:rPr>
          <w:b/>
          <w:lang w:val="en-CA"/>
        </w:rPr>
        <w:t xml:space="preserve">Table </w:t>
      </w:r>
      <w:r w:rsidR="00C014F0" w:rsidRPr="002E7BF8">
        <w:rPr>
          <w:b/>
          <w:lang w:val="en-CA"/>
        </w:rPr>
        <w:t>1</w:t>
      </w:r>
      <w:r w:rsidR="00A66160" w:rsidRPr="002E7BF8">
        <w:rPr>
          <w:lang w:val="en-CA"/>
        </w:rPr>
        <w:t xml:space="preserve">. </w:t>
      </w:r>
      <w:r w:rsidR="004B4514" w:rsidRPr="002E7BF8">
        <w:rPr>
          <w:lang w:val="en-CA"/>
        </w:rPr>
        <w:t>Demographic/Cognitive/Clinical Characteristics comparing included and excluded patients.</w:t>
      </w:r>
    </w:p>
    <w:p w14:paraId="52F73C10" w14:textId="7E20907A" w:rsidR="00724DAE" w:rsidRPr="00724DAE" w:rsidRDefault="00724DAE">
      <w:pPr>
        <w:rPr>
          <w:lang w:val="en-CA"/>
        </w:rPr>
      </w:pPr>
      <w:r w:rsidRPr="002E7BF8">
        <w:rPr>
          <w:b/>
          <w:lang w:val="en-CA"/>
        </w:rPr>
        <w:t>Supplementary Table 2</w:t>
      </w:r>
      <w:r w:rsidRPr="002E7BF8">
        <w:rPr>
          <w:lang w:val="en-CA"/>
        </w:rPr>
        <w:t>. Comparing negative symptoms and verbal memory performance between diagnoses.</w:t>
      </w:r>
    </w:p>
    <w:p w14:paraId="4962922F" w14:textId="19ECF700" w:rsidR="00A05F14" w:rsidRDefault="007C3A15">
      <w:pPr>
        <w:rPr>
          <w:lang w:val="en-CA"/>
        </w:rPr>
      </w:pPr>
      <w:r>
        <w:rPr>
          <w:b/>
          <w:lang w:val="en-CA"/>
        </w:rPr>
        <w:t xml:space="preserve">Supplementary </w:t>
      </w:r>
      <w:r w:rsidR="002138D0" w:rsidRPr="00640155">
        <w:rPr>
          <w:b/>
          <w:lang w:val="en-CA"/>
        </w:rPr>
        <w:t xml:space="preserve">Table </w:t>
      </w:r>
      <w:r w:rsidR="00724DAE">
        <w:rPr>
          <w:b/>
          <w:lang w:val="en-CA"/>
        </w:rPr>
        <w:t>3</w:t>
      </w:r>
      <w:r w:rsidR="002138D0" w:rsidRPr="00640155">
        <w:rPr>
          <w:lang w:val="en-CA"/>
        </w:rPr>
        <w:t>. Baseline verbal memory performance characteristics by neuropsychological test battery and by group.</w:t>
      </w:r>
    </w:p>
    <w:p w14:paraId="444884C0" w14:textId="6B0CC994" w:rsidR="00AE0B52" w:rsidRPr="00AE0B52" w:rsidRDefault="00724DAE">
      <w:pPr>
        <w:rPr>
          <w:b/>
          <w:lang w:val="en-CA"/>
        </w:rPr>
      </w:pPr>
      <w:r>
        <w:rPr>
          <w:b/>
          <w:lang w:val="en-CA"/>
        </w:rPr>
        <w:t>Supplementary Table 4</w:t>
      </w:r>
      <w:r w:rsidR="00AE0B52">
        <w:rPr>
          <w:b/>
          <w:lang w:val="en-CA"/>
        </w:rPr>
        <w:t xml:space="preserve">. </w:t>
      </w:r>
      <w:r w:rsidR="004B4514">
        <w:rPr>
          <w:lang w:val="en-CA"/>
        </w:rPr>
        <w:t>Demographic/Cognitive/Clinical Characteristics of f</w:t>
      </w:r>
      <w:r w:rsidR="004B4514" w:rsidRPr="00640155">
        <w:rPr>
          <w:lang w:val="en-CA"/>
        </w:rPr>
        <w:t>ull cross-sectional sample</w:t>
      </w:r>
      <w:r w:rsidR="004B4514">
        <w:rPr>
          <w:lang w:val="en-CA"/>
        </w:rPr>
        <w:t xml:space="preserve"> with verbal memory data</w:t>
      </w:r>
      <w:r w:rsidR="004B4514" w:rsidRPr="00640155">
        <w:rPr>
          <w:lang w:val="en-CA"/>
        </w:rPr>
        <w:t>.</w:t>
      </w:r>
    </w:p>
    <w:p w14:paraId="658EE8FE" w14:textId="77777777" w:rsidR="00A05F14" w:rsidRDefault="00A05F14">
      <w:pPr>
        <w:rPr>
          <w:b/>
          <w:lang w:val="en-CA"/>
        </w:rPr>
      </w:pPr>
    </w:p>
    <w:p w14:paraId="368D42E6" w14:textId="77777777" w:rsidR="00D4107A" w:rsidRDefault="00D4107A">
      <w:pPr>
        <w:rPr>
          <w:b/>
          <w:lang w:val="en-CA"/>
        </w:rPr>
      </w:pPr>
    </w:p>
    <w:p w14:paraId="644C373C" w14:textId="77777777" w:rsidR="00A05F14" w:rsidRPr="00716ACE" w:rsidRDefault="007C3A15">
      <w:pPr>
        <w:rPr>
          <w:b/>
          <w:u w:val="single"/>
          <w:lang w:val="en-CA"/>
        </w:rPr>
      </w:pPr>
      <w:r w:rsidRPr="00716ACE">
        <w:rPr>
          <w:b/>
          <w:u w:val="single"/>
          <w:lang w:val="en-CA"/>
        </w:rPr>
        <w:t xml:space="preserve">Supplementary </w:t>
      </w:r>
      <w:r w:rsidR="002138D0" w:rsidRPr="00716ACE">
        <w:rPr>
          <w:b/>
          <w:u w:val="single"/>
          <w:lang w:val="en-CA"/>
        </w:rPr>
        <w:t>R</w:t>
      </w:r>
      <w:r w:rsidR="00354D7B" w:rsidRPr="00716ACE">
        <w:rPr>
          <w:b/>
          <w:u w:val="single"/>
          <w:lang w:val="en-CA"/>
        </w:rPr>
        <w:t>eferences</w:t>
      </w:r>
    </w:p>
    <w:p w14:paraId="5AEFF627" w14:textId="77777777" w:rsidR="00A05F14" w:rsidRDefault="00A05F14">
      <w:pPr>
        <w:rPr>
          <w:b/>
          <w:lang w:val="en-CA"/>
        </w:rPr>
      </w:pPr>
    </w:p>
    <w:p w14:paraId="42C30B96" w14:textId="77777777" w:rsidR="00A05F14" w:rsidRDefault="00A05F14">
      <w:pPr>
        <w:rPr>
          <w:b/>
          <w:lang w:val="en-CA"/>
        </w:rPr>
      </w:pPr>
    </w:p>
    <w:p w14:paraId="4FA05607" w14:textId="77777777" w:rsidR="00A05F14" w:rsidRDefault="00A05F14">
      <w:pPr>
        <w:rPr>
          <w:b/>
          <w:lang w:val="en-CA"/>
        </w:rPr>
      </w:pPr>
    </w:p>
    <w:p w14:paraId="551130E5" w14:textId="77777777" w:rsidR="00A05F14" w:rsidRDefault="00A05F14">
      <w:pPr>
        <w:rPr>
          <w:b/>
          <w:lang w:val="en-CA"/>
        </w:rPr>
      </w:pPr>
    </w:p>
    <w:p w14:paraId="0F8D9FAE" w14:textId="77777777" w:rsidR="00A05F14" w:rsidRDefault="00A05F14">
      <w:pPr>
        <w:rPr>
          <w:b/>
          <w:lang w:val="en-CA"/>
        </w:rPr>
      </w:pPr>
    </w:p>
    <w:p w14:paraId="47338B8F" w14:textId="77777777" w:rsidR="00A05F14" w:rsidRDefault="00A05F14">
      <w:pPr>
        <w:rPr>
          <w:b/>
          <w:lang w:val="en-CA"/>
        </w:rPr>
      </w:pPr>
    </w:p>
    <w:p w14:paraId="1F7DD361" w14:textId="77777777" w:rsidR="00A05F14" w:rsidRDefault="00A05F14">
      <w:pPr>
        <w:rPr>
          <w:b/>
          <w:lang w:val="en-CA"/>
        </w:rPr>
      </w:pPr>
    </w:p>
    <w:p w14:paraId="3922EF54" w14:textId="77777777" w:rsidR="00A05F14" w:rsidRDefault="00A05F14">
      <w:pPr>
        <w:rPr>
          <w:b/>
          <w:lang w:val="en-CA"/>
        </w:rPr>
      </w:pPr>
    </w:p>
    <w:p w14:paraId="0C44411C" w14:textId="77777777" w:rsidR="00A05F14" w:rsidRDefault="00A05F14">
      <w:pPr>
        <w:rPr>
          <w:b/>
          <w:lang w:val="en-CA"/>
        </w:rPr>
      </w:pPr>
    </w:p>
    <w:p w14:paraId="31828F9D" w14:textId="77777777" w:rsidR="00A05F14" w:rsidRDefault="00A05F14">
      <w:pPr>
        <w:rPr>
          <w:b/>
          <w:lang w:val="en-CA"/>
        </w:rPr>
      </w:pPr>
    </w:p>
    <w:p w14:paraId="78CC359A" w14:textId="77777777" w:rsidR="00A05F14" w:rsidRDefault="00A05F14">
      <w:pPr>
        <w:rPr>
          <w:b/>
          <w:lang w:val="en-CA"/>
        </w:rPr>
      </w:pPr>
    </w:p>
    <w:p w14:paraId="4D313E4B" w14:textId="77777777" w:rsidR="00852E8A" w:rsidRDefault="00852E8A">
      <w:pPr>
        <w:rPr>
          <w:b/>
          <w:lang w:val="en-CA"/>
        </w:rPr>
      </w:pPr>
    </w:p>
    <w:p w14:paraId="433D7011" w14:textId="77777777" w:rsidR="00FB2B2D" w:rsidRDefault="00FB2B2D" w:rsidP="0067729D">
      <w:pPr>
        <w:tabs>
          <w:tab w:val="left" w:pos="0"/>
        </w:tabs>
        <w:jc w:val="both"/>
        <w:outlineLvl w:val="0"/>
        <w:rPr>
          <w:b/>
          <w:lang w:val="en-CA"/>
        </w:rPr>
      </w:pPr>
    </w:p>
    <w:p w14:paraId="27010D06" w14:textId="77777777" w:rsidR="00FB2B2D" w:rsidRDefault="00FB2B2D" w:rsidP="0067729D">
      <w:pPr>
        <w:tabs>
          <w:tab w:val="left" w:pos="0"/>
        </w:tabs>
        <w:jc w:val="both"/>
        <w:outlineLvl w:val="0"/>
        <w:rPr>
          <w:b/>
          <w:lang w:val="en-CA"/>
        </w:rPr>
      </w:pPr>
    </w:p>
    <w:p w14:paraId="6E5D78A4" w14:textId="77777777" w:rsidR="00A05F14" w:rsidRPr="00716ACE" w:rsidRDefault="00FB2B2D" w:rsidP="0067729D">
      <w:pPr>
        <w:tabs>
          <w:tab w:val="left" w:pos="0"/>
        </w:tabs>
        <w:jc w:val="both"/>
        <w:outlineLvl w:val="0"/>
        <w:rPr>
          <w:b/>
          <w:u w:val="single"/>
          <w:lang w:val="en-CA"/>
        </w:rPr>
      </w:pPr>
      <w:r w:rsidRPr="00716ACE">
        <w:rPr>
          <w:b/>
          <w:u w:val="single"/>
          <w:lang w:val="en-CA"/>
        </w:rPr>
        <w:t xml:space="preserve">Supplementary </w:t>
      </w:r>
      <w:r w:rsidR="0067729D" w:rsidRPr="00716ACE">
        <w:rPr>
          <w:b/>
          <w:u w:val="single"/>
          <w:lang w:val="en-CA"/>
        </w:rPr>
        <w:t>Met</w:t>
      </w:r>
      <w:r w:rsidR="00354D7B" w:rsidRPr="00716ACE">
        <w:rPr>
          <w:b/>
          <w:u w:val="single"/>
          <w:lang w:val="en-CA"/>
        </w:rPr>
        <w:t>hods</w:t>
      </w:r>
    </w:p>
    <w:p w14:paraId="12EA2723" w14:textId="77777777" w:rsidR="00A05F14" w:rsidRPr="004A7A16" w:rsidRDefault="00A05F14" w:rsidP="00673ACA">
      <w:pPr>
        <w:jc w:val="both"/>
        <w:rPr>
          <w:b/>
          <w:sz w:val="12"/>
          <w:szCs w:val="12"/>
          <w:lang w:val="en-CA"/>
        </w:rPr>
      </w:pPr>
    </w:p>
    <w:p w14:paraId="45AACC77" w14:textId="77777777" w:rsidR="0020410B" w:rsidRDefault="0020410B" w:rsidP="00354D7B">
      <w:pPr>
        <w:widowControl w:val="0"/>
        <w:jc w:val="both"/>
        <w:rPr>
          <w:b/>
          <w:lang w:val="en-CA"/>
        </w:rPr>
      </w:pPr>
    </w:p>
    <w:p w14:paraId="3BEC316C" w14:textId="77777777" w:rsidR="002041B3" w:rsidRDefault="002138D0" w:rsidP="00354D7B">
      <w:pPr>
        <w:widowControl w:val="0"/>
        <w:jc w:val="both"/>
        <w:rPr>
          <w:b/>
          <w:lang w:val="en-CA"/>
        </w:rPr>
      </w:pPr>
      <w:r>
        <w:rPr>
          <w:b/>
          <w:lang w:val="en-CA"/>
        </w:rPr>
        <w:t xml:space="preserve">i. </w:t>
      </w:r>
      <w:r w:rsidR="002041B3">
        <w:rPr>
          <w:b/>
          <w:lang w:val="en-CA"/>
        </w:rPr>
        <w:t>Neuroimaging Study Inclusion Criteria</w:t>
      </w:r>
    </w:p>
    <w:p w14:paraId="6F30CF8D" w14:textId="77777777" w:rsidR="002041B3" w:rsidRPr="00354D7B" w:rsidRDefault="002041B3" w:rsidP="00354D7B">
      <w:pPr>
        <w:widowControl w:val="0"/>
        <w:jc w:val="both"/>
        <w:rPr>
          <w:b/>
          <w:sz w:val="20"/>
          <w:szCs w:val="20"/>
          <w:lang w:val="en-CA"/>
        </w:rPr>
      </w:pPr>
      <w:r w:rsidRPr="00354D7B">
        <w:rPr>
          <w:sz w:val="20"/>
          <w:szCs w:val="20"/>
        </w:rPr>
        <w:t xml:space="preserve">For the neuroimaging portion of the study, additional inclusion criteria for </w:t>
      </w:r>
      <w:r w:rsidR="00FB2B2D">
        <w:rPr>
          <w:sz w:val="20"/>
          <w:szCs w:val="20"/>
        </w:rPr>
        <w:t>first episode of psychosis (FEP)</w:t>
      </w:r>
      <w:r w:rsidRPr="00354D7B">
        <w:rPr>
          <w:sz w:val="20"/>
          <w:szCs w:val="20"/>
        </w:rPr>
        <w:t xml:space="preserve"> patients comprised: minimum age of 18, clinically stable status and no major medical disorders. Exclusion criteria included a history of neurological illnesses and head trauma resulting in loss of consciousness that could affect cognition, presence of neurological disorder determined by medical record examination, lifetime diagnosis of substance dependence, and/or any potential contraindication for the MR scan. In addition to exclusion criteria listed for FEP patients, controls were excluded if they had any current/past history of Axis I disorders, and/or a first-degree family member suffering from schizophrenia or related schizophrenia spectrum psychosis.</w:t>
      </w:r>
    </w:p>
    <w:p w14:paraId="3E9753D3" w14:textId="77777777" w:rsidR="002041B3" w:rsidRPr="004A7A16" w:rsidRDefault="002041B3" w:rsidP="00354D7B">
      <w:pPr>
        <w:widowControl w:val="0"/>
        <w:jc w:val="both"/>
        <w:rPr>
          <w:b/>
          <w:sz w:val="12"/>
          <w:szCs w:val="12"/>
          <w:lang w:val="en-CA"/>
        </w:rPr>
      </w:pPr>
    </w:p>
    <w:p w14:paraId="4E77AC61" w14:textId="77777777" w:rsidR="00A05F14" w:rsidRDefault="002041B3" w:rsidP="00354D7B">
      <w:pPr>
        <w:widowControl w:val="0"/>
        <w:jc w:val="both"/>
        <w:rPr>
          <w:i/>
        </w:rPr>
      </w:pPr>
      <w:r>
        <w:rPr>
          <w:b/>
        </w:rPr>
        <w:t xml:space="preserve">ii. </w:t>
      </w:r>
      <w:r w:rsidR="002138D0">
        <w:rPr>
          <w:b/>
        </w:rPr>
        <w:t>Clinical Assessment, Neuropsychological and Demographic Data</w:t>
      </w:r>
      <w:r w:rsidR="002138D0">
        <w:rPr>
          <w:i/>
        </w:rPr>
        <w:t>.</w:t>
      </w:r>
    </w:p>
    <w:p w14:paraId="601CE033" w14:textId="77777777" w:rsidR="00354D7B" w:rsidRPr="00354D7B" w:rsidRDefault="002138D0" w:rsidP="00354D7B">
      <w:pPr>
        <w:widowControl w:val="0"/>
        <w:jc w:val="both"/>
        <w:rPr>
          <w:sz w:val="20"/>
          <w:szCs w:val="20"/>
        </w:rPr>
      </w:pPr>
      <w:r w:rsidRPr="00354D7B">
        <w:rPr>
          <w:sz w:val="20"/>
          <w:szCs w:val="20"/>
        </w:rPr>
        <w:t>Diagnosis for each patient was made on the basis of</w:t>
      </w:r>
      <w:r w:rsidR="004A3E90" w:rsidRPr="00354D7B">
        <w:rPr>
          <w:sz w:val="20"/>
          <w:szCs w:val="20"/>
        </w:rPr>
        <w:t xml:space="preserve"> a</w:t>
      </w:r>
      <w:r w:rsidRPr="00354D7B">
        <w:rPr>
          <w:sz w:val="20"/>
          <w:szCs w:val="20"/>
        </w:rPr>
        <w:t xml:space="preserve"> structured clinical interview for DSM-IV</w:t>
      </w:r>
      <w:r w:rsidR="005464B0">
        <w:rPr>
          <w:sz w:val="20"/>
          <w:szCs w:val="20"/>
        </w:rPr>
        <w:t xml:space="preserve"> </w:t>
      </w:r>
      <w:r w:rsidRPr="00354D7B">
        <w:rPr>
          <w:sz w:val="20"/>
          <w:szCs w:val="20"/>
        </w:rPr>
        <w:fldChar w:fldCharType="begin" w:fldLock="1"/>
      </w:r>
      <w:r w:rsidR="005464B0">
        <w:rPr>
          <w:sz w:val="20"/>
          <w:szCs w:val="20"/>
        </w:rPr>
        <w:instrText>ADDIN CSL_CITATION { "citationItems" : [ { "id" : "ITEM-1", "itemData" : { "author" : [ { "dropping-particle" : "", "family" : "First", "given" : "MB", "non-dropping-particle" : "", "parse-names" : false, "suffix" : "" }, { "dropping-particle" : "", "family" : "Spitzer", "given" : "RL", "non-dropping-particle" : "", "parse-names" : false, "suffix" : "" }, { "dropping-particle" : "", "family" : "Gibbon", "given" : "M", "non-dropping-particle" : "", "parse-names" : false, "suffix" : "" }, { "dropping-particle" : "", "family" : "JBW", "given" : "Williams", "non-dropping-particle" : "", "parse-names" : false, "suffix" : "" } ], "id" : "ITEM-1", "issued" : { "date-parts" : [ [ "1998" ] ] }, "publisher-place" : "New York: Biometric Research Department", "title" : "Structured clinical interview for DSM-IV patient edition (SCID-I/P V and SCID-I/NP Version 2.0)", "type" : "book" }, "uris" : [ "http://www.mendeley.com/documents/?uuid=4dddbf9b-5095-4416-8c22-b3a51a1e84e0" ] } ], "mendeley" : { "formattedCitation" : "(First &lt;i&gt;et al.&lt;/i&gt; 1998)", "plainTextFormattedCitation" : "(First et al. 1998)", "previouslyFormattedCitation" : "&lt;sup&gt;1&lt;/sup&gt;" }, "properties" : { "noteIndex" : 0 }, "schema" : "https://github.com/citation-style-language/schema/raw/master/csl-citation.json" }</w:instrText>
      </w:r>
      <w:r w:rsidRPr="00354D7B">
        <w:rPr>
          <w:sz w:val="20"/>
          <w:szCs w:val="20"/>
        </w:rPr>
        <w:fldChar w:fldCharType="separate"/>
      </w:r>
      <w:bookmarkStart w:id="0" w:name="__Fieldmark__4327_637501980"/>
      <w:r w:rsidR="005464B0" w:rsidRPr="005464B0">
        <w:rPr>
          <w:noProof/>
          <w:sz w:val="20"/>
          <w:szCs w:val="20"/>
        </w:rPr>
        <w:t xml:space="preserve">(First </w:t>
      </w:r>
      <w:r w:rsidR="005464B0" w:rsidRPr="005464B0">
        <w:rPr>
          <w:i/>
          <w:noProof/>
          <w:sz w:val="20"/>
          <w:szCs w:val="20"/>
        </w:rPr>
        <w:t>et al.</w:t>
      </w:r>
      <w:r w:rsidR="005464B0" w:rsidRPr="005464B0">
        <w:rPr>
          <w:noProof/>
          <w:sz w:val="20"/>
          <w:szCs w:val="20"/>
        </w:rPr>
        <w:t xml:space="preserve"> 1998)</w:t>
      </w:r>
      <w:r w:rsidRPr="00354D7B">
        <w:rPr>
          <w:sz w:val="20"/>
          <w:szCs w:val="20"/>
        </w:rPr>
        <w:fldChar w:fldCharType="end"/>
      </w:r>
      <w:bookmarkEnd w:id="0"/>
      <w:r w:rsidR="005464B0">
        <w:rPr>
          <w:sz w:val="20"/>
          <w:szCs w:val="20"/>
        </w:rPr>
        <w:t>,</w:t>
      </w:r>
      <w:r w:rsidRPr="00354D7B">
        <w:rPr>
          <w:sz w:val="20"/>
          <w:szCs w:val="20"/>
        </w:rPr>
        <w:t xml:space="preserve"> performed by a trained interviewer, and confirmed by at least one senior psychiatrist (RJ or AM). Depression and anxiety symptoms were assessed with the Calgary Depression Scale for Schizophrenia (CDSS)</w:t>
      </w:r>
      <w:r w:rsidR="005464B0">
        <w:rPr>
          <w:sz w:val="20"/>
          <w:szCs w:val="20"/>
        </w:rPr>
        <w:t xml:space="preserve"> </w:t>
      </w:r>
      <w:r w:rsidRPr="00354D7B">
        <w:rPr>
          <w:sz w:val="20"/>
          <w:szCs w:val="20"/>
        </w:rPr>
        <w:fldChar w:fldCharType="begin" w:fldLock="1"/>
      </w:r>
      <w:r w:rsidR="005464B0">
        <w:rPr>
          <w:sz w:val="20"/>
          <w:szCs w:val="20"/>
        </w:rPr>
        <w:instrText>ADDIN CSL_CITATION { "citationItems" : [ { "id" : "ITEM-1", "itemData" : { "ISSN" : "0920-9964", "PMID" : "2278986", "abstract" : "Scales for assessing depression are well developed for non-psychotic populations but have been criticized for being inappropriate for psychotic populations. As a result we have developed a new rating scale for the measurement of depression in schizophrenia based on items selected from the Hamilton Depression Rating Scale and the Present State Examination. The selection was based on a three stage procedure first factor analysis then measures of internal consistency and finally face validity. Ratings of depression were made on 50 acutely ill schizophrenics meeting DSM-III criteria for schizophrenia assessed at two points in time. Our results indicate that several items from both scales form a superior instrument for measuring depression in schizophrenia. The eleven items generated a Cronbach's alpha of 0.84 at time one and 0.89 at time 2.", "author" : [ { "dropping-particle" : "", "family" : "Addington", "given" : "D", "non-dropping-particle" : "", "parse-names" : false, "suffix" : "" }, { "dropping-particle" : "", "family" : "Addington", "given" : "J", "non-dropping-particle" : "", "parse-names" : false, "suffix" : "" }, { "dropping-particle" : "", "family" : "Schissel", "given" : "B", "non-dropping-particle" : "", "parse-names" : false, "suffix" : "" } ], "container-title" : "Schizophrenia research", "id" : "ITEM-1", "issue" : "4", "issued" : { "date-parts" : [ [ "1990" ] ] }, "page" : "247-51", "title" : "A depression rating scale for schizophrenics.", "type" : "article-journal", "volume" : "3" }, "uris" : [ "http://www.mendeley.com/documents/?uuid=081c5fe8-f295-38c2-b885-4f8de5cdd8ea" ] } ], "mendeley" : { "formattedCitation" : "(Addington &lt;i&gt;et al.&lt;/i&gt; 1990)", "plainTextFormattedCitation" : "(Addington et al. 1990)", "previouslyFormattedCitation" : "&lt;sup&gt;2&lt;/sup&gt;" }, "properties" : { "noteIndex" : 0 }, "schema" : "https://github.com/citation-style-language/schema/raw/master/csl-citation.json" }</w:instrText>
      </w:r>
      <w:r w:rsidRPr="00354D7B">
        <w:rPr>
          <w:sz w:val="20"/>
          <w:szCs w:val="20"/>
        </w:rPr>
        <w:fldChar w:fldCharType="separate"/>
      </w:r>
      <w:bookmarkStart w:id="1" w:name="__Fieldmark__4334_637501980"/>
      <w:r w:rsidR="005464B0" w:rsidRPr="005464B0">
        <w:rPr>
          <w:noProof/>
          <w:sz w:val="20"/>
          <w:szCs w:val="20"/>
        </w:rPr>
        <w:t xml:space="preserve">(Addington </w:t>
      </w:r>
      <w:r w:rsidR="005464B0" w:rsidRPr="005464B0">
        <w:rPr>
          <w:i/>
          <w:noProof/>
          <w:sz w:val="20"/>
          <w:szCs w:val="20"/>
        </w:rPr>
        <w:t>et al.</w:t>
      </w:r>
      <w:r w:rsidR="005464B0" w:rsidRPr="005464B0">
        <w:rPr>
          <w:noProof/>
          <w:sz w:val="20"/>
          <w:szCs w:val="20"/>
        </w:rPr>
        <w:t xml:space="preserve"> 1990)</w:t>
      </w:r>
      <w:r w:rsidRPr="00354D7B">
        <w:rPr>
          <w:sz w:val="20"/>
          <w:szCs w:val="20"/>
        </w:rPr>
        <w:fldChar w:fldCharType="end"/>
      </w:r>
      <w:bookmarkEnd w:id="1"/>
      <w:r w:rsidRPr="00354D7B">
        <w:rPr>
          <w:sz w:val="20"/>
          <w:szCs w:val="20"/>
        </w:rPr>
        <w:t xml:space="preserve"> and Hamilton Anxiety Rating Scale (HARS)</w:t>
      </w:r>
      <w:r w:rsidR="005464B0">
        <w:rPr>
          <w:sz w:val="20"/>
          <w:szCs w:val="20"/>
        </w:rPr>
        <w:t xml:space="preserve"> </w:t>
      </w:r>
      <w:r w:rsidRPr="00354D7B">
        <w:rPr>
          <w:sz w:val="20"/>
          <w:szCs w:val="20"/>
        </w:rPr>
        <w:fldChar w:fldCharType="begin" w:fldLock="1"/>
      </w:r>
      <w:r w:rsidR="005464B0">
        <w:rPr>
          <w:sz w:val="20"/>
          <w:szCs w:val="20"/>
        </w:rPr>
        <w:instrText>ADDIN CSL_CITATION { "citationItems" : [ { "id" : "ITEM-1", "itemData" : { "author" : [ { "dropping-particle" : "", "family" : "Hamilton", "given" : "M.", "non-dropping-particle" : "", "parse-names" : false, "suffix" : "" } ], "container-title" : "British Journal of Medical Psychology", "id" : "ITEM-1", "issue" : "50-55", "issued" : { "date-parts" : [ [ "1959" ] ] }, "title" : "The assessment of anxiety states by rating", "type" : "article-journal", "volume" : "32" }, "uris" : [ "http://www.mendeley.com/documents/?uuid=7082ee70-39c7-4d35-992a-3f935a27649d" ] } ], "mendeley" : { "formattedCitation" : "(Hamilton 1959)", "plainTextFormattedCitation" : "(Hamilton 1959)", "previouslyFormattedCitation" : "&lt;sup&gt;3&lt;/sup&gt;" }, "properties" : { "noteIndex" : 0 }, "schema" : "https://github.com/citation-style-language/schema/raw/master/csl-citation.json" }</w:instrText>
      </w:r>
      <w:r w:rsidRPr="00354D7B">
        <w:rPr>
          <w:sz w:val="20"/>
          <w:szCs w:val="20"/>
        </w:rPr>
        <w:fldChar w:fldCharType="separate"/>
      </w:r>
      <w:bookmarkStart w:id="2" w:name="__Fieldmark__4339_637501980"/>
      <w:r w:rsidR="005464B0" w:rsidRPr="005464B0">
        <w:rPr>
          <w:noProof/>
          <w:sz w:val="20"/>
          <w:szCs w:val="20"/>
        </w:rPr>
        <w:t>(Hamilton 1959)</w:t>
      </w:r>
      <w:r w:rsidRPr="00354D7B">
        <w:rPr>
          <w:sz w:val="20"/>
          <w:szCs w:val="20"/>
        </w:rPr>
        <w:fldChar w:fldCharType="end"/>
      </w:r>
      <w:bookmarkEnd w:id="2"/>
      <w:r w:rsidR="005464B0">
        <w:rPr>
          <w:sz w:val="20"/>
          <w:szCs w:val="20"/>
        </w:rPr>
        <w:t>,</w:t>
      </w:r>
      <w:r w:rsidRPr="00354D7B">
        <w:rPr>
          <w:sz w:val="20"/>
          <w:szCs w:val="20"/>
        </w:rPr>
        <w:t xml:space="preserve"> respectively. Positive and negative symptoms were assessed with the Scale for the Assessment of Negative Symptoms (SANS)</w:t>
      </w:r>
      <w:r w:rsidR="005464B0">
        <w:rPr>
          <w:sz w:val="20"/>
          <w:szCs w:val="20"/>
        </w:rPr>
        <w:t xml:space="preserve"> </w:t>
      </w:r>
      <w:r w:rsidRPr="00354D7B">
        <w:rPr>
          <w:sz w:val="20"/>
          <w:szCs w:val="20"/>
        </w:rPr>
        <w:fldChar w:fldCharType="begin" w:fldLock="1"/>
      </w:r>
      <w:r w:rsidR="005464B0">
        <w:rPr>
          <w:sz w:val="20"/>
          <w:szCs w:val="20"/>
        </w:rPr>
        <w:instrText>ADDIN CSL_CITATION { "citationItems" : [ { "id" : "ITEM-1", "itemData" : { "author" : [ { "dropping-particle" : "", "family" : "Andreasen", "given" : "NC", "non-dropping-particle" : "", "parse-names" : false, "suffix" : "" } ], "id" : "ITEM-1", "issued" : { "date-parts" : [ [ "1984" ] ] }, "publisher" : "University of Iowa", "publisher-place" : "Iowa City", "title" : "Scale for the Assessment of Negative Symptoms (SANS)", "type" : "book" }, "uris" : [ "http://www.mendeley.com/documents/?uuid=f3fb41b4-1005-4e40-8b12-93ae1b737d8a" ] } ], "mendeley" : { "formattedCitation" : "(Andreasen 1984a)", "plainTextFormattedCitation" : "(Andreasen 1984a)", "previouslyFormattedCitation" : "&lt;sup&gt;4&lt;/sup&gt;" }, "properties" : { "noteIndex" : 0 }, "schema" : "https://github.com/citation-style-language/schema/raw/master/csl-citation.json" }</w:instrText>
      </w:r>
      <w:r w:rsidRPr="00354D7B">
        <w:rPr>
          <w:sz w:val="20"/>
          <w:szCs w:val="20"/>
        </w:rPr>
        <w:fldChar w:fldCharType="separate"/>
      </w:r>
      <w:bookmarkStart w:id="3" w:name="__Fieldmark__4344_637501980"/>
      <w:r w:rsidR="005464B0" w:rsidRPr="005464B0">
        <w:rPr>
          <w:noProof/>
          <w:sz w:val="20"/>
          <w:szCs w:val="20"/>
        </w:rPr>
        <w:t>(Andreasen 1984a)</w:t>
      </w:r>
      <w:r w:rsidRPr="00354D7B">
        <w:rPr>
          <w:sz w:val="20"/>
          <w:szCs w:val="20"/>
        </w:rPr>
        <w:fldChar w:fldCharType="end"/>
      </w:r>
      <w:bookmarkEnd w:id="3"/>
      <w:r w:rsidRPr="00354D7B">
        <w:rPr>
          <w:sz w:val="20"/>
          <w:szCs w:val="20"/>
        </w:rPr>
        <w:t xml:space="preserve"> and Scale for the Assessment of Positive Symptoms (SAPS)</w:t>
      </w:r>
      <w:r w:rsidR="005464B0">
        <w:rPr>
          <w:sz w:val="20"/>
          <w:szCs w:val="20"/>
        </w:rPr>
        <w:t xml:space="preserve"> </w:t>
      </w:r>
      <w:r w:rsidRPr="00354D7B">
        <w:rPr>
          <w:sz w:val="20"/>
          <w:szCs w:val="20"/>
        </w:rPr>
        <w:fldChar w:fldCharType="begin" w:fldLock="1"/>
      </w:r>
      <w:r w:rsidR="005464B0">
        <w:rPr>
          <w:sz w:val="20"/>
          <w:szCs w:val="20"/>
        </w:rPr>
        <w:instrText>ADDIN CSL_CITATION { "citationItems" : [ { "id" : "ITEM-1", "itemData" : { "author" : [ { "dropping-particle" : "", "family" : "Andreasen", "given" : "NC", "non-dropping-particle" : "", "parse-names" : false, "suffix" : "" } ], "id" : "ITEM-1", "issued" : { "date-parts" : [ [ "1984" ] ] }, "publisher" : "University of Iowa", "publisher-place" : "Iowa City", "title" : "Scale for the Assessment of Positive Symptoms (SAPS)", "type" : "book" }, "uris" : [ "http://www.mendeley.com/documents/?uuid=6bf25a5c-2db6-4893-92ab-abff65051240" ] } ], "mendeley" : { "formattedCitation" : "(Andreasen 1984b)", "plainTextFormattedCitation" : "(Andreasen 1984b)", "previouslyFormattedCitation" : "&lt;sup&gt;5&lt;/sup&gt;" }, "properties" : { "noteIndex" : 0 }, "schema" : "https://github.com/citation-style-language/schema/raw/master/csl-citation.json" }</w:instrText>
      </w:r>
      <w:r w:rsidRPr="00354D7B">
        <w:rPr>
          <w:sz w:val="20"/>
          <w:szCs w:val="20"/>
        </w:rPr>
        <w:fldChar w:fldCharType="separate"/>
      </w:r>
      <w:bookmarkStart w:id="4" w:name="__Fieldmark__4349_637501980"/>
      <w:r w:rsidR="005464B0" w:rsidRPr="005464B0">
        <w:rPr>
          <w:noProof/>
          <w:sz w:val="20"/>
          <w:szCs w:val="20"/>
        </w:rPr>
        <w:t>(Andreasen 1984b)</w:t>
      </w:r>
      <w:r w:rsidRPr="00354D7B">
        <w:rPr>
          <w:sz w:val="20"/>
          <w:szCs w:val="20"/>
        </w:rPr>
        <w:fldChar w:fldCharType="end"/>
      </w:r>
      <w:bookmarkEnd w:id="4"/>
      <w:r w:rsidR="005464B0">
        <w:rPr>
          <w:sz w:val="20"/>
          <w:szCs w:val="20"/>
        </w:rPr>
        <w:t>.</w:t>
      </w:r>
      <w:r w:rsidRPr="00354D7B">
        <w:rPr>
          <w:sz w:val="20"/>
          <w:szCs w:val="20"/>
        </w:rPr>
        <w:t xml:space="preserve"> </w:t>
      </w:r>
      <w:r w:rsidRPr="00354D7B">
        <w:rPr>
          <w:rFonts w:eastAsia="Times New Roman"/>
          <w:sz w:val="20"/>
          <w:szCs w:val="20"/>
        </w:rPr>
        <w:t>Duration of untreated psychosis (DUP) was also assessed, referring to the period of time in weeks between onset of psychotic symptoms to adequate treatment with antipsychotics, as described elsewhere</w:t>
      </w:r>
      <w:r w:rsidR="005464B0">
        <w:rPr>
          <w:rFonts w:eastAsia="Times New Roman"/>
          <w:sz w:val="20"/>
          <w:szCs w:val="20"/>
        </w:rPr>
        <w:t xml:space="preserve"> </w:t>
      </w:r>
      <w:r w:rsidRPr="00354D7B">
        <w:rPr>
          <w:sz w:val="20"/>
          <w:szCs w:val="20"/>
        </w:rPr>
        <w:fldChar w:fldCharType="begin" w:fldLock="1"/>
      </w:r>
      <w:r w:rsidR="005464B0">
        <w:rPr>
          <w:sz w:val="20"/>
          <w:szCs w:val="20"/>
        </w:rPr>
        <w:instrText>ADDIN CSL_CITATION { "citationItems" : [ { "id" : "ITEM-1", "itemData" : { "DOI" : "10.1192/bjpo.bp.115.002444", "ISSN" : "2056-4724", "abstract" : "Background Current neuroscience literature has related treatment with aripiprazole to improved memory performance and subcellular changes in the hippocampus.\n\nAims To explore the volumetric changes in hippocampal grey matter in people with a first episode of psychosis (FEP) treated with second-generation antipsychotics.\n\nMethod Baseline and 1-year follow-up magnetic resonance images were obtained. Hippocampal volumes were estimated by using FreeSurfer and MAGeT-Brain. Subgroups included: aripiprazole ( n =13), olanzapine ( n =12), risperidone/paliperidone ( n =24), refused-antipsychotics ( n =13) and controls ( n =44).\n\nResults Aripiprazole subgroup displayed significant increases in bilateral hippocampal volume compared with all other subgroups (FreeSurfer: all P \u2019s&lt;0.012; MAGeT-Brain: all P \u2019s&lt;0.040).\n\nConclusions Aripiprazole is a first-line, second-generation treatment option that may provide an added benefit of pro-hippocampal growth. The biological underpinnings of these changes should be the focus of future investigations and may be key towards achieving a better clinical outcome for more individuals.\n\nDeclaration of interest M.L. received financial assistance/compensation for research and educational events from Janssen-Ortho, Eli Lilly, Roche and Otsuka/Lundbeck Alliance. A.K.M. received financial assistance/compensation for research and educational activities from Pfizer, Janssen-Ortho, AstraZeneca and Bristol-Myers Squibb. R.J. received consultancy honorariums from Pfizer and Janssen-Ortho.\n\nCopyright and usage \u00a9 The Royal College of Psychiatrists 2016. This is an open access article distributed under the terms of the Creative Commons Non-Commercial, No Derivatives (CC BY-NC-ND) licence.", "author" : [ { "dropping-particle" : "", "family" : "Bodnar", "given" : "Michael", "non-dropping-particle" : "", "parse-names" : false, "suffix" : "" }, { "dropping-particle" : "", "family" : "Malla", "given" : "Ashok K.", "non-dropping-particle" : "", "parse-names" : false, "suffix" : "" }, { "dropping-particle" : "", "family" : "Makowski", "given" : "Carolina", "non-dropping-particle" : "", "parse-names" : false, "suffix" : "" }, { "dropping-particle" : "", "family" : "Chakravarty", "given" : "M. Mallar", "non-dropping-particle" : "", "parse-names" : false, "suffix" : "" }, { "dropping-particle" : "", "family" : "Joober", "given" : "Ridha", "non-dropping-particle" : "", "parse-names" : false, "suffix" : "" }, { "dropping-particle" : "", "family" : "Lepage", "given" : "Martin", "non-dropping-particle" : "", "parse-names" : false, "suffix" : "" } ], "container-title" : "British Journal of Psychiatry Open", "id" : "ITEM-1", "issue" : "2", "issued" : { "date-parts" : [ [ "2016", "3", "9" ] ] }, "language" : "en", "page" : "139-146", "publisher" : "The Royal College of Psychiatrists", "title" : "The effect of second-generation antipsychotics on hippocampal volume in first episode of psychosis: longitudinal study", "type" : "article-journal", "volume" : "2" }, "uris" : [ "http://www.mendeley.com/documents/?uuid=d94edf3c-8954-4b8a-850c-06699122e67f" ] } ], "mendeley" : { "formattedCitation" : "(Bodnar &lt;i&gt;et al.&lt;/i&gt; 2016)", "plainTextFormattedCitation" : "(Bodnar et al. 2016)", "previouslyFormattedCitation" : "&lt;sup&gt;6&lt;/sup&gt;" }, "properties" : { "noteIndex" : 0 }, "schema" : "https://github.com/citation-style-language/schema/raw/master/csl-citation.json" }</w:instrText>
      </w:r>
      <w:r w:rsidRPr="00354D7B">
        <w:rPr>
          <w:sz w:val="20"/>
          <w:szCs w:val="20"/>
        </w:rPr>
        <w:fldChar w:fldCharType="separate"/>
      </w:r>
      <w:bookmarkStart w:id="5" w:name="__Fieldmark__4355_637501980"/>
      <w:r w:rsidR="005464B0" w:rsidRPr="005464B0">
        <w:rPr>
          <w:rFonts w:eastAsia="Times New Roman"/>
          <w:noProof/>
          <w:sz w:val="20"/>
          <w:szCs w:val="20"/>
        </w:rPr>
        <w:t xml:space="preserve">(Bodnar </w:t>
      </w:r>
      <w:r w:rsidR="005464B0" w:rsidRPr="005464B0">
        <w:rPr>
          <w:rFonts w:eastAsia="Times New Roman"/>
          <w:i/>
          <w:noProof/>
          <w:sz w:val="20"/>
          <w:szCs w:val="20"/>
        </w:rPr>
        <w:t>et al.</w:t>
      </w:r>
      <w:r w:rsidR="005464B0" w:rsidRPr="005464B0">
        <w:rPr>
          <w:rFonts w:eastAsia="Times New Roman"/>
          <w:noProof/>
          <w:sz w:val="20"/>
          <w:szCs w:val="20"/>
        </w:rPr>
        <w:t xml:space="preserve"> 2016)</w:t>
      </w:r>
      <w:r w:rsidRPr="00354D7B">
        <w:rPr>
          <w:sz w:val="20"/>
          <w:szCs w:val="20"/>
        </w:rPr>
        <w:fldChar w:fldCharType="end"/>
      </w:r>
      <w:bookmarkEnd w:id="5"/>
      <w:r w:rsidR="005464B0">
        <w:rPr>
          <w:sz w:val="20"/>
          <w:szCs w:val="20"/>
        </w:rPr>
        <w:t>.</w:t>
      </w:r>
      <w:r w:rsidRPr="00354D7B">
        <w:rPr>
          <w:rFonts w:eastAsia="Times New Roman"/>
          <w:sz w:val="20"/>
          <w:szCs w:val="20"/>
        </w:rPr>
        <w:t xml:space="preserve"> </w:t>
      </w:r>
      <w:r w:rsidRPr="00354D7B">
        <w:rPr>
          <w:sz w:val="20"/>
          <w:szCs w:val="20"/>
        </w:rPr>
        <w:t>Antipsychotic medication dosages were converted to chlorpromazine equivalents according to the literature</w:t>
      </w:r>
      <w:r w:rsidR="00C62B50">
        <w:rPr>
          <w:sz w:val="20"/>
          <w:szCs w:val="20"/>
        </w:rPr>
        <w:t xml:space="preserve"> </w:t>
      </w:r>
      <w:r w:rsidRPr="00354D7B">
        <w:rPr>
          <w:sz w:val="20"/>
          <w:szCs w:val="20"/>
        </w:rPr>
        <w:fldChar w:fldCharType="begin" w:fldLock="1"/>
      </w:r>
      <w:r w:rsidR="005464B0">
        <w:rPr>
          <w:sz w:val="20"/>
          <w:szCs w:val="20"/>
        </w:rPr>
        <w:instrText>ADDIN CSL_CITATION { "citationItems" : [ { "id" : "ITEM-1", "itemData" : { "DOI" : "10.1093/schbul/sbu001", "ISSN" : "17451701", "PMID" : "24493852", "abstract" : "BACKGROUND: Clinicians need to know the right antipsychotic dose for optimized treatment, and the concept of dose equivalence is important for many clinical and scientific purposes.\\n\\nMETHODS: We refined a method presented in 2003, which was based on the minimum effective doses found in fixed-dose studies. We operationalized the selection process, updated the original findings, and expanded them by systematically searching more recent literature and by including 13 second-generation antipsychotics. To qualify for the minimum effective dose, a dose had to be significantly more efficacious than placebo in the primary outcome of at least one randomized, double-blind, fixed-dose trial. In a sensitivity analysis, 2 positive trials were required. The minimum effective doses identified were subsequently used to derive olanzapine, risperidone, haloperidol, and chlorpromazine equivalents.\\n\\nRESULTS: We reviewed 73 included studies. The minimum effective daily doses/olanzapine equivalents based on our primary approach were: aripiprazole 10 mg/1.33, asenapine 10 mg/1.33, clozapine 300 mg/40, haloperidol 4 mg/0.53, iloperidone 8 mg/1.07, lurasidone 40 mg/5.33, olanzapine 7.5 mg/1, paliperidone 3 mg/0.4, quetiapine 150 mg/20, risperidone 2 mg/0.27, sertindole 12 mg/1.60, and ziprasidone 40 mg/5.33. For amisulpride and zotepine, reliable estimates could not be derived.\\n\\nCONCLUSIONS: This method for determining antipsychotic dose equivalence entails an operationalized and evidence-based approach that can be applied to the various antipsychotic drugs. As a limitation, the results are not applicable to specific populations such as first-episode or refractory patients. We recommend that alternative methods also be updated in order to minimize further differences between the methods and risk of subsequent bias.", "author" : [ { "dropping-particle" : "", "family" : "Leucht", "given" : "Stefan", "non-dropping-particle" : "", "parse-names" : false, "suffix" : "" }, { "dropping-particle" : "", "family" : "Samara", "given" : "Myrto", "non-dropping-particle" : "", "parse-names" : false, "suffix" : "" }, { "dropping-particle" : "", "family" : "Heres", "given" : "Stephan", "non-dropping-particle" : "", "parse-names" : false, "suffix" : "" }, { "dropping-particle" : "", "family" : "Patel", "given" : "Maxine X.", "non-dropping-particle" : "", "parse-names" : false, "suffix" : "" }, { "dropping-particle" : "", "family" : "Woods", "given" : "Scott W.", "non-dropping-particle" : "", "parse-names" : false, "suffix" : "" }, { "dropping-particle" : "", "family" : "Davis", "given" : "John M.", "non-dropping-particle" : "", "parse-names" : false, "suffix" : "" } ], "container-title" : "Schizophrenia Bulletin", "id" : "ITEM-1", "issue" : "2", "issued" : { "date-parts" : [ [ "2014" ] ] }, "page" : "314-326", "title" : "Dose equivalents for second-generation antipsychotics: The minimum effective dose method", "type" : "article-journal", "volume" : "40" }, "uris" : [ "http://www.mendeley.com/documents/?uuid=777a1188-c15c-4091-abe8-fd8dd43c5d09" ] } ], "mendeley" : { "formattedCitation" : "(Leucht &lt;i&gt;et al.&lt;/i&gt; 2014)", "plainTextFormattedCitation" : "(Leucht et al. 2014)", "previouslyFormattedCitation" : "&lt;sup&gt;7&lt;/sup&gt;" }, "properties" : { "noteIndex" : 0 }, "schema" : "https://github.com/citation-style-language/schema/raw/master/csl-citation.json" }</w:instrText>
      </w:r>
      <w:r w:rsidRPr="00354D7B">
        <w:rPr>
          <w:sz w:val="20"/>
          <w:szCs w:val="20"/>
        </w:rPr>
        <w:fldChar w:fldCharType="separate"/>
      </w:r>
      <w:bookmarkStart w:id="6" w:name="__Fieldmark__4361_637501980"/>
      <w:r w:rsidR="005464B0" w:rsidRPr="005464B0">
        <w:rPr>
          <w:noProof/>
          <w:sz w:val="20"/>
          <w:szCs w:val="20"/>
        </w:rPr>
        <w:t xml:space="preserve">(Leucht </w:t>
      </w:r>
      <w:r w:rsidR="005464B0" w:rsidRPr="005464B0">
        <w:rPr>
          <w:i/>
          <w:noProof/>
          <w:sz w:val="20"/>
          <w:szCs w:val="20"/>
        </w:rPr>
        <w:t>et al.</w:t>
      </w:r>
      <w:r w:rsidR="005464B0" w:rsidRPr="005464B0">
        <w:rPr>
          <w:noProof/>
          <w:sz w:val="20"/>
          <w:szCs w:val="20"/>
        </w:rPr>
        <w:t xml:space="preserve"> 2014)</w:t>
      </w:r>
      <w:r w:rsidRPr="00354D7B">
        <w:rPr>
          <w:sz w:val="20"/>
          <w:szCs w:val="20"/>
        </w:rPr>
        <w:fldChar w:fldCharType="end"/>
      </w:r>
      <w:bookmarkEnd w:id="6"/>
      <w:r w:rsidR="00C62B50">
        <w:rPr>
          <w:sz w:val="20"/>
          <w:szCs w:val="20"/>
        </w:rPr>
        <w:t>,</w:t>
      </w:r>
      <w:r w:rsidRPr="00354D7B">
        <w:rPr>
          <w:sz w:val="20"/>
          <w:szCs w:val="20"/>
        </w:rPr>
        <w:t xml:space="preserve"> </w:t>
      </w:r>
      <w:r w:rsidRPr="00354D7B">
        <w:rPr>
          <w:rFonts w:eastAsia="Times New Roman"/>
          <w:sz w:val="20"/>
          <w:szCs w:val="20"/>
        </w:rPr>
        <w:t>and multiplied by percent medication adherence</w:t>
      </w:r>
      <w:r w:rsidR="005464B0">
        <w:rPr>
          <w:rFonts w:eastAsia="Times New Roman"/>
          <w:sz w:val="20"/>
          <w:szCs w:val="20"/>
        </w:rPr>
        <w:t xml:space="preserve"> </w:t>
      </w:r>
      <w:r w:rsidRPr="00354D7B">
        <w:rPr>
          <w:sz w:val="20"/>
          <w:szCs w:val="20"/>
        </w:rPr>
        <w:fldChar w:fldCharType="begin" w:fldLock="1"/>
      </w:r>
      <w:r w:rsidR="005464B0">
        <w:rPr>
          <w:sz w:val="20"/>
          <w:szCs w:val="20"/>
        </w:rPr>
        <w:instrText>ADDIN CSL_CITATION { "citationItems" : [ { "id" : "ITEM-1", "itemData" : { "DOI" : "10.1097/JCP.0b013e3181ca03df", "ISBN" : "0271-0749\\r1533-712X", "ISSN" : "1533-712X", "PMID" : "20075650", "abstract" : "This study evaluates how much agreement there is between subjective reports of adherence to antipsychotic medication and objective or derived measures of adherence in first-episode psychosis (FEP) and asks if any adherence measure could approximate a gold standard based on correlation to symptom improvement in the early phase of treatment. Adherence was assessed in 81 FEP subjects on a monthly basis by reports from patients, clinicians, family, and pill counting. A consensus measure of adherence was derived from all available sources of adherence data. Symptoms were measured using the Positive and Negative Syndrome Scale at study entry and 3 months subsequently. Adherence as measured by patient report, pill count, and clinician report were in good agreement with each other (intraclass correlation coefficient = 0.84), and all of these measures were highly correlated to consensus adherence (r values between 0.86 and 0.98). Mean adherence was slightly higher as rated by patients (83% full doses taken per month) and family members (91%) than by clinicians (76%), pill counting (73%), or consensus value (74%). Early in treatment, each measure of adherence (except family report) was significantly associated with positive symptom reduction, although the order of magnitude of this correlation was greater for pill count and consensus adherence (P &lt; 0.01) compared with patient- or clinician-reported adherence (P &lt; 0.05). Patient or clinician reports provide a reasonable estimate of medication adherence in FEP, but introducing pill counting or a derived measure of adherence may allow more accurate measurement.", "author" : [ { "dropping-particle" : "", "family" : "Cassidy", "given" : "Clifford M.", "non-dropping-particle" : "", "parse-names" : false, "suffix" : "" }, { "dropping-particle" : "", "family" : "Rabinovitch", "given" : "Mark", "non-dropping-particle" : "", "parse-names" : false, "suffix" : "" }, { "dropping-particle" : "", "family" : "Schmitz", "given" : "Norbert", "non-dropping-particle" : "", "parse-names" : false, "suffix" : "" }, { "dropping-particle" : "", "family" : "Joober", "given" : "Ridha", "non-dropping-particle" : "", "parse-names" : false, "suffix" : "" }, { "dropping-particle" : "", "family" : "Malla", "given" : "Ashok", "non-dropping-particle" : "", "parse-names" : false, "suffix" : "" } ], "container-title" : "Journal of clinical psychopharmacology", "id" : "ITEM-1", "issue" : "1", "issued" : { "date-parts" : [ [ "2010" ] ] }, "page" : "64-7", "title" : "A comparison study of multiple measures of adherence to antipsychotic medication in first-episode psychosis.", "type" : "article-journal", "volume" : "30" }, "uris" : [ "http://www.mendeley.com/documents/?uuid=cd1859b5-2e29-480a-80bf-b900f86e9d13" ] } ], "mendeley" : { "formattedCitation" : "(Cassidy &lt;i&gt;et al.&lt;/i&gt; 2010)", "plainTextFormattedCitation" : "(Cassidy et al. 2010)", "previouslyFormattedCitation" : "&lt;sup&gt;8&lt;/sup&gt;" }, "properties" : { "noteIndex" : 0 }, "schema" : "https://github.com/citation-style-language/schema/raw/master/csl-citation.json" }</w:instrText>
      </w:r>
      <w:r w:rsidRPr="00354D7B">
        <w:rPr>
          <w:sz w:val="20"/>
          <w:szCs w:val="20"/>
        </w:rPr>
        <w:fldChar w:fldCharType="separate"/>
      </w:r>
      <w:bookmarkStart w:id="7" w:name="__Fieldmark__4367_637501980"/>
      <w:r w:rsidR="005464B0" w:rsidRPr="005464B0">
        <w:rPr>
          <w:rFonts w:eastAsia="Times New Roman"/>
          <w:noProof/>
          <w:sz w:val="20"/>
          <w:szCs w:val="20"/>
        </w:rPr>
        <w:t xml:space="preserve">(Cassidy </w:t>
      </w:r>
      <w:r w:rsidR="005464B0" w:rsidRPr="005464B0">
        <w:rPr>
          <w:rFonts w:eastAsia="Times New Roman"/>
          <w:i/>
          <w:noProof/>
          <w:sz w:val="20"/>
          <w:szCs w:val="20"/>
        </w:rPr>
        <w:t>et al.</w:t>
      </w:r>
      <w:r w:rsidR="005464B0" w:rsidRPr="005464B0">
        <w:rPr>
          <w:rFonts w:eastAsia="Times New Roman"/>
          <w:noProof/>
          <w:sz w:val="20"/>
          <w:szCs w:val="20"/>
        </w:rPr>
        <w:t xml:space="preserve"> 2010)</w:t>
      </w:r>
      <w:r w:rsidRPr="00354D7B">
        <w:rPr>
          <w:sz w:val="20"/>
          <w:szCs w:val="20"/>
        </w:rPr>
        <w:fldChar w:fldCharType="end"/>
      </w:r>
      <w:bookmarkEnd w:id="7"/>
      <w:r w:rsidR="005464B0">
        <w:rPr>
          <w:sz w:val="20"/>
          <w:szCs w:val="20"/>
        </w:rPr>
        <w:t>.</w:t>
      </w:r>
      <w:r w:rsidRPr="00354D7B">
        <w:rPr>
          <w:sz w:val="20"/>
          <w:szCs w:val="20"/>
        </w:rPr>
        <w:t xml:space="preserve"> For both controls and patients, parental socioeconomic status (SES) was estimated using the Hollingshead SES Rating Scale</w:t>
      </w:r>
      <w:r w:rsidR="005464B0">
        <w:rPr>
          <w:sz w:val="20"/>
          <w:szCs w:val="20"/>
        </w:rPr>
        <w:t xml:space="preserve"> </w:t>
      </w:r>
      <w:r w:rsidRPr="00354D7B">
        <w:rPr>
          <w:sz w:val="20"/>
          <w:szCs w:val="20"/>
        </w:rPr>
        <w:fldChar w:fldCharType="begin" w:fldLock="1"/>
      </w:r>
      <w:r w:rsidR="005464B0">
        <w:rPr>
          <w:sz w:val="20"/>
          <w:szCs w:val="20"/>
        </w:rPr>
        <w:instrText>ADDIN CSL_CITATION { "citationItems" : [ { "id" : "ITEM-1", "itemData" : { "author" : [ { "dropping-particle" : "", "family" : "Hollingshead", "given" : "A", "non-dropping-particle" : "", "parse-names" : false, "suffix" : "" } ], "id" : "ITEM-1", "issued" : { "date-parts" : [ [ "1965" ] ] }, "publisher" : "Yale University Press", "publisher-place" : "New Haven, CN", "title" : "A Two-Factor Index of Social Position", "type" : "book" }, "uris" : [ "http://www.mendeley.com/documents/?uuid=8fbe8084-bf9e-4337-a631-a464ea051632" ] } ], "mendeley" : { "formattedCitation" : "(Hollingshead 1965)", "plainTextFormattedCitation" : "(Hollingshead 1965)", "previouslyFormattedCitation" : "&lt;sup&gt;9&lt;/sup&gt;" }, "properties" : { "noteIndex" : 0 }, "schema" : "https://github.com/citation-style-language/schema/raw/master/csl-citation.json" }</w:instrText>
      </w:r>
      <w:r w:rsidRPr="00354D7B">
        <w:rPr>
          <w:sz w:val="20"/>
          <w:szCs w:val="20"/>
        </w:rPr>
        <w:fldChar w:fldCharType="separate"/>
      </w:r>
      <w:bookmarkStart w:id="8" w:name="__Fieldmark__4372_637501980"/>
      <w:r w:rsidR="005464B0" w:rsidRPr="005464B0">
        <w:rPr>
          <w:noProof/>
          <w:sz w:val="20"/>
          <w:szCs w:val="20"/>
        </w:rPr>
        <w:t>(Hollingshead 1965)</w:t>
      </w:r>
      <w:r w:rsidRPr="00354D7B">
        <w:rPr>
          <w:sz w:val="20"/>
          <w:szCs w:val="20"/>
        </w:rPr>
        <w:fldChar w:fldCharType="end"/>
      </w:r>
      <w:bookmarkEnd w:id="8"/>
      <w:r w:rsidR="005464B0">
        <w:rPr>
          <w:sz w:val="20"/>
          <w:szCs w:val="20"/>
        </w:rPr>
        <w:t>,</w:t>
      </w:r>
      <w:r w:rsidRPr="00354D7B">
        <w:rPr>
          <w:sz w:val="20"/>
          <w:szCs w:val="20"/>
        </w:rPr>
        <w:t xml:space="preserve"> and handedness determined with the Edinburgh Handedness Inventory</w:t>
      </w:r>
      <w:r w:rsidR="005464B0">
        <w:rPr>
          <w:sz w:val="20"/>
          <w:szCs w:val="20"/>
        </w:rPr>
        <w:t xml:space="preserve"> </w:t>
      </w:r>
      <w:r w:rsidRPr="00354D7B">
        <w:rPr>
          <w:sz w:val="20"/>
          <w:szCs w:val="20"/>
        </w:rPr>
        <w:fldChar w:fldCharType="begin" w:fldLock="1"/>
      </w:r>
      <w:r w:rsidR="005464B0">
        <w:rPr>
          <w:sz w:val="20"/>
          <w:szCs w:val="20"/>
        </w:rPr>
        <w:instrText>ADDIN CSL_CITATION { "citationItems" : [ { "id" : "ITEM-1", "itemData" : { "author" : [ { "dropping-particle" : "", "family" : "Oldfield", "given" : "RC", "non-dropping-particle" : "", "parse-names" : false, "suffix" : "" } ], "container-title" : "Neuropsychologia", "id" : "ITEM-1", "issue" : "1", "issued" : { "date-parts" : [ [ "1971" ] ] }, "page" : "97-113", "title" : "The assessment and analysis of handedness: the Edinburgh inventory", "type" : "article-journal", "volume" : "9" }, "uris" : [ "http://www.mendeley.com/documents/?uuid=9a5c3ce5-2626-45c1-bdbc-a6f9709bb771" ] } ], "mendeley" : { "formattedCitation" : "(Oldfield 1971)", "plainTextFormattedCitation" : "(Oldfield 1971)", "previouslyFormattedCitation" : "&lt;sup&gt;10&lt;/sup&gt;" }, "properties" : { "noteIndex" : 0 }, "schema" : "https://github.com/citation-style-language/schema/raw/master/csl-citation.json" }</w:instrText>
      </w:r>
      <w:r w:rsidRPr="00354D7B">
        <w:rPr>
          <w:sz w:val="20"/>
          <w:szCs w:val="20"/>
        </w:rPr>
        <w:fldChar w:fldCharType="separate"/>
      </w:r>
      <w:bookmarkStart w:id="9" w:name="__Fieldmark__4377_637501980"/>
      <w:r w:rsidR="005464B0" w:rsidRPr="005464B0">
        <w:rPr>
          <w:noProof/>
          <w:sz w:val="20"/>
          <w:szCs w:val="20"/>
        </w:rPr>
        <w:t>(Oldfield 1971)</w:t>
      </w:r>
      <w:r w:rsidRPr="00354D7B">
        <w:rPr>
          <w:sz w:val="20"/>
          <w:szCs w:val="20"/>
        </w:rPr>
        <w:fldChar w:fldCharType="end"/>
      </w:r>
      <w:bookmarkEnd w:id="9"/>
      <w:r w:rsidR="005464B0">
        <w:rPr>
          <w:sz w:val="20"/>
          <w:szCs w:val="20"/>
        </w:rPr>
        <w:t>.</w:t>
      </w:r>
      <w:r w:rsidRPr="00354D7B">
        <w:rPr>
          <w:sz w:val="20"/>
          <w:szCs w:val="20"/>
        </w:rPr>
        <w:t xml:space="preserve"> Due to a change in the neuropsychological test battery used mid-way through the study, Full Scale IQ was assessed with the Weschler Adult Intelligence Scale (WAIS-III)</w:t>
      </w:r>
      <w:r w:rsidRPr="00354D7B">
        <w:rPr>
          <w:bCs/>
          <w:sz w:val="20"/>
          <w:szCs w:val="20"/>
          <w:lang w:val="en-GB"/>
        </w:rPr>
        <w:t xml:space="preserve"> </w:t>
      </w:r>
      <w:r w:rsidRPr="00354D7B">
        <w:rPr>
          <w:sz w:val="20"/>
          <w:szCs w:val="20"/>
        </w:rPr>
        <w:t>for a proportion of subjects, and the Weschler Abbreviated Scale of Intelligence (WASI) for the remaining sample</w:t>
      </w:r>
      <w:r w:rsidR="005464B0">
        <w:rPr>
          <w:sz w:val="20"/>
          <w:szCs w:val="20"/>
        </w:rPr>
        <w:t xml:space="preserve"> </w:t>
      </w:r>
      <w:r w:rsidRPr="00354D7B">
        <w:rPr>
          <w:sz w:val="20"/>
          <w:szCs w:val="20"/>
        </w:rPr>
        <w:fldChar w:fldCharType="begin" w:fldLock="1"/>
      </w:r>
      <w:r w:rsidR="005464B0">
        <w:rPr>
          <w:sz w:val="20"/>
          <w:szCs w:val="20"/>
        </w:rPr>
        <w:instrText>ADDIN CSL_CITATION { "citationItems" : [ { "id" : "ITEM-1", "itemData" : { "author" : [ { "dropping-particle" : "", "family" : "Weschler", "given" : "D", "non-dropping-particle" : "", "parse-names" : false, "suffix" : "" } ], "id" : "ITEM-1", "issued" : { "date-parts" : [ [ "1999" ] ] }, "publisher" : "The Psychological Corporation", "publisher-place" : "San Antonio, TX", "title" : "Weschler Abbreviated Scale of Intelligence", "type" : "book" }, "uris" : [ "http://www.mendeley.com/documents/?uuid=befd28db-bad1-4ea6-a347-652174da6b95" ] }, { "id" : "ITEM-2", "itemData" : { "author" : [ { "dropping-particle" : "", "family" : "Weschler", "given" : "D", "non-dropping-particle" : "", "parse-names" : false, "suffix" : "" } ], "id" : "ITEM-2", "issued" : { "date-parts" : [ [ "1997" ] ] }, "publisher" : "The Psychological Corporation", "publisher-place" : "San Antonio, TX", "title" : "Weschler Adult Intelligence Scale - 3rd Edition", "type" : "book" }, "uris" : [ "http://www.mendeley.com/documents/?uuid=16cf8935-0fbb-4daf-85e0-146b0dee0102" ] } ], "mendeley" : { "formattedCitation" : "(Weschler 1997, 1999)", "plainTextFormattedCitation" : "(Weschler 1997, 1999)", "previouslyFormattedCitation" : "&lt;sup&gt;11,12&lt;/sup&gt;" }, "properties" : { "noteIndex" : 0 }, "schema" : "https://github.com/citation-style-language/schema/raw/master/csl-citation.json" }</w:instrText>
      </w:r>
      <w:r w:rsidRPr="00354D7B">
        <w:rPr>
          <w:sz w:val="20"/>
          <w:szCs w:val="20"/>
        </w:rPr>
        <w:fldChar w:fldCharType="separate"/>
      </w:r>
      <w:bookmarkStart w:id="10" w:name="__Fieldmark__4388_637501980"/>
      <w:r w:rsidR="005464B0" w:rsidRPr="005464B0">
        <w:rPr>
          <w:noProof/>
          <w:sz w:val="20"/>
          <w:szCs w:val="20"/>
        </w:rPr>
        <w:t>(Weschler 1997, 1999)</w:t>
      </w:r>
      <w:r w:rsidRPr="00354D7B">
        <w:rPr>
          <w:sz w:val="20"/>
          <w:szCs w:val="20"/>
        </w:rPr>
        <w:fldChar w:fldCharType="end"/>
      </w:r>
      <w:bookmarkEnd w:id="10"/>
      <w:r w:rsidR="005464B0">
        <w:rPr>
          <w:sz w:val="20"/>
          <w:szCs w:val="20"/>
        </w:rPr>
        <w:t>.</w:t>
      </w:r>
    </w:p>
    <w:p w14:paraId="4ED1F1FF" w14:textId="77777777" w:rsidR="00354D7B" w:rsidRPr="004A7A16" w:rsidRDefault="00354D7B" w:rsidP="00354D7B">
      <w:pPr>
        <w:ind w:left="993" w:hanging="993"/>
        <w:jc w:val="both"/>
        <w:outlineLvl w:val="0"/>
        <w:rPr>
          <w:b/>
          <w:sz w:val="12"/>
          <w:szCs w:val="12"/>
          <w:lang w:val="en-CA"/>
        </w:rPr>
      </w:pPr>
    </w:p>
    <w:p w14:paraId="673DABEF" w14:textId="77777777" w:rsidR="002814CE" w:rsidRDefault="002138D0" w:rsidP="00354D7B">
      <w:pPr>
        <w:adjustRightInd w:val="0"/>
        <w:jc w:val="both"/>
        <w:outlineLvl w:val="0"/>
        <w:rPr>
          <w:b/>
          <w:lang w:val="en-CA"/>
        </w:rPr>
      </w:pPr>
      <w:r>
        <w:rPr>
          <w:b/>
          <w:lang w:val="en-CA"/>
        </w:rPr>
        <w:t>ii</w:t>
      </w:r>
      <w:r w:rsidR="000E7CDF">
        <w:rPr>
          <w:b/>
          <w:lang w:val="en-CA"/>
        </w:rPr>
        <w:t>i</w:t>
      </w:r>
      <w:r>
        <w:rPr>
          <w:b/>
          <w:lang w:val="en-CA"/>
        </w:rPr>
        <w:t xml:space="preserve">. </w:t>
      </w:r>
      <w:r w:rsidR="002814CE">
        <w:rPr>
          <w:b/>
          <w:lang w:val="en-CA"/>
        </w:rPr>
        <w:t>Image Processing Details</w:t>
      </w:r>
    </w:p>
    <w:p w14:paraId="43F9EA08" w14:textId="03C7CE53" w:rsidR="00C62B50" w:rsidRPr="004A7A16" w:rsidRDefault="009A6068" w:rsidP="00354D7B">
      <w:pPr>
        <w:jc w:val="both"/>
        <w:outlineLvl w:val="0"/>
        <w:rPr>
          <w:rFonts w:eastAsia="Times New Roman"/>
          <w:sz w:val="20"/>
          <w:szCs w:val="20"/>
        </w:rPr>
      </w:pPr>
      <w:r>
        <w:rPr>
          <w:b/>
          <w:sz w:val="20"/>
          <w:szCs w:val="20"/>
          <w:lang w:val="en-CA"/>
        </w:rPr>
        <w:t>Additional details on White-Gray Contrast extraction</w:t>
      </w:r>
      <w:r w:rsidR="002814CE" w:rsidRPr="00354D7B">
        <w:rPr>
          <w:b/>
          <w:sz w:val="20"/>
          <w:szCs w:val="20"/>
          <w:lang w:val="en-CA"/>
        </w:rPr>
        <w:t>.</w:t>
      </w:r>
      <w:r w:rsidR="00200C72" w:rsidRPr="00354D7B">
        <w:rPr>
          <w:sz w:val="20"/>
          <w:szCs w:val="20"/>
          <w:lang w:val="en-CA"/>
        </w:rPr>
        <w:t xml:space="preserve"> </w:t>
      </w:r>
      <w:r>
        <w:rPr>
          <w:sz w:val="20"/>
          <w:szCs w:val="20"/>
          <w:lang w:val="en-CA"/>
        </w:rPr>
        <w:t xml:space="preserve">As described in the manuscript, </w:t>
      </w:r>
      <w:r w:rsidR="00200C72" w:rsidRPr="00354D7B">
        <w:rPr>
          <w:sz w:val="20"/>
          <w:szCs w:val="20"/>
        </w:rPr>
        <w:t xml:space="preserve">T1-weighted images were submitted to </w:t>
      </w:r>
      <w:r w:rsidR="00200C72" w:rsidRPr="00354D7B">
        <w:rPr>
          <w:rFonts w:eastAsia="Times New Roman"/>
          <w:sz w:val="20"/>
          <w:szCs w:val="20"/>
        </w:rPr>
        <w:t xml:space="preserve">the CIVET pipeline (Version 2.1.0: </w:t>
      </w:r>
      <w:hyperlink r:id="rId8" w:history="1">
        <w:r w:rsidR="00C62B50" w:rsidRPr="00AC5F27">
          <w:rPr>
            <w:rStyle w:val="Hyperlink"/>
            <w:rFonts w:eastAsia="Times New Roman"/>
            <w:sz w:val="20"/>
            <w:szCs w:val="20"/>
          </w:rPr>
          <w:t>http://www.bic.mni.mcgill.ca/ServicesSoftware/CIVET)</w:t>
        </w:r>
      </w:hyperlink>
      <w:r w:rsidR="005464B0">
        <w:rPr>
          <w:rStyle w:val="Hyperlink"/>
          <w:rFonts w:eastAsia="Times New Roman"/>
          <w:sz w:val="20"/>
          <w:szCs w:val="20"/>
        </w:rPr>
        <w:t xml:space="preserve"> </w:t>
      </w:r>
      <w:r w:rsidR="00200C72" w:rsidRPr="00033175">
        <w:rPr>
          <w:rStyle w:val="InternetLink"/>
          <w:rFonts w:eastAsia="Times New Roman"/>
          <w:color w:val="000000"/>
          <w:sz w:val="20"/>
          <w:szCs w:val="20"/>
          <w:u w:val="none"/>
        </w:rPr>
        <w:fldChar w:fldCharType="begin" w:fldLock="1"/>
      </w:r>
      <w:r w:rsidR="005464B0">
        <w:rPr>
          <w:rStyle w:val="InternetLink"/>
          <w:rFonts w:eastAsia="Times New Roman"/>
          <w:color w:val="000000"/>
          <w:sz w:val="20"/>
          <w:szCs w:val="20"/>
          <w:u w:val="none"/>
        </w:rPr>
        <w:instrText>ADDIN CSL_CITATION { "citationItems" : [ { "id" : "ITEM-1", "itemData" : { "DOI" : "10.1016/j.neuroimage.2005.03.036", "ISBN" : "1053-8119 (Print) 1053-8119 (Linking)", "ISSN" : "10538119", "PMID" : "15896981", "abstract" : "Accurate reconstruction of the inner and outer cortical surfaces of the human cerebrum is a critical objective for a wide variety of neuroimaging analysis purposes, including visualization, morphometry, and brain mapping. The Anatomic Segmentation using Proximity (ASP) algorithm, previously developed by our group, provides a topology-preserving cortical surface deformation method that has been extensively used for the aforementioned purposes. However, constraints in the algorithm to ensure topology preservation occasionally produce incorrect thickness measurements due to a restriction in the range of allowable distances between the gray and white matter surfaces. This problem is particularly prominent in pediatric brain images with tightly folded gyri. This paper presents a novel method for improving the conventional ASP algorithm by making use of partial volume information through probabilistic classification in order to allow for topology preservation across a less restricted range of cortical thickness values. The new algorithm also corrects the classification of the insular cortex by masking out subcortical tissues. For 70 pediatric brains, validation experiments for the modified algorithm, Constrained Laplacian ASP (CLASP), were performed by three methods: (i) volume matching between surface-masked gray matter (GM) and conventional tissue-classified GM, (ii) surface matching between simulated and CLASP-extracted surfaces, and (iii) repeatability of the surface reconstruction among 16 MRI scans of the same subject. In the volume-based evaluation, the volume enclosed by the CLASP WM and GM surfaces matched the classified GM volume 13% more accurately than using conventional ASP. In the surface-based evaluation, using synthesized thick cortex, the average difference between simulated and extracted surfaces was 4.6 ?? 1.4 mm for conventional ASP and 0.5 ?? 0.4 mm for CLASP. In a repeatability study, CLASP produced a 30% lower RMS error for the GM surface and a 8% lower RMS error for the WM surface compared with ASP. ?? 2005 Elsevier Inc. All rights reserved.", "author" : [ { "dropping-particle" : "", "family" : "June", "given" : "Sic Kim", "non-dropping-particle" : "", "parse-names" : false, "suffix" : "" }, { "dropping-particle" : "", "family" : "Singh", "given" : "Vivek", "non-dropping-particle" : "", "parse-names" : false, "suffix" : "" }, { "dropping-particle" : "", "family" : "Jun", "given" : "Ki Lee", "non-dropping-particle" : "", "parse-names" : false, "suffix" : "" }, { "dropping-particle" : "", "family" : "Lerch", "given" : "Jason", "non-dropping-particle" : "", "parse-names" : false, "suffix" : "" }, { "dropping-particle" : "", "family" : "Ad-Dab'bagh", "given" : "Yasser", "non-dropping-particle" : "", "parse-names" : false, "suffix" : "" }, { "dropping-particle" : "", "family" : "MacDonald", "given" : "David", "non-dropping-particle" : "", "parse-names" : false, "suffix" : "" }, { "dropping-particle" : "", "family" : "Jong", "given" : "Min Lee", "non-dropping-particle" : "", "parse-names" : false, "suffix" : "" }, { "dropping-particle" : "", "family" : "Kim", "given" : "Sun I.", "non-dropping-particle" : "", "parse-names" : false, "suffix" : "" }, { "dropping-particle" : "", "family" : "Evans", "given" : "Alan C.", "non-dropping-particle" : "", "parse-names" : false, "suffix" : "" } ], "container-title" : "NeuroImage", "id" : "ITEM-1", "issue" : "1", "issued" : { "date-parts" : [ [ "2005" ] ] }, "page" : "210-221", "title" : "Automated 3-D extraction and evaluation of the inner and outer cortical surfaces using a Laplacian map and partial volume effect classification", "type" : "article-journal", "volume" : "27" }, "uris" : [ "http://www.mendeley.com/documents/?uuid=d8d3e39a-0eb6-43bf-ac6a-2d6a15a72d9a" ] } ], "mendeley" : { "formattedCitation" : "(June &lt;i&gt;et al.&lt;/i&gt; 2005)", "plainTextFormattedCitation" : "(June et al. 2005)", "previouslyFormattedCitation" : "&lt;sup&gt;13&lt;/sup&gt;" }, "properties" : { "noteIndex" : 0 }, "schema" : "https://github.com/citation-style-language/schema/raw/master/csl-citation.json" }</w:instrText>
      </w:r>
      <w:r w:rsidR="00200C72" w:rsidRPr="00033175">
        <w:rPr>
          <w:rStyle w:val="InternetLink"/>
          <w:rFonts w:eastAsia="Times New Roman"/>
          <w:color w:val="000000"/>
          <w:sz w:val="20"/>
          <w:szCs w:val="20"/>
          <w:u w:val="none"/>
        </w:rPr>
        <w:fldChar w:fldCharType="separate"/>
      </w:r>
      <w:r w:rsidR="005464B0" w:rsidRPr="005464B0">
        <w:rPr>
          <w:rStyle w:val="InternetLink"/>
          <w:rFonts w:eastAsia="Times New Roman"/>
          <w:noProof/>
          <w:color w:val="000000"/>
          <w:sz w:val="20"/>
          <w:szCs w:val="20"/>
          <w:u w:val="none"/>
        </w:rPr>
        <w:t xml:space="preserve">(June </w:t>
      </w:r>
      <w:r w:rsidR="005464B0" w:rsidRPr="005464B0">
        <w:rPr>
          <w:rStyle w:val="InternetLink"/>
          <w:rFonts w:eastAsia="Times New Roman"/>
          <w:i/>
          <w:noProof/>
          <w:color w:val="000000"/>
          <w:sz w:val="20"/>
          <w:szCs w:val="20"/>
          <w:u w:val="none"/>
        </w:rPr>
        <w:t>et al.</w:t>
      </w:r>
      <w:r w:rsidR="005464B0" w:rsidRPr="005464B0">
        <w:rPr>
          <w:rStyle w:val="InternetLink"/>
          <w:rFonts w:eastAsia="Times New Roman"/>
          <w:noProof/>
          <w:color w:val="000000"/>
          <w:sz w:val="20"/>
          <w:szCs w:val="20"/>
          <w:u w:val="none"/>
        </w:rPr>
        <w:t xml:space="preserve"> 2005)</w:t>
      </w:r>
      <w:r w:rsidR="00200C72" w:rsidRPr="00033175">
        <w:rPr>
          <w:rStyle w:val="InternetLink"/>
          <w:rFonts w:eastAsia="Times New Roman"/>
          <w:color w:val="000000"/>
          <w:sz w:val="20"/>
          <w:szCs w:val="20"/>
          <w:u w:val="none"/>
        </w:rPr>
        <w:fldChar w:fldCharType="end"/>
      </w:r>
      <w:r w:rsidR="00983223" w:rsidRPr="00033175">
        <w:rPr>
          <w:rStyle w:val="InternetLink"/>
          <w:rFonts w:eastAsia="Times New Roman"/>
          <w:color w:val="000000"/>
          <w:sz w:val="20"/>
          <w:szCs w:val="20"/>
          <w:u w:val="none"/>
        </w:rPr>
        <w:t xml:space="preserve"> </w:t>
      </w:r>
      <w:r w:rsidR="00200C72" w:rsidRPr="00354D7B">
        <w:rPr>
          <w:rFonts w:eastAsia="Times New Roman"/>
          <w:sz w:val="20"/>
          <w:szCs w:val="20"/>
        </w:rPr>
        <w:t>for extraction of gray and white matter surfaces.</w:t>
      </w:r>
      <w:r w:rsidR="002814CE" w:rsidRPr="00354D7B">
        <w:rPr>
          <w:sz w:val="20"/>
          <w:szCs w:val="20"/>
          <w:lang w:val="en-CA"/>
        </w:rPr>
        <w:t xml:space="preserve"> </w:t>
      </w:r>
      <w:r w:rsidR="009240C5" w:rsidRPr="00354D7B">
        <w:rPr>
          <w:sz w:val="20"/>
          <w:szCs w:val="20"/>
        </w:rPr>
        <w:t xml:space="preserve">WGC was estimated </w:t>
      </w:r>
      <w:r w:rsidR="004A3E90" w:rsidRPr="00354D7B">
        <w:rPr>
          <w:sz w:val="20"/>
          <w:szCs w:val="20"/>
        </w:rPr>
        <w:t>using</w:t>
      </w:r>
      <w:r w:rsidR="009240C5" w:rsidRPr="00354D7B">
        <w:rPr>
          <w:sz w:val="20"/>
          <w:szCs w:val="20"/>
        </w:rPr>
        <w:t xml:space="preserve"> a recently published method from our group</w:t>
      </w:r>
      <w:r w:rsidR="005464B0">
        <w:rPr>
          <w:sz w:val="20"/>
          <w:szCs w:val="20"/>
        </w:rPr>
        <w:t xml:space="preserve"> </w:t>
      </w:r>
      <w:r w:rsidR="00983223" w:rsidRPr="00354D7B">
        <w:rPr>
          <w:sz w:val="20"/>
          <w:szCs w:val="20"/>
        </w:rPr>
        <w:fldChar w:fldCharType="begin" w:fldLock="1"/>
      </w:r>
      <w:r w:rsidR="005464B0">
        <w:rPr>
          <w:sz w:val="20"/>
          <w:szCs w:val="20"/>
        </w:rPr>
        <w:instrText>ADDIN CSL_CITATION { "citationItems" : [ { "id" : "ITEM-1", "itemData" : { "DOI" : "10.1016/j.neuroimage.2018.02.050", "ISSN" : "10538119", "PMID" : "29501876", "author" : [ { "dropping-particle" : "", "family" : "Lewis", "given" : "John D.", "non-dropping-particle" : "", "parse-names" : false, "suffix" : "" }, { "dropping-particle" : "", "family" : "Evans", "given" : "Alan C.", "non-dropping-particle" : "", "parse-names" : false, "suffix" : "" }, { "dropping-particle" : "", "family" : "Tohka", "given" : "Jussi", "non-dropping-particle" : "", "parse-names" : false, "suffix" : "" } ], "container-title" : "NeuroImage", "id" : "ITEM-1", "issued" : { "date-parts" : [ [ "2018", "6" ] ] }, "page" : "341-450", "title" : "T1 white/gray contrast as a predictor of chronological age, and an index of cognitive performance", "type" : "article-journal", "volume" : "173" }, "uris" : [ "http://www.mendeley.com/documents/?uuid=3112c57f-4a38-4305-9cf7-4087eddb16ae" ] } ], "mendeley" : { "formattedCitation" : "(Lewis &lt;i&gt;et al.&lt;/i&gt; 2018)", "plainTextFormattedCitation" : "(Lewis et al. 2018)", "previouslyFormattedCitation" : "&lt;sup&gt;14&lt;/sup&gt;" }, "properties" : { "noteIndex" : 0 }, "schema" : "https://github.com/citation-style-language/schema/raw/master/csl-citation.json" }</w:instrText>
      </w:r>
      <w:r w:rsidR="00983223" w:rsidRPr="00354D7B">
        <w:rPr>
          <w:sz w:val="20"/>
          <w:szCs w:val="20"/>
        </w:rPr>
        <w:fldChar w:fldCharType="separate"/>
      </w:r>
      <w:r w:rsidR="005464B0" w:rsidRPr="005464B0">
        <w:rPr>
          <w:noProof/>
          <w:sz w:val="20"/>
          <w:szCs w:val="20"/>
        </w:rPr>
        <w:t xml:space="preserve">(Lewis </w:t>
      </w:r>
      <w:r w:rsidR="005464B0" w:rsidRPr="005464B0">
        <w:rPr>
          <w:i/>
          <w:noProof/>
          <w:sz w:val="20"/>
          <w:szCs w:val="20"/>
        </w:rPr>
        <w:t>et al.</w:t>
      </w:r>
      <w:r w:rsidR="005464B0" w:rsidRPr="005464B0">
        <w:rPr>
          <w:noProof/>
          <w:sz w:val="20"/>
          <w:szCs w:val="20"/>
        </w:rPr>
        <w:t xml:space="preserve"> 2018)</w:t>
      </w:r>
      <w:r w:rsidR="00983223" w:rsidRPr="00354D7B">
        <w:rPr>
          <w:sz w:val="20"/>
          <w:szCs w:val="20"/>
        </w:rPr>
        <w:fldChar w:fldCharType="end"/>
      </w:r>
      <w:r w:rsidR="005464B0">
        <w:rPr>
          <w:sz w:val="20"/>
          <w:szCs w:val="20"/>
        </w:rPr>
        <w:t>.</w:t>
      </w:r>
      <w:r w:rsidR="00983223" w:rsidRPr="00354D7B">
        <w:rPr>
          <w:sz w:val="20"/>
          <w:szCs w:val="20"/>
        </w:rPr>
        <w:t xml:space="preserve"> In detail, </w:t>
      </w:r>
      <w:r w:rsidR="002814CE" w:rsidRPr="00354D7B">
        <w:rPr>
          <w:sz w:val="20"/>
          <w:szCs w:val="20"/>
        </w:rPr>
        <w:t>a distance map</w:t>
      </w:r>
      <w:r w:rsidR="00983223" w:rsidRPr="00354D7B">
        <w:rPr>
          <w:sz w:val="20"/>
          <w:szCs w:val="20"/>
        </w:rPr>
        <w:t xml:space="preserve"> relative to the white surface provided by CIVET was created</w:t>
      </w:r>
      <w:r w:rsidR="003D0449" w:rsidRPr="00354D7B">
        <w:rPr>
          <w:sz w:val="20"/>
          <w:szCs w:val="20"/>
        </w:rPr>
        <w:t xml:space="preserve"> at 0.25mm</w:t>
      </w:r>
      <w:r w:rsidR="00DB1D67" w:rsidRPr="00354D7B">
        <w:rPr>
          <w:sz w:val="20"/>
          <w:szCs w:val="20"/>
          <w:vertAlign w:val="superscript"/>
        </w:rPr>
        <w:t xml:space="preserve">3 </w:t>
      </w:r>
      <w:r w:rsidR="00DB1D67" w:rsidRPr="00354D7B">
        <w:rPr>
          <w:sz w:val="20"/>
          <w:szCs w:val="20"/>
        </w:rPr>
        <w:t>resolution</w:t>
      </w:r>
      <w:r w:rsidR="002814CE" w:rsidRPr="00354D7B">
        <w:rPr>
          <w:sz w:val="20"/>
          <w:szCs w:val="20"/>
        </w:rPr>
        <w:t xml:space="preserve">, smoothed with a </w:t>
      </w:r>
      <w:r w:rsidR="00983223" w:rsidRPr="00354D7B">
        <w:rPr>
          <w:sz w:val="20"/>
          <w:szCs w:val="20"/>
        </w:rPr>
        <w:t xml:space="preserve">0.5mm FWHM </w:t>
      </w:r>
      <w:r w:rsidR="002814CE" w:rsidRPr="00354D7B">
        <w:rPr>
          <w:sz w:val="20"/>
          <w:szCs w:val="20"/>
        </w:rPr>
        <w:t>Gaussian kernel, and used to create a gradient vector field</w:t>
      </w:r>
      <w:r w:rsidR="00983223" w:rsidRPr="00354D7B">
        <w:rPr>
          <w:sz w:val="20"/>
          <w:szCs w:val="20"/>
        </w:rPr>
        <w:t xml:space="preserve"> of the distance map</w:t>
      </w:r>
      <w:r w:rsidR="002814CE" w:rsidRPr="00354D7B">
        <w:rPr>
          <w:sz w:val="20"/>
          <w:szCs w:val="20"/>
        </w:rPr>
        <w:t>. A copy of the white surface was moved 1mm inward along this gradient vector field to produce a sub-white surface, and 1mm outward to produce a supra-white surface.  The intensity values on the T1-weighted image (without non-uniformity correction or normalization) were sampled at each vertex of both the supra-white surface and the sub-white surface, and the resulting surface maps were smoothed with a 20mm FWHM Gaussian kernel</w:t>
      </w:r>
      <w:r w:rsidR="00983223" w:rsidRPr="00354D7B">
        <w:rPr>
          <w:sz w:val="20"/>
          <w:szCs w:val="20"/>
        </w:rPr>
        <w:t xml:space="preserve"> in standardized space</w:t>
      </w:r>
      <w:r w:rsidR="002814CE" w:rsidRPr="00354D7B">
        <w:rPr>
          <w:sz w:val="20"/>
          <w:szCs w:val="20"/>
        </w:rPr>
        <w:t xml:space="preserve"> in order to diminish the impact of noise.  The WGC measures were then formed by dividing the value at each vertex of the sub-white surface by the value at the corresponding vertex of the supra-white surface.</w:t>
      </w:r>
      <w:r w:rsidR="00604E1C" w:rsidRPr="00354D7B">
        <w:rPr>
          <w:sz w:val="20"/>
          <w:szCs w:val="20"/>
        </w:rPr>
        <w:t xml:space="preserve"> </w:t>
      </w:r>
    </w:p>
    <w:p w14:paraId="6594188F" w14:textId="77777777" w:rsidR="002814CE" w:rsidRPr="004A7A16" w:rsidRDefault="002814CE" w:rsidP="00354D7B">
      <w:pPr>
        <w:jc w:val="both"/>
        <w:outlineLvl w:val="0"/>
        <w:rPr>
          <w:b/>
          <w:sz w:val="12"/>
          <w:szCs w:val="12"/>
          <w:lang w:val="en-CA"/>
        </w:rPr>
      </w:pPr>
    </w:p>
    <w:p w14:paraId="7D7F161D" w14:textId="77777777" w:rsidR="00A05F14" w:rsidRDefault="000E7CDF" w:rsidP="00354D7B">
      <w:pPr>
        <w:jc w:val="both"/>
        <w:outlineLvl w:val="0"/>
        <w:rPr>
          <w:b/>
          <w:lang w:val="en-CA"/>
        </w:rPr>
      </w:pPr>
      <w:r>
        <w:rPr>
          <w:b/>
          <w:lang w:val="en-CA"/>
        </w:rPr>
        <w:t>iv</w:t>
      </w:r>
      <w:r w:rsidR="002814CE">
        <w:rPr>
          <w:b/>
          <w:lang w:val="en-CA"/>
        </w:rPr>
        <w:t xml:space="preserve">. </w:t>
      </w:r>
      <w:r w:rsidR="002138D0">
        <w:rPr>
          <w:b/>
          <w:lang w:val="en-CA"/>
        </w:rPr>
        <w:t>Final Sample &amp; Quality Control Procedures</w:t>
      </w:r>
    </w:p>
    <w:p w14:paraId="0F805385" w14:textId="77777777" w:rsidR="00A26400" w:rsidRDefault="002138D0" w:rsidP="00354D7B">
      <w:pPr>
        <w:jc w:val="both"/>
        <w:rPr>
          <w:sz w:val="20"/>
          <w:szCs w:val="20"/>
        </w:rPr>
      </w:pPr>
      <w:r w:rsidRPr="00354D7B">
        <w:rPr>
          <w:b/>
          <w:sz w:val="20"/>
          <w:szCs w:val="20"/>
        </w:rPr>
        <w:t>Neuroimaging Sample Details.</w:t>
      </w:r>
      <w:r w:rsidRPr="00354D7B">
        <w:rPr>
          <w:sz w:val="20"/>
          <w:szCs w:val="20"/>
        </w:rPr>
        <w:t xml:space="preserve"> The neuroimaging study began in 2003 and spanned over a decade, comprising three scheduled visits: baseline, one-year follow-up (FUP1), and two-year follow-up (FUP2).</w:t>
      </w:r>
      <w:r w:rsidR="00387691">
        <w:rPr>
          <w:sz w:val="20"/>
          <w:szCs w:val="20"/>
        </w:rPr>
        <w:t xml:space="preserve"> All scans were acquired on the same 1.5T scanner.</w:t>
      </w:r>
      <w:r w:rsidRPr="00354D7B">
        <w:rPr>
          <w:sz w:val="20"/>
          <w:szCs w:val="20"/>
        </w:rPr>
        <w:t xml:space="preserve"> In total 150 patients and 95 controls were recruited for the study.  From this sample, 142 patients and 94 controls completed a baseline scan. At this point, 7 patients and 4 controls were excluded from analysis</w:t>
      </w:r>
      <w:r w:rsidR="00DB1D67" w:rsidRPr="00354D7B">
        <w:rPr>
          <w:sz w:val="20"/>
          <w:szCs w:val="20"/>
        </w:rPr>
        <w:t xml:space="preserve"> based on the</w:t>
      </w:r>
      <w:r w:rsidRPr="00354D7B">
        <w:rPr>
          <w:sz w:val="20"/>
          <w:szCs w:val="20"/>
        </w:rPr>
        <w:t xml:space="preserve"> exclusion criteria for the study (e.g., incidental findings, substance-induced psychosis, low IQ). Forty-two patients and forty-five controls dropped out of the study after baseline, leaving 100 patients and 47 healthy controls with longitudinal data. In the FEP group, baseline scans were performed on average 4.1 (SD=1.9) months from entry into PEPP. For the entire group, including controls, inter-scan intervals were approximately 13.1 (</w:t>
      </w:r>
      <w:r w:rsidRPr="00354D7B">
        <w:rPr>
          <w:rFonts w:eastAsia="MS Gothic"/>
          <w:color w:val="000000"/>
          <w:sz w:val="20"/>
          <w:szCs w:val="20"/>
        </w:rPr>
        <w:t>SD=</w:t>
      </w:r>
      <w:r w:rsidRPr="00354D7B">
        <w:rPr>
          <w:sz w:val="20"/>
          <w:szCs w:val="20"/>
        </w:rPr>
        <w:t>1.3) months between baseline and FUP1, and 12.5 (</w:t>
      </w:r>
      <w:r w:rsidRPr="00354D7B">
        <w:rPr>
          <w:rFonts w:eastAsia="MS Gothic"/>
          <w:color w:val="000000"/>
          <w:sz w:val="20"/>
          <w:szCs w:val="20"/>
        </w:rPr>
        <w:t>SD=1.7) months between FUP1 and FUP2</w:t>
      </w:r>
      <w:r w:rsidRPr="00354D7B">
        <w:rPr>
          <w:sz w:val="20"/>
          <w:szCs w:val="20"/>
        </w:rPr>
        <w:t>. Nine participants (6 FEP, 3 controls) were not scanned at FUP1, and had an average interscan interval of 27.0 (</w:t>
      </w:r>
      <w:r w:rsidRPr="00354D7B">
        <w:rPr>
          <w:rFonts w:eastAsia="MS Gothic"/>
          <w:color w:val="000000"/>
          <w:sz w:val="20"/>
          <w:szCs w:val="20"/>
        </w:rPr>
        <w:t>SD=3.2) months between FUP2 and baseline.</w:t>
      </w:r>
      <w:r w:rsidR="00F41939">
        <w:rPr>
          <w:rFonts w:eastAsia="MS Gothic"/>
          <w:color w:val="000000"/>
          <w:sz w:val="20"/>
          <w:szCs w:val="20"/>
        </w:rPr>
        <w:t xml:space="preserve"> Sex ratios did not differ between the included cross-sectional sample </w:t>
      </w:r>
      <w:r w:rsidR="00F41939">
        <w:rPr>
          <w:rFonts w:eastAsia="MS Gothic"/>
          <w:color w:val="000000"/>
          <w:sz w:val="20"/>
          <w:szCs w:val="20"/>
        </w:rPr>
        <w:lastRenderedPageBreak/>
        <w:t>(70% Male in FEP group, 65</w:t>
      </w:r>
      <w:r w:rsidR="00FA1B45">
        <w:rPr>
          <w:rFonts w:eastAsia="MS Gothic"/>
          <w:color w:val="000000"/>
          <w:sz w:val="20"/>
          <w:szCs w:val="20"/>
        </w:rPr>
        <w:t xml:space="preserve">% Male in HC group) and the longitudinal sample (71% Male in FEP group, 65% Male in HC group), thus participant attrition did not affect the proportion of males:females in this study. </w:t>
      </w:r>
    </w:p>
    <w:p w14:paraId="4910C7E5" w14:textId="77777777" w:rsidR="005464B0" w:rsidRDefault="005464B0" w:rsidP="00354D7B">
      <w:pPr>
        <w:jc w:val="both"/>
        <w:rPr>
          <w:sz w:val="20"/>
          <w:szCs w:val="20"/>
        </w:rPr>
      </w:pPr>
    </w:p>
    <w:p w14:paraId="23D166F9" w14:textId="77777777" w:rsidR="005464B0" w:rsidRPr="005464B0" w:rsidRDefault="005464B0" w:rsidP="00354D7B">
      <w:pPr>
        <w:jc w:val="both"/>
        <w:rPr>
          <w:sz w:val="20"/>
          <w:szCs w:val="20"/>
        </w:rPr>
      </w:pPr>
    </w:p>
    <w:p w14:paraId="33681C93" w14:textId="77777777" w:rsidR="00A05F14" w:rsidRPr="00354D7B" w:rsidRDefault="002138D0" w:rsidP="00354D7B">
      <w:pPr>
        <w:jc w:val="both"/>
        <w:rPr>
          <w:sz w:val="20"/>
          <w:szCs w:val="20"/>
        </w:rPr>
      </w:pPr>
      <w:r w:rsidRPr="005C3A54">
        <w:rPr>
          <w:rFonts w:eastAsia="MS Gothic"/>
          <w:b/>
          <w:color w:val="000000"/>
          <w:sz w:val="20"/>
          <w:szCs w:val="20"/>
        </w:rPr>
        <w:t>Quality Control Procedures.</w:t>
      </w:r>
      <w:r w:rsidRPr="00354D7B">
        <w:rPr>
          <w:rFonts w:eastAsia="MS Gothic"/>
          <w:color w:val="000000"/>
          <w:sz w:val="20"/>
          <w:szCs w:val="20"/>
        </w:rPr>
        <w:t xml:space="preserve"> One rater (</w:t>
      </w:r>
      <w:r w:rsidR="00983223" w:rsidRPr="00354D7B">
        <w:rPr>
          <w:rFonts w:eastAsia="MS Gothic"/>
          <w:color w:val="000000"/>
          <w:sz w:val="20"/>
          <w:szCs w:val="20"/>
        </w:rPr>
        <w:t>C.M.</w:t>
      </w:r>
      <w:r w:rsidRPr="00354D7B">
        <w:rPr>
          <w:rFonts w:eastAsia="MS Gothic"/>
          <w:color w:val="000000"/>
          <w:sz w:val="20"/>
          <w:szCs w:val="20"/>
        </w:rPr>
        <w:t xml:space="preserve">) manually rated all of the CIVET outputs, using a quality control module built in-house, where snapshots of the mask </w:t>
      </w:r>
      <w:r w:rsidR="00C30B17" w:rsidRPr="00354D7B">
        <w:rPr>
          <w:rFonts w:eastAsia="MS Gothic"/>
          <w:color w:val="000000"/>
          <w:sz w:val="20"/>
          <w:szCs w:val="20"/>
        </w:rPr>
        <w:t xml:space="preserve">and surfaces </w:t>
      </w:r>
      <w:r w:rsidRPr="00354D7B">
        <w:rPr>
          <w:rFonts w:eastAsia="MS Gothic"/>
          <w:color w:val="000000"/>
          <w:sz w:val="20"/>
          <w:szCs w:val="20"/>
        </w:rPr>
        <w:t>overlaid on the T1</w:t>
      </w:r>
      <w:r w:rsidR="00C30B17" w:rsidRPr="00354D7B">
        <w:rPr>
          <w:rFonts w:eastAsia="MS Gothic"/>
          <w:color w:val="000000"/>
          <w:sz w:val="20"/>
          <w:szCs w:val="20"/>
        </w:rPr>
        <w:t>-weighted</w:t>
      </w:r>
      <w:r w:rsidRPr="00354D7B">
        <w:rPr>
          <w:rFonts w:eastAsia="MS Gothic"/>
          <w:color w:val="000000"/>
          <w:sz w:val="20"/>
          <w:szCs w:val="20"/>
        </w:rPr>
        <w:t xml:space="preserve"> image, gray and white matter surface renderings, surface-surface intersections, and </w:t>
      </w:r>
      <w:r w:rsidR="00C30B17" w:rsidRPr="00354D7B">
        <w:rPr>
          <w:rFonts w:eastAsia="MS Gothic"/>
          <w:color w:val="000000"/>
          <w:sz w:val="20"/>
          <w:szCs w:val="20"/>
        </w:rPr>
        <w:t>surface extraction convergence plots were created</w:t>
      </w:r>
      <w:r w:rsidRPr="00354D7B">
        <w:rPr>
          <w:rFonts w:eastAsia="MS Gothic"/>
          <w:color w:val="000000"/>
          <w:sz w:val="20"/>
          <w:szCs w:val="20"/>
        </w:rPr>
        <w:t xml:space="preserve">. These features were examined to ensure that a) the brain was extracted accurately, b) the surfaces generally followed the anatomy, c) no visible abnormalities (i.e. visibly jagged surfaces, or surfaces jutting out inaccurately) in gray and white matter surfaces could be detected, </w:t>
      </w:r>
      <w:r w:rsidR="00DB1D67" w:rsidRPr="00354D7B">
        <w:rPr>
          <w:rFonts w:eastAsia="MS Gothic"/>
          <w:color w:val="000000"/>
          <w:sz w:val="20"/>
          <w:szCs w:val="20"/>
        </w:rPr>
        <w:t>and d</w:t>
      </w:r>
      <w:r w:rsidRPr="00354D7B">
        <w:rPr>
          <w:rFonts w:eastAsia="MS Gothic"/>
          <w:color w:val="000000"/>
          <w:sz w:val="20"/>
          <w:szCs w:val="20"/>
        </w:rPr>
        <w:t xml:space="preserve">) </w:t>
      </w:r>
      <w:r w:rsidR="00C30B17" w:rsidRPr="00354D7B">
        <w:rPr>
          <w:rFonts w:eastAsia="MS Gothic"/>
          <w:color w:val="000000"/>
          <w:sz w:val="20"/>
          <w:szCs w:val="20"/>
        </w:rPr>
        <w:t>complete convergence of the surface extraction process</w:t>
      </w:r>
      <w:r w:rsidRPr="00354D7B">
        <w:rPr>
          <w:rFonts w:eastAsia="MS Gothic"/>
          <w:color w:val="000000"/>
          <w:sz w:val="20"/>
          <w:szCs w:val="20"/>
        </w:rPr>
        <w:t>. For any questionable areas or outputs, the surfaces were overlaid on the T1 image and viewed slice by slice using Display software (</w:t>
      </w:r>
      <w:hyperlink r:id="rId9">
        <w:r w:rsidRPr="00354D7B">
          <w:rPr>
            <w:rStyle w:val="InternetLink"/>
            <w:rFonts w:eastAsia="MS Gothic"/>
            <w:sz w:val="20"/>
            <w:szCs w:val="20"/>
          </w:rPr>
          <w:t>https://mcin-cnim.ca/technology/visualization/display/)</w:t>
        </w:r>
      </w:hyperlink>
      <w:r w:rsidRPr="00354D7B">
        <w:rPr>
          <w:rFonts w:eastAsia="MS Gothic"/>
          <w:color w:val="000000"/>
          <w:sz w:val="20"/>
          <w:szCs w:val="20"/>
        </w:rPr>
        <w:t xml:space="preserve">. A three-point rating system was adopted: 2 for good quality surfaces (minimal error), 1 for satisfactory surfaces (mild to moderate error), and 0 for failed outputs. For the “questionable” outputs that were rated as a “1”, a second rater independently rated the outputs, and a consensus was reached as to the inclusion/exclusion of the scan. </w:t>
      </w:r>
    </w:p>
    <w:p w14:paraId="3C1CFD22" w14:textId="77777777" w:rsidR="00A05F14" w:rsidRPr="00354D7B" w:rsidRDefault="002138D0" w:rsidP="00354D7B">
      <w:pPr>
        <w:ind w:firstLine="720"/>
        <w:jc w:val="both"/>
        <w:rPr>
          <w:rFonts w:eastAsia="MS Gothic"/>
          <w:color w:val="000000"/>
          <w:sz w:val="20"/>
          <w:szCs w:val="20"/>
        </w:rPr>
      </w:pPr>
      <w:r w:rsidRPr="00354D7B">
        <w:rPr>
          <w:rFonts w:eastAsia="MS Gothic"/>
          <w:color w:val="000000"/>
          <w:sz w:val="20"/>
          <w:szCs w:val="20"/>
        </w:rPr>
        <w:t>Three control scans (all follow-up scans) and 7 FEP scans (5 baseline and 2 follow-up), all belonging to unique subjects, failed the CIVET processing pipeline. From that point, 3 control scans (belonging to two participants) and 25 FEP scans (belonging to 17 patients) did not pass QC after inspection of outputs.</w:t>
      </w:r>
      <w:r w:rsidR="00886F9D" w:rsidRPr="00354D7B">
        <w:rPr>
          <w:rFonts w:eastAsia="MS Gothic"/>
          <w:color w:val="000000"/>
          <w:sz w:val="20"/>
          <w:szCs w:val="20"/>
        </w:rPr>
        <w:t xml:space="preserve"> </w:t>
      </w:r>
      <w:r w:rsidR="00C04A1B">
        <w:rPr>
          <w:rFonts w:eastAsia="MS Gothic"/>
          <w:color w:val="000000"/>
          <w:sz w:val="20"/>
          <w:szCs w:val="20"/>
        </w:rPr>
        <w:t xml:space="preserve">116 FEP patients remained after this step. From there, FEP patients with cross-sectional data only were removed for the analysis. </w:t>
      </w:r>
      <w:r w:rsidR="00886F9D" w:rsidRPr="00354D7B">
        <w:rPr>
          <w:rFonts w:eastAsia="MS Gothic"/>
          <w:color w:val="000000"/>
          <w:sz w:val="20"/>
          <w:szCs w:val="20"/>
        </w:rPr>
        <w:t xml:space="preserve">The final sample with usable </w:t>
      </w:r>
      <w:r w:rsidR="00C04A1B">
        <w:rPr>
          <w:rFonts w:eastAsia="MS Gothic"/>
          <w:color w:val="000000"/>
          <w:sz w:val="20"/>
          <w:szCs w:val="20"/>
        </w:rPr>
        <w:t xml:space="preserve">longitudinal </w:t>
      </w:r>
      <w:r w:rsidR="00886F9D" w:rsidRPr="00354D7B">
        <w:rPr>
          <w:rFonts w:eastAsia="MS Gothic"/>
          <w:color w:val="000000"/>
          <w:sz w:val="20"/>
          <w:szCs w:val="20"/>
        </w:rPr>
        <w:t xml:space="preserve">data comprised </w:t>
      </w:r>
      <w:r w:rsidR="00ED3E8E" w:rsidRPr="00354D7B">
        <w:rPr>
          <w:rFonts w:eastAsia="MS Gothic"/>
          <w:color w:val="000000"/>
          <w:sz w:val="20"/>
          <w:szCs w:val="20"/>
        </w:rPr>
        <w:t>88 FEP patients, and a sample of 80 controls that had verbal memory data available, in addition to passing QC.</w:t>
      </w:r>
    </w:p>
    <w:p w14:paraId="3F27D100" w14:textId="77777777" w:rsidR="00354D7B" w:rsidRPr="004A7A16" w:rsidRDefault="00354D7B" w:rsidP="00354D7B">
      <w:pPr>
        <w:pStyle w:val="Normal1"/>
        <w:spacing w:line="240" w:lineRule="auto"/>
        <w:rPr>
          <w:sz w:val="12"/>
          <w:szCs w:val="12"/>
        </w:rPr>
      </w:pPr>
    </w:p>
    <w:p w14:paraId="7589CA0F" w14:textId="77777777" w:rsidR="00A66160" w:rsidRDefault="00A66160" w:rsidP="00354D7B">
      <w:pPr>
        <w:pStyle w:val="Normal1"/>
        <w:spacing w:line="240" w:lineRule="auto"/>
        <w:rPr>
          <w:rFonts w:ascii="Times New Roman" w:hAnsi="Times New Roman" w:cs="Times New Roman"/>
          <w:b/>
          <w:lang w:val="en-CA"/>
        </w:rPr>
      </w:pPr>
      <w:r w:rsidRPr="00AA51F1">
        <w:rPr>
          <w:rFonts w:ascii="Times New Roman" w:hAnsi="Times New Roman" w:cs="Times New Roman"/>
          <w:b/>
          <w:sz w:val="24"/>
          <w:szCs w:val="24"/>
        </w:rPr>
        <w:t>v</w:t>
      </w:r>
      <w:r w:rsidRPr="00AA51F1">
        <w:rPr>
          <w:b/>
          <w:sz w:val="24"/>
          <w:szCs w:val="24"/>
        </w:rPr>
        <w:t xml:space="preserve">. </w:t>
      </w:r>
      <w:r w:rsidRPr="00AA51F1">
        <w:rPr>
          <w:rFonts w:ascii="Times New Roman" w:hAnsi="Times New Roman" w:cs="Times New Roman"/>
          <w:b/>
          <w:sz w:val="24"/>
          <w:szCs w:val="24"/>
          <w:lang w:val="en-CA"/>
        </w:rPr>
        <w:t>Choosing the best model for vertex-wise CT and WGC data</w:t>
      </w:r>
      <w:r w:rsidRPr="00AA51F1">
        <w:rPr>
          <w:rFonts w:ascii="Times New Roman" w:hAnsi="Times New Roman" w:cs="Times New Roman"/>
          <w:b/>
          <w:lang w:val="en-CA"/>
        </w:rPr>
        <w:t>.</w:t>
      </w:r>
    </w:p>
    <w:p w14:paraId="42199237" w14:textId="77777777" w:rsidR="00A66160" w:rsidRDefault="00A66160" w:rsidP="00354D7B">
      <w:pPr>
        <w:widowControl w:val="0"/>
        <w:jc w:val="both"/>
        <w:rPr>
          <w:sz w:val="20"/>
          <w:szCs w:val="20"/>
          <w:lang w:val="en-CA"/>
        </w:rPr>
      </w:pPr>
      <w:r w:rsidRPr="00354D7B">
        <w:rPr>
          <w:sz w:val="20"/>
          <w:szCs w:val="20"/>
          <w:lang w:val="en-CA"/>
        </w:rPr>
        <w:t>To determine which covariates should be used for analyses, the Akaike Information Criterion (AIC)</w:t>
      </w:r>
      <w:r w:rsidR="005464B0">
        <w:rPr>
          <w:sz w:val="20"/>
          <w:szCs w:val="20"/>
          <w:lang w:val="en-CA"/>
        </w:rPr>
        <w:t xml:space="preserve"> </w:t>
      </w:r>
      <w:r w:rsidR="00AF5EB9">
        <w:rPr>
          <w:sz w:val="20"/>
          <w:szCs w:val="20"/>
          <w:lang w:val="en-CA"/>
        </w:rPr>
        <w:fldChar w:fldCharType="begin" w:fldLock="1"/>
      </w:r>
      <w:r w:rsidR="005464B0">
        <w:rPr>
          <w:sz w:val="20"/>
          <w:szCs w:val="20"/>
          <w:lang w:val="en-CA"/>
        </w:rPr>
        <w:instrText>ADDIN CSL_CITATION { "citationItems" : [ { "id" : "ITEM-1", "itemData" : { "author" : [ { "dropping-particle" : "", "family" : "Akaike", "given" : "H", "non-dropping-particle" : "", "parse-names" : false, "suffix" : "" } ], "container-title" : "Selected Papers of Hirotugu Akaike, Springer Series in Statistics", "id" : "ITEM-1", "issued" : { "date-parts" : [ [ "1998" ] ] }, "page" : "199-213", "publisher" : "Springer New York", "publisher-place" : "New York, NY", "title" : "Information theory and an extension of the maximum likelihood principle.", "type" : "chapter" }, "uris" : [ "http://www.mendeley.com/documents/?uuid=636f9b4b-12b9-4f34-af17-d55c6e932e6a" ] } ], "mendeley" : { "formattedCitation" : "(Akaike 1998)", "plainTextFormattedCitation" : "(Akaike 1998)", "previouslyFormattedCitation" : "&lt;sup&gt;15&lt;/sup&gt;" }, "properties" : { "noteIndex" : 0 }, "schema" : "https://github.com/citation-style-language/schema/raw/master/csl-citation.json" }</w:instrText>
      </w:r>
      <w:r w:rsidR="00AF5EB9">
        <w:rPr>
          <w:sz w:val="20"/>
          <w:szCs w:val="20"/>
          <w:lang w:val="en-CA"/>
        </w:rPr>
        <w:fldChar w:fldCharType="separate"/>
      </w:r>
      <w:r w:rsidR="005464B0" w:rsidRPr="005464B0">
        <w:rPr>
          <w:noProof/>
          <w:sz w:val="20"/>
          <w:szCs w:val="20"/>
          <w:lang w:val="en-CA"/>
        </w:rPr>
        <w:t>(Akaike 1998)</w:t>
      </w:r>
      <w:r w:rsidR="00AF5EB9">
        <w:rPr>
          <w:sz w:val="20"/>
          <w:szCs w:val="20"/>
          <w:lang w:val="en-CA"/>
        </w:rPr>
        <w:fldChar w:fldCharType="end"/>
      </w:r>
      <w:r w:rsidR="00AF5EB9">
        <w:rPr>
          <w:sz w:val="20"/>
          <w:szCs w:val="20"/>
          <w:lang w:val="en-CA"/>
        </w:rPr>
        <w:t xml:space="preserve"> </w:t>
      </w:r>
      <w:r w:rsidRPr="00354D7B">
        <w:rPr>
          <w:sz w:val="20"/>
          <w:szCs w:val="20"/>
        </w:rPr>
        <w:t xml:space="preserve">was used </w:t>
      </w:r>
      <w:r w:rsidRPr="00354D7B">
        <w:rPr>
          <w:sz w:val="20"/>
          <w:szCs w:val="20"/>
          <w:lang w:val="en-CA"/>
        </w:rPr>
        <w:t xml:space="preserve">to determine the best model for the data at hand. The method uses a likelihood function to reward goodness of fit, while including a penalty that is an increasing function of the number of estimated parameters. The baseline model was a general linear model, which included </w:t>
      </w:r>
      <w:r w:rsidR="00DB1D67" w:rsidRPr="00354D7B">
        <w:rPr>
          <w:sz w:val="20"/>
          <w:szCs w:val="20"/>
          <w:lang w:val="en-CA"/>
        </w:rPr>
        <w:t>parameters for group, centered age, and sex</w:t>
      </w:r>
      <w:r w:rsidRPr="00354D7B">
        <w:rPr>
          <w:sz w:val="20"/>
          <w:szCs w:val="20"/>
          <w:lang w:val="en-CA"/>
        </w:rPr>
        <w:t>, as follows:</w:t>
      </w:r>
    </w:p>
    <w:p w14:paraId="6A0B300E" w14:textId="77777777" w:rsidR="00354D7B" w:rsidRPr="00354D7B" w:rsidRDefault="00354D7B" w:rsidP="00354D7B">
      <w:pPr>
        <w:widowControl w:val="0"/>
        <w:jc w:val="both"/>
        <w:rPr>
          <w:sz w:val="20"/>
          <w:szCs w:val="20"/>
        </w:rPr>
      </w:pPr>
    </w:p>
    <w:p w14:paraId="4A3F6E64" w14:textId="77777777" w:rsidR="00A66160" w:rsidRDefault="006D6BE7" w:rsidP="00354D7B">
      <w:pPr>
        <w:pStyle w:val="Normal1"/>
        <w:spacing w:line="240" w:lineRule="auto"/>
        <w:jc w:val="both"/>
        <w:outlineLvl w:val="0"/>
        <w:rPr>
          <w:rFonts w:ascii="Times New Roman" w:hAnsi="Times New Roman" w:cs="Times New Roman"/>
          <w:sz w:val="20"/>
          <w:szCs w:val="20"/>
        </w:rPr>
      </w:pPr>
      <w:r w:rsidRPr="00354D7B">
        <w:rPr>
          <w:rFonts w:ascii="Symbol" w:eastAsia="Symbol" w:hAnsi="Symbol" w:cs="Symbol"/>
          <w:sz w:val="20"/>
          <w:szCs w:val="20"/>
        </w:rPr>
        <w:t></w:t>
      </w:r>
      <w:r w:rsidR="00A66160" w:rsidRPr="00354D7B">
        <w:rPr>
          <w:rFonts w:ascii="Times New Roman" w:eastAsia="Times New Roman" w:hAnsi="Times New Roman" w:cs="Times New Roman"/>
          <w:sz w:val="20"/>
          <w:szCs w:val="20"/>
        </w:rPr>
        <w:t xml:space="preserve">Y=intercept </w:t>
      </w:r>
      <w:r w:rsidR="00CA4492">
        <w:rPr>
          <w:rFonts w:ascii="Times New Roman" w:hAnsi="Times New Roman" w:cs="Times New Roman"/>
          <w:sz w:val="20"/>
          <w:szCs w:val="20"/>
        </w:rPr>
        <w:t>+</w:t>
      </w:r>
      <w:r w:rsidR="00A66160" w:rsidRPr="00354D7B">
        <w:rPr>
          <w:rFonts w:ascii="Lucida Grande" w:hAnsi="Lucida Grande" w:cs="Lucida Grande"/>
          <w:sz w:val="20"/>
          <w:szCs w:val="20"/>
        </w:rPr>
        <w:t xml:space="preserve"> β</w:t>
      </w:r>
      <w:r w:rsidR="00CA4492">
        <w:rPr>
          <w:rFonts w:ascii="Times New Roman" w:eastAsia="Times New Roman" w:hAnsi="Times New Roman" w:cs="Times New Roman"/>
          <w:sz w:val="20"/>
          <w:szCs w:val="20"/>
          <w:vertAlign w:val="subscript"/>
        </w:rPr>
        <w:t>1</w:t>
      </w:r>
      <w:r w:rsidR="00A66160" w:rsidRPr="00354D7B">
        <w:rPr>
          <w:rFonts w:ascii="Times New Roman" w:eastAsia="Times New Roman" w:hAnsi="Times New Roman" w:cs="Times New Roman"/>
          <w:sz w:val="20"/>
          <w:szCs w:val="20"/>
        </w:rPr>
        <w:t>(Centered Age) +</w:t>
      </w:r>
      <w:r w:rsidR="00A66160" w:rsidRPr="00354D7B">
        <w:rPr>
          <w:rFonts w:ascii="Lucida Grande" w:hAnsi="Lucida Grande" w:cs="Lucida Grande"/>
          <w:sz w:val="20"/>
          <w:szCs w:val="20"/>
        </w:rPr>
        <w:t>β</w:t>
      </w:r>
      <w:r w:rsidR="00CA4492">
        <w:rPr>
          <w:rFonts w:ascii="Times New Roman" w:eastAsia="Times New Roman" w:hAnsi="Times New Roman" w:cs="Times New Roman"/>
          <w:sz w:val="20"/>
          <w:szCs w:val="20"/>
          <w:vertAlign w:val="subscript"/>
        </w:rPr>
        <w:t>2</w:t>
      </w:r>
      <w:r w:rsidR="00A66160" w:rsidRPr="00354D7B">
        <w:rPr>
          <w:rFonts w:ascii="Times New Roman" w:eastAsia="Times New Roman" w:hAnsi="Times New Roman" w:cs="Times New Roman"/>
          <w:sz w:val="20"/>
          <w:szCs w:val="20"/>
        </w:rPr>
        <w:t xml:space="preserve">(Sex) + </w:t>
      </w:r>
      <w:r w:rsidR="00A66160" w:rsidRPr="00354D7B">
        <w:rPr>
          <w:rFonts w:ascii="Times New Roman" w:hAnsi="Times New Roman" w:cs="Times New Roman"/>
          <w:sz w:val="20"/>
          <w:szCs w:val="20"/>
        </w:rPr>
        <w:t>ε</w:t>
      </w:r>
    </w:p>
    <w:p w14:paraId="7E7ABBFB" w14:textId="77777777" w:rsidR="00354D7B" w:rsidRPr="00354D7B" w:rsidRDefault="00354D7B" w:rsidP="00354D7B">
      <w:pPr>
        <w:pStyle w:val="Normal1"/>
        <w:spacing w:line="240" w:lineRule="auto"/>
        <w:jc w:val="both"/>
        <w:outlineLvl w:val="0"/>
        <w:rPr>
          <w:sz w:val="20"/>
          <w:szCs w:val="20"/>
        </w:rPr>
      </w:pPr>
    </w:p>
    <w:p w14:paraId="458A7B3A" w14:textId="1BC5AA14" w:rsidR="00A66160" w:rsidRPr="00354D7B" w:rsidRDefault="00A66160" w:rsidP="00354D7B">
      <w:pPr>
        <w:pStyle w:val="Normal1"/>
        <w:spacing w:line="240" w:lineRule="auto"/>
        <w:rPr>
          <w:rFonts w:ascii="Times New Roman" w:hAnsi="Times New Roman" w:cs="Times New Roman"/>
          <w:sz w:val="20"/>
          <w:szCs w:val="20"/>
          <w:lang w:val="en-CA"/>
        </w:rPr>
      </w:pPr>
      <w:r w:rsidRPr="00354D7B">
        <w:rPr>
          <w:rFonts w:ascii="Times New Roman" w:hAnsi="Times New Roman" w:cs="Times New Roman"/>
          <w:sz w:val="20"/>
          <w:szCs w:val="20"/>
        </w:rPr>
        <w:t xml:space="preserve">where Y represents vertex-wise </w:t>
      </w:r>
      <w:r w:rsidRPr="00CA4492">
        <w:rPr>
          <w:rFonts w:ascii="Times New Roman" w:hAnsi="Times New Roman" w:cs="Times New Roman"/>
          <w:i/>
          <w:sz w:val="20"/>
          <w:szCs w:val="20"/>
        </w:rPr>
        <w:t>rate of change</w:t>
      </w:r>
      <w:r w:rsidRPr="00354D7B">
        <w:rPr>
          <w:rFonts w:ascii="Times New Roman" w:hAnsi="Times New Roman" w:cs="Times New Roman"/>
          <w:sz w:val="20"/>
          <w:szCs w:val="20"/>
        </w:rPr>
        <w:t xml:space="preserve"> in WGC or CT, β</w:t>
      </w:r>
      <w:r w:rsidRPr="00354D7B">
        <w:rPr>
          <w:rFonts w:ascii="Times New Roman" w:hAnsi="Times New Roman" w:cs="Times New Roman"/>
          <w:sz w:val="20"/>
          <w:szCs w:val="20"/>
          <w:vertAlign w:val="subscript"/>
        </w:rPr>
        <w:t>1-</w:t>
      </w:r>
      <w:r w:rsidR="00CA4492">
        <w:rPr>
          <w:rFonts w:ascii="Times New Roman" w:hAnsi="Times New Roman" w:cs="Times New Roman"/>
          <w:sz w:val="20"/>
          <w:szCs w:val="20"/>
          <w:vertAlign w:val="subscript"/>
        </w:rPr>
        <w:t>2</w:t>
      </w:r>
      <w:r w:rsidRPr="00354D7B">
        <w:rPr>
          <w:rFonts w:ascii="Times New Roman" w:hAnsi="Times New Roman" w:cs="Times New Roman"/>
          <w:sz w:val="20"/>
          <w:szCs w:val="20"/>
        </w:rPr>
        <w:t xml:space="preserve"> rep</w:t>
      </w:r>
      <w:r w:rsidR="00CA4492">
        <w:rPr>
          <w:rFonts w:ascii="Times New Roman" w:hAnsi="Times New Roman" w:cs="Times New Roman"/>
          <w:sz w:val="20"/>
          <w:szCs w:val="20"/>
        </w:rPr>
        <w:t xml:space="preserve">resent regression coefficients </w:t>
      </w:r>
      <w:r w:rsidRPr="00354D7B">
        <w:rPr>
          <w:rFonts w:ascii="Times New Roman" w:hAnsi="Times New Roman" w:cs="Times New Roman"/>
          <w:sz w:val="20"/>
          <w:szCs w:val="20"/>
        </w:rPr>
        <w:t>and ε is residual error. From here, the model was tested with the addition of a third covariate, β</w:t>
      </w:r>
      <w:r w:rsidR="00CA4492">
        <w:rPr>
          <w:rFonts w:ascii="Times New Roman" w:eastAsia="Times New Roman" w:hAnsi="Times New Roman" w:cs="Times New Roman"/>
          <w:sz w:val="20"/>
          <w:szCs w:val="20"/>
          <w:vertAlign w:val="subscript"/>
        </w:rPr>
        <w:t>3</w:t>
      </w:r>
      <w:r w:rsidRPr="00354D7B">
        <w:rPr>
          <w:rFonts w:ascii="Times New Roman" w:eastAsia="Times New Roman" w:hAnsi="Times New Roman" w:cs="Times New Roman"/>
          <w:sz w:val="20"/>
          <w:szCs w:val="20"/>
        </w:rPr>
        <w:t>,</w:t>
      </w:r>
      <w:r w:rsidRPr="00354D7B">
        <w:rPr>
          <w:rFonts w:ascii="Times New Roman" w:hAnsi="Times New Roman" w:cs="Times New Roman"/>
          <w:sz w:val="20"/>
          <w:szCs w:val="20"/>
        </w:rPr>
        <w:t xml:space="preserve"> from the following variables: </w:t>
      </w:r>
      <w:r w:rsidRPr="00354D7B">
        <w:rPr>
          <w:rFonts w:ascii="Times New Roman" w:hAnsi="Times New Roman" w:cs="Times New Roman"/>
          <w:sz w:val="20"/>
          <w:szCs w:val="20"/>
          <w:lang w:val="en-CA"/>
        </w:rPr>
        <w:t>handedness, years of education, total brain volume</w:t>
      </w:r>
      <w:r w:rsidR="00412372" w:rsidRPr="00354D7B">
        <w:rPr>
          <w:rFonts w:ascii="Times New Roman" w:hAnsi="Times New Roman" w:cs="Times New Roman"/>
          <w:sz w:val="20"/>
          <w:szCs w:val="20"/>
          <w:lang w:val="en-CA"/>
        </w:rPr>
        <w:t xml:space="preserve"> (TBV)</w:t>
      </w:r>
      <w:r w:rsidR="00683E7A">
        <w:rPr>
          <w:rFonts w:ascii="Times New Roman" w:hAnsi="Times New Roman" w:cs="Times New Roman"/>
          <w:sz w:val="20"/>
          <w:szCs w:val="20"/>
          <w:lang w:val="en-CA"/>
        </w:rPr>
        <w:t>, and mean WGC (for WGC data) and mean CT (for CT data)</w:t>
      </w:r>
      <w:r w:rsidRPr="00354D7B">
        <w:rPr>
          <w:rFonts w:ascii="Times New Roman" w:hAnsi="Times New Roman" w:cs="Times New Roman"/>
          <w:sz w:val="20"/>
          <w:szCs w:val="20"/>
          <w:lang w:val="en-CA"/>
        </w:rPr>
        <w:t xml:space="preserve">. The best fit for the WGC data (with the smallest AIC value) included mean </w:t>
      </w:r>
      <w:r w:rsidR="00683E7A">
        <w:rPr>
          <w:rFonts w:ascii="Times New Roman" w:hAnsi="Times New Roman" w:cs="Times New Roman"/>
          <w:sz w:val="20"/>
          <w:szCs w:val="20"/>
          <w:lang w:val="en-CA"/>
        </w:rPr>
        <w:t>WGC</w:t>
      </w:r>
      <w:r w:rsidRPr="00354D7B">
        <w:rPr>
          <w:rFonts w:ascii="Times New Roman" w:hAnsi="Times New Roman" w:cs="Times New Roman"/>
          <w:sz w:val="20"/>
          <w:szCs w:val="20"/>
          <w:lang w:val="en-CA"/>
        </w:rPr>
        <w:t xml:space="preserve"> as a covariate, in a</w:t>
      </w:r>
      <w:r w:rsidR="00683E7A">
        <w:rPr>
          <w:rFonts w:ascii="Times New Roman" w:hAnsi="Times New Roman" w:cs="Times New Roman"/>
          <w:sz w:val="20"/>
          <w:szCs w:val="20"/>
          <w:lang w:val="en-CA"/>
        </w:rPr>
        <w:t>ddition to centered age and sex. A similar model was selected for the CT data, including mean CT as a covariate.</w:t>
      </w:r>
      <w:r w:rsidRPr="00354D7B">
        <w:rPr>
          <w:rFonts w:ascii="Times New Roman" w:hAnsi="Times New Roman" w:cs="Times New Roman"/>
          <w:sz w:val="20"/>
          <w:szCs w:val="20"/>
          <w:lang w:val="en-CA"/>
        </w:rPr>
        <w:t xml:space="preserve"> </w:t>
      </w:r>
      <w:r w:rsidR="00412372" w:rsidRPr="00354D7B">
        <w:rPr>
          <w:rFonts w:ascii="Times New Roman" w:hAnsi="Times New Roman" w:cs="Times New Roman"/>
          <w:sz w:val="20"/>
          <w:szCs w:val="20"/>
          <w:lang w:val="en-CA"/>
        </w:rPr>
        <w:t>It should be noted that TBV</w:t>
      </w:r>
      <w:r w:rsidRPr="00354D7B">
        <w:rPr>
          <w:rFonts w:ascii="Times New Roman" w:hAnsi="Times New Roman" w:cs="Times New Roman"/>
          <w:sz w:val="20"/>
          <w:szCs w:val="20"/>
          <w:lang w:val="en-CA"/>
        </w:rPr>
        <w:t xml:space="preserve"> also modestly improved the AIC fit, but did not reduce the AIC value to the same extent and as consistently as mean CT across all models. For consistency, only results covarying for mean </w:t>
      </w:r>
      <w:r w:rsidR="00DC5111">
        <w:rPr>
          <w:rFonts w:ascii="Times New Roman" w:hAnsi="Times New Roman" w:cs="Times New Roman"/>
          <w:sz w:val="20"/>
          <w:szCs w:val="20"/>
          <w:lang w:val="en-CA"/>
        </w:rPr>
        <w:t xml:space="preserve">WGC and mean </w:t>
      </w:r>
      <w:r w:rsidRPr="00354D7B">
        <w:rPr>
          <w:rFonts w:ascii="Times New Roman" w:hAnsi="Times New Roman" w:cs="Times New Roman"/>
          <w:sz w:val="20"/>
          <w:szCs w:val="20"/>
          <w:lang w:val="en-CA"/>
        </w:rPr>
        <w:t xml:space="preserve">CT and not TBV are presented in </w:t>
      </w:r>
      <w:r w:rsidR="00DB1D67" w:rsidRPr="00354D7B">
        <w:rPr>
          <w:rFonts w:ascii="Times New Roman" w:hAnsi="Times New Roman" w:cs="Times New Roman"/>
          <w:sz w:val="20"/>
          <w:szCs w:val="20"/>
          <w:lang w:val="en-CA"/>
        </w:rPr>
        <w:t>both manuscripts</w:t>
      </w:r>
      <w:r w:rsidRPr="00354D7B">
        <w:rPr>
          <w:rFonts w:ascii="Times New Roman" w:hAnsi="Times New Roman" w:cs="Times New Roman"/>
          <w:sz w:val="20"/>
          <w:szCs w:val="20"/>
          <w:lang w:val="en-CA"/>
        </w:rPr>
        <w:t>.</w:t>
      </w:r>
      <w:r w:rsidR="004D788F" w:rsidRPr="00354D7B">
        <w:rPr>
          <w:rFonts w:ascii="Times New Roman" w:hAnsi="Times New Roman" w:cs="Times New Roman"/>
          <w:sz w:val="20"/>
          <w:szCs w:val="20"/>
          <w:lang w:val="en-CA"/>
        </w:rPr>
        <w:t xml:space="preserve"> Results remain largely the same when removing mean </w:t>
      </w:r>
      <w:r w:rsidR="00DC5111">
        <w:rPr>
          <w:rFonts w:ascii="Times New Roman" w:hAnsi="Times New Roman" w:cs="Times New Roman"/>
          <w:sz w:val="20"/>
          <w:szCs w:val="20"/>
          <w:lang w:val="en-CA"/>
        </w:rPr>
        <w:t xml:space="preserve">WGC and mean </w:t>
      </w:r>
      <w:bookmarkStart w:id="11" w:name="_GoBack"/>
      <w:bookmarkEnd w:id="11"/>
      <w:r w:rsidR="004D788F" w:rsidRPr="00354D7B">
        <w:rPr>
          <w:rFonts w:ascii="Times New Roman" w:hAnsi="Times New Roman" w:cs="Times New Roman"/>
          <w:sz w:val="20"/>
          <w:szCs w:val="20"/>
          <w:lang w:val="en-CA"/>
        </w:rPr>
        <w:t xml:space="preserve">CT as a covariate. See </w:t>
      </w:r>
      <w:r w:rsidR="00AF5EB9">
        <w:rPr>
          <w:rFonts w:ascii="Times New Roman" w:hAnsi="Times New Roman" w:cs="Times New Roman"/>
          <w:b/>
          <w:sz w:val="20"/>
          <w:szCs w:val="20"/>
          <w:lang w:val="en-CA"/>
        </w:rPr>
        <w:t xml:space="preserve">Supplementary </w:t>
      </w:r>
      <w:r w:rsidR="004D788F" w:rsidRPr="00354D7B">
        <w:rPr>
          <w:rFonts w:ascii="Times New Roman" w:hAnsi="Times New Roman" w:cs="Times New Roman"/>
          <w:b/>
          <w:sz w:val="20"/>
          <w:szCs w:val="20"/>
          <w:lang w:val="en-CA"/>
        </w:rPr>
        <w:t xml:space="preserve">Figures </w:t>
      </w:r>
      <w:r w:rsidR="00AF5EB9">
        <w:rPr>
          <w:rFonts w:ascii="Times New Roman" w:hAnsi="Times New Roman" w:cs="Times New Roman"/>
          <w:b/>
          <w:sz w:val="20"/>
          <w:szCs w:val="20"/>
          <w:lang w:val="en-CA"/>
        </w:rPr>
        <w:t>2a and 2</w:t>
      </w:r>
      <w:r w:rsidR="00CA4492">
        <w:rPr>
          <w:rFonts w:ascii="Times New Roman" w:hAnsi="Times New Roman" w:cs="Times New Roman"/>
          <w:b/>
          <w:sz w:val="20"/>
          <w:szCs w:val="20"/>
          <w:lang w:val="en-CA"/>
        </w:rPr>
        <w:t>b</w:t>
      </w:r>
      <w:r w:rsidR="004D788F" w:rsidRPr="00354D7B">
        <w:rPr>
          <w:rFonts w:ascii="Times New Roman" w:hAnsi="Times New Roman" w:cs="Times New Roman"/>
          <w:b/>
          <w:sz w:val="20"/>
          <w:szCs w:val="20"/>
          <w:lang w:val="en-CA"/>
        </w:rPr>
        <w:t xml:space="preserve"> </w:t>
      </w:r>
      <w:r w:rsidR="004D788F" w:rsidRPr="00354D7B">
        <w:rPr>
          <w:rFonts w:ascii="Times New Roman" w:hAnsi="Times New Roman" w:cs="Times New Roman"/>
          <w:sz w:val="20"/>
          <w:szCs w:val="20"/>
          <w:lang w:val="en-CA"/>
        </w:rPr>
        <w:t>below.</w:t>
      </w:r>
    </w:p>
    <w:p w14:paraId="6CA64166" w14:textId="0DE76272" w:rsidR="00F77B7B" w:rsidRPr="00C62B50" w:rsidRDefault="00D368FB" w:rsidP="004A7A16">
      <w:pPr>
        <w:widowControl w:val="0"/>
        <w:ind w:firstLine="720"/>
        <w:jc w:val="both"/>
        <w:rPr>
          <w:rFonts w:eastAsia="Times New Roman"/>
          <w:sz w:val="20"/>
          <w:szCs w:val="20"/>
        </w:rPr>
      </w:pPr>
      <w:r w:rsidRPr="00354D7B">
        <w:rPr>
          <w:rFonts w:eastAsia="Times New Roman"/>
          <w:sz w:val="20"/>
          <w:szCs w:val="20"/>
        </w:rPr>
        <w:t>Given that both gray and white matter have been found to be affected by cumulative dosage of antipsychotic medication in patients with psychosis</w:t>
      </w:r>
      <w:r w:rsidR="005464B0">
        <w:rPr>
          <w:rFonts w:eastAsia="Times New Roman"/>
          <w:sz w:val="20"/>
          <w:szCs w:val="20"/>
        </w:rPr>
        <w:t xml:space="preserve"> </w:t>
      </w:r>
      <w:r w:rsidR="00D17F3F" w:rsidRPr="00354D7B">
        <w:rPr>
          <w:rFonts w:eastAsia="Times New Roman"/>
          <w:sz w:val="20"/>
          <w:szCs w:val="20"/>
        </w:rPr>
        <w:fldChar w:fldCharType="begin" w:fldLock="1"/>
      </w:r>
      <w:r w:rsidR="005464B0">
        <w:rPr>
          <w:rFonts w:eastAsia="Times New Roman"/>
          <w:sz w:val="20"/>
          <w:szCs w:val="20"/>
        </w:rPr>
        <w:instrText>ADDIN CSL_CITATION { "citationItems" : [ { "id" : "ITEM-1", "itemData" : { "DOI" : "10.1016/j.schres.2009.06.014", "ISBN" : "1573-2509 (Electronic)", "ISSN" : "09209964", "PMID" : "19616412", "abstract" : "Context: Imaging and post-mortem studies provide converging evidence that patients with schizophrenia have a dysregulated developmental trajectory of frontal lobe myelination. The hypothesis that typical and atypical medications may differentially impact brain myelination in adults with schizophrenia was previously assessed with inversion recovery (IR) images. Increased white matter (WM) volume suggestive of increased myelination was detected in the patient group treated with an atypical antipsychotic compared to a typical one. Objective: In a follow-up reanalysis of MRI images from the original study, we used a novel method to assess whether the difference in WM volumes could be caused by a differential effect of medications on the intracortical myelination process. Design, setting, and participants: Two different male cohorts of healthy controls ranging in age from 18-35 years were compared to cohorts of subjects with schizophrenia who were treated with either oral risperidone (Ris) or fluphenazine decanoate (Fd). Main outcome measure: A novel MRI method that combines the distinct tissue contrasts provided by IR and proton density (PD) images was used to estimate intracortical myelin (ICM) volume. Results: When compared with their pooled healthy control comparison group, the two groups of schizophrenic patients differed in the frontal lobe ICM measure with the Ris group having significantly higher volume. Conclusions: The data suggest that in adults with schizophrenia antipsychotic treatment choice may be specifically and differentially impacting later-myelinating intracortical circuitry. In vivo MRI can be used to dissect subtle differences in brain tissue characteristics and thus help clarify the effect of pharmacologic treatments on developmental and pathologic processes. ?? 2009 Elsevier B.V. All rights reserved.", "author" : [ { "dropping-particle" : "", "family" : "Bartzokis", "given" : "George", "non-dropping-particle" : "", "parse-names" : false, "suffix" : "" }, { "dropping-particle" : "", "family" : "Lu", "given" : "Po H.", "non-dropping-particle" : "", "parse-names" : false, "suffix" : "" }, { "dropping-particle" : "", "family" : "Stewart", "given" : "Stephanie B.", "non-dropping-particle" : "", "parse-names" : false, "suffix" : "" }, { "dropping-particle" : "", "family" : "Oluwadara", "given" : "Bolanle", "non-dropping-particle" : "", "parse-names" : false, "suffix" : "" }, { "dropping-particle" : "", "family" : "Lucas", "given" : "Andrew J.", "non-dropping-particle" : "", "parse-names" : false, "suffix" : "" }, { "dropping-particle" : "", "family" : "Pantages", "given" : "Joanna", "non-dropping-particle" : "", "parse-names" : false, "suffix" : "" }, { "dropping-particle" : "", "family" : "Pratt", "given" : "Erika", "non-dropping-particle" : "", "parse-names" : false, "suffix" : "" }, { "dropping-particle" : "", "family" : "Sherin", "given" : "Jonathan E.", "non-dropping-particle" : "", "parse-names" : false, "suffix" : "" }, { "dropping-particle" : "", "family" : "Altshuler", "given" : "Lori L.", "non-dropping-particle" : "", "parse-names" : false, "suffix" : "" }, { "dropping-particle" : "", "family" : "Mintz", "given" : "Jim", "non-dropping-particle" : "", "parse-names" : false, "suffix" : "" }, { "dropping-particle" : "", "family" : "Gitlin", "given" : "Michael J.", "non-dropping-particle" : "", "parse-names" : false, "suffix" : "" }, { "dropping-particle" : "", "family" : "Subotnik", "given" : "Kenneth L.", "non-dropping-particle" : "", "parse-names" : false, "suffix" : "" }, { "dropping-particle" : "", "family" : "Nuechterlein", "given" : "Keith H.", "non-dropping-particle" : "", "parse-names" : false, "suffix" : "" } ], "container-title" : "Schizophrenia Research", "id" : "ITEM-1", "issue" : "2-3", "issued" : { "date-parts" : [ [ "2009" ] ] }, "page" : "322-331", "title" : "In vivo evidence of differential impact of typical and atypical antipsychotics on intracortical myelin in adults with schizophrenia", "type" : "article-journal", "volume" : "113" }, "uris" : [ "http://www.mendeley.com/documents/?uuid=eb582471-1613-40b1-b4bc-6b68880389db" ] }, { "id" : "ITEM-2", "itemData" : { "DOI" : "10.1016/j.schres.2012.07.014", "ISBN" : "0920-9964", "ISSN" : "09209964", "PMID" : "22884754", "abstract" : "Background: Imaging evidence indicates that brain alterations are primary to the full-blown onset of schizophrenia and seem to progress across time. The potential effects of antipsychotic medication on brain structure represent a key factor in understanding brain changes in psychosis. We aimed to investigate the effects of low doses of haloperidol, risperidone and olanzapine on cortical thickness. Method: We investigated the effects of risperidone (N = 16), olanzapine (N = 18) and low doses of haloperidol (N = 18) in cortical thickness changes during 1-year follow-up period in a large and heterogeneous sample of schizophrenia spectrum patients. The relationship between cortical thickness changes and clinical and cognitive outcome was also assessed. A group of 45 healthy volunteers was also longitudinally evaluated. Magnetic resonance imaging brain scans (1.5. T) were obtained and images were analyzed by using BRAINS2. Results: There were no significant effects of time (F1,47&lt;1.66; P&gt;0.204), treatment group (F2,47&lt;1.47; P&gt;0.242) or group-by-time interaction (F2,47&lt;1.82; P&gt;0.174) for any of the cortical thickness variables. When the group of healthy controls was included in the analyses, it is of note that group-by-time interaction showed a significant result for the frontal lobe at trend level (F3,81=2.686; P=0.052). After the Bonferroni adjustment for multiple comparisons, there were no significant associations between changes in cortical thickness and clinical and cognitive outcome. Conclusions: Low doses of haloperidol, risperidone, and olanzapine seem to equally affect gray matter cortical thickness, overall and lobes, at the medium-term (1. year). The clinical effectiveness of treatments was not significantly related to changes in cortical thickness. \u00a9 2012 Elsevier B.V.", "author" : [ { "dropping-particle" : "", "family" : "Roiz-Santi\u00e1\u00f1ez", "given" : "Roberto", "non-dropping-particle" : "", "parse-names" : false, "suffix" : "" }, { "dropping-particle" : "", "family" : "Tordesillas-Guti\u00e9rrez", "given" : "Diana", "non-dropping-particle" : "", "parse-names" : false, "suffix" : "" }, { "dropping-particle" : "", "family" : "Ort\u00edz-Garc\u00eda de la Foz", "given" : "Victor", "non-dropping-particle" : "", "parse-names" : false, "suffix" : "" }, { "dropping-particle" : "", "family" : "Ayesa-Arriola", "given" : "Rosa", "non-dropping-particle" : "", "parse-names" : false, "suffix" : "" }, { "dropping-particle" : "", "family" : "Guti\u00e9rrez", "given" : "Agust\u00edn", "non-dropping-particle" : "", "parse-names" : false, "suffix" : "" }, { "dropping-particle" : "", "family" : "Tabar\u00e9s-Seisdedos", "given" : "Rafael", "non-dropping-particle" : "", "parse-names" : false, "suffix" : "" }, { "dropping-particle" : "", "family" : "V\u00e1zquez-Barquero", "given" : "Jos\u00e9 Luis", "non-dropping-particle" : "", "parse-names" : false, "suffix" : "" }, { "dropping-particle" : "", "family" : "Crespo-Facorro", "given" : "Benedicto", "non-dropping-particle" : "", "parse-names" : false, "suffix" : "" } ], "container-title" : "Schizophrenia Research", "id" : "ITEM-2", "issue" : "1", "issued" : { "date-parts" : [ [ "2012" ] ] }, "page" : "22-28", "publisher" : "Elsevier B.V.", "title" : "Effect of antipsychotic drugs on cortical thickness. A randomized controlled one-year follow-up study of haloperidol, risperidone and olanzapine", "type" : "article-journal", "volume" : "141" }, "uris" : [ "http://www.mendeley.com/documents/?uuid=f1e64ca2-a0ff-488d-b9b3-754f1d763ef6" ] }, { "id" : "ITEM-3", "itemData" : { "DOI" : "10.1016/j.biopsych.2015.02.008", "ISBN" : "0006-3223", "ISSN" : "18732402", "PMID" : "25802081", "abstract" : "Background Deficits in cortical gray matter (GM) have been found in patients with schizophrenia, with evidence of progression over time. The aim of this study was to determine the role of potential moderators of such changes, in particular of the amount and type of antipsychotic medication intake. Methods Longitudinal magnetic resonance imaging studies comparing changes in the volume of cortical GM over time between patients with schizophrenia and healthy control subjects published between January 1, 1983, and March 31, 2014, were analyzed. Hedges' g was calculated for each study and volume changes from baseline to follow-up were analyzed. Meta-regression statistics were applied to investigate the role of potential moderators of the effect sizes. Results Eighteen studies involving 1155 patients with schizophrenia and 911 healthy control subjects were included. Over time, patients with schizophrenia showed a significantly higher loss of total cortical GM volume. This was related to cumulative antipsychotic intake during the interval between scans in the whole study sample. Subgroup meta-analyses of studies on patients treated with second-generation antipsychotics and first-generation antipsychotics revealed a different and contrasting moderating role of medication intake on cortical GM changes: more progressive GM loss correlated with higher mean daily antipsychotic intake in patients treated with at least one first-generation antipsychotic and less progressive GM loss with higher mean daily antipsychotic intake in patients treated only with second-generation antipsychotics. Conclusions These findings add useful information to the controversial debate on the brain structural effects of antipsychotic medication and may have both clinical relevance and theoretical implications.", "author" : [ { "dropping-particle" : "", "family" : "Vita", "given" : "Antonio", "non-dropping-particle" : "", "parse-names" : false, "suffix" : "" }, { "dropping-particle" : "", "family" : "Peri", "given" : "Luca", "non-dropping-particle" : "De", "parse-names" : false, "suffix" : "" }, { "dropping-particle" : "", "family" : "Deste", "given" : "Giacomo", "non-dropping-particle" : "", "parse-names" : false, "suffix" : "" }, { "dropping-particle" : "", "family" : "Barlati", "given" : "Stefano", "non-dropping-particle" : "", "parse-names" : false, "suffix" : "" }, { "dropping-particle" : "", "family" : "Sacchetti", "given" : "Emilio", "non-dropping-particle" : "", "parse-names" : false, "suffix" : "" } ], "container-title" : "Biological Psychiatry", "id" : "ITEM-3", "issue" : "6", "issued" : { "date-parts" : [ [ "2015" ] ] }, "title" : "The Effect of Antipsychotic Treatment on Cortical Gray Matter Changes in Schizophrenia: Does the Class Matter? A Meta-analysis and Meta-regression of Longitudinal Magnetic Resonance Imaging Studies", "type" : "article-journal", "volume" : "78" }, "uris" : [ "http://www.mendeley.com/documents/?uuid=7c4d0c0d-9908-3353-a33d-da406666f73e" ] } ], "mendeley" : { "formattedCitation" : "(Bartzokis &lt;i&gt;et al.&lt;/i&gt; 2009; Roiz-Santi\u00e1\u00f1ez &lt;i&gt;et al.&lt;/i&gt; 2012; Vita &lt;i&gt;et al.&lt;/i&gt; 2015)", "plainTextFormattedCitation" : "(Bartzokis et al. 2009; Roiz-Santi\u00e1\u00f1ez et al. 2012; Vita et al. 2015)", "previouslyFormattedCitation" : "&lt;sup&gt;16\u201318&lt;/sup&gt;" }, "properties" : { "noteIndex" : 0 }, "schema" : "https://github.com/citation-style-language/schema/raw/master/csl-citation.json" }</w:instrText>
      </w:r>
      <w:r w:rsidR="00D17F3F" w:rsidRPr="00354D7B">
        <w:rPr>
          <w:rFonts w:eastAsia="Times New Roman"/>
          <w:sz w:val="20"/>
          <w:szCs w:val="20"/>
        </w:rPr>
        <w:fldChar w:fldCharType="separate"/>
      </w:r>
      <w:r w:rsidR="005464B0" w:rsidRPr="005464B0">
        <w:rPr>
          <w:rFonts w:eastAsia="Times New Roman"/>
          <w:noProof/>
          <w:sz w:val="20"/>
          <w:szCs w:val="20"/>
        </w:rPr>
        <w:t xml:space="preserve">(Bartzokis </w:t>
      </w:r>
      <w:r w:rsidR="005464B0" w:rsidRPr="005464B0">
        <w:rPr>
          <w:rFonts w:eastAsia="Times New Roman"/>
          <w:i/>
          <w:noProof/>
          <w:sz w:val="20"/>
          <w:szCs w:val="20"/>
        </w:rPr>
        <w:t>et al.</w:t>
      </w:r>
      <w:r w:rsidR="005464B0" w:rsidRPr="005464B0">
        <w:rPr>
          <w:rFonts w:eastAsia="Times New Roman"/>
          <w:noProof/>
          <w:sz w:val="20"/>
          <w:szCs w:val="20"/>
        </w:rPr>
        <w:t xml:space="preserve"> 2009; Roiz-Santiáñez </w:t>
      </w:r>
      <w:r w:rsidR="005464B0" w:rsidRPr="005464B0">
        <w:rPr>
          <w:rFonts w:eastAsia="Times New Roman"/>
          <w:i/>
          <w:noProof/>
          <w:sz w:val="20"/>
          <w:szCs w:val="20"/>
        </w:rPr>
        <w:t>et al.</w:t>
      </w:r>
      <w:r w:rsidR="005464B0" w:rsidRPr="005464B0">
        <w:rPr>
          <w:rFonts w:eastAsia="Times New Roman"/>
          <w:noProof/>
          <w:sz w:val="20"/>
          <w:szCs w:val="20"/>
        </w:rPr>
        <w:t xml:space="preserve"> 2012; Vita </w:t>
      </w:r>
      <w:r w:rsidR="005464B0" w:rsidRPr="005464B0">
        <w:rPr>
          <w:rFonts w:eastAsia="Times New Roman"/>
          <w:i/>
          <w:noProof/>
          <w:sz w:val="20"/>
          <w:szCs w:val="20"/>
        </w:rPr>
        <w:t>et al.</w:t>
      </w:r>
      <w:r w:rsidR="005464B0" w:rsidRPr="005464B0">
        <w:rPr>
          <w:rFonts w:eastAsia="Times New Roman"/>
          <w:noProof/>
          <w:sz w:val="20"/>
          <w:szCs w:val="20"/>
        </w:rPr>
        <w:t xml:space="preserve"> 2015)</w:t>
      </w:r>
      <w:r w:rsidR="00D17F3F" w:rsidRPr="00354D7B">
        <w:rPr>
          <w:rFonts w:eastAsia="Times New Roman"/>
          <w:sz w:val="20"/>
          <w:szCs w:val="20"/>
        </w:rPr>
        <w:fldChar w:fldCharType="end"/>
      </w:r>
      <w:r w:rsidR="005464B0">
        <w:rPr>
          <w:rFonts w:eastAsia="Times New Roman"/>
          <w:sz w:val="20"/>
          <w:szCs w:val="20"/>
        </w:rPr>
        <w:t>,</w:t>
      </w:r>
      <w:r w:rsidRPr="00354D7B">
        <w:rPr>
          <w:rFonts w:eastAsia="Times New Roman"/>
          <w:sz w:val="20"/>
          <w:szCs w:val="20"/>
        </w:rPr>
        <w:t xml:space="preserve"> a separate analysis was included to observe potential effects of antipsychotic medication on the calculated rate of change of WGC and CT. Antipsychotic medication was defined as cumulative chlorpromazine equivalents, multiplied by adherence, as measured at the end of the neuroimaging study (i.e. this measure was taken from each patients’ last scanning timepoint, and is a cumulative measure of antipsychotic medication exposure measured monthly at PEPP-Montreal). Antipsychotic medication was regressed against</w:t>
      </w:r>
      <w:r w:rsidR="00F77B7B">
        <w:rPr>
          <w:rFonts w:eastAsia="Times New Roman"/>
          <w:sz w:val="20"/>
          <w:szCs w:val="20"/>
        </w:rPr>
        <w:t xml:space="preserve"> </w:t>
      </w:r>
      <w:r w:rsidR="00D17F3F" w:rsidRPr="00354D7B">
        <w:rPr>
          <w:rFonts w:ascii="Symbol" w:eastAsia="Symbol" w:hAnsi="Symbol" w:cs="Symbol"/>
          <w:color w:val="000000"/>
          <w:sz w:val="20"/>
          <w:szCs w:val="20"/>
        </w:rPr>
        <w:t></w:t>
      </w:r>
      <w:r w:rsidRPr="00354D7B">
        <w:rPr>
          <w:color w:val="000000"/>
          <w:sz w:val="20"/>
          <w:szCs w:val="20"/>
        </w:rPr>
        <w:t>Y</w:t>
      </w:r>
      <w:r w:rsidR="00D17F3F" w:rsidRPr="00354D7B">
        <w:rPr>
          <w:color w:val="000000"/>
          <w:sz w:val="20"/>
          <w:szCs w:val="20"/>
        </w:rPr>
        <w:t xml:space="preserve"> (i.e. change in CT or WGC)</w:t>
      </w:r>
      <w:r w:rsidRPr="00354D7B">
        <w:rPr>
          <w:color w:val="000000"/>
          <w:sz w:val="20"/>
          <w:szCs w:val="20"/>
        </w:rPr>
        <w:t>, controlling for age, sex, and Mean</w:t>
      </w:r>
      <w:r w:rsidR="004632FC">
        <w:rPr>
          <w:color w:val="000000"/>
          <w:sz w:val="20"/>
          <w:szCs w:val="20"/>
        </w:rPr>
        <w:t xml:space="preserve"> WGC or Mean </w:t>
      </w:r>
      <w:r w:rsidRPr="00354D7B">
        <w:rPr>
          <w:color w:val="000000"/>
          <w:sz w:val="20"/>
          <w:szCs w:val="20"/>
        </w:rPr>
        <w:t>CT</w:t>
      </w:r>
      <w:r w:rsidR="004632FC">
        <w:rPr>
          <w:color w:val="000000"/>
          <w:sz w:val="20"/>
          <w:szCs w:val="20"/>
        </w:rPr>
        <w:t xml:space="preserve"> (denoted as Mean(</w:t>
      </w:r>
      <w:r w:rsidR="004632FC">
        <w:rPr>
          <w:color w:val="000000"/>
          <w:sz w:val="20"/>
          <w:szCs w:val="20"/>
        </w:rPr>
        <w:sym w:font="Symbol" w:char="F073"/>
      </w:r>
      <w:r w:rsidR="004632FC">
        <w:rPr>
          <w:color w:val="000000"/>
          <w:sz w:val="20"/>
          <w:szCs w:val="20"/>
        </w:rPr>
        <w:t>) in the main manuscript)</w:t>
      </w:r>
      <w:r w:rsidRPr="00354D7B">
        <w:rPr>
          <w:color w:val="000000"/>
          <w:sz w:val="20"/>
          <w:szCs w:val="20"/>
        </w:rPr>
        <w:t xml:space="preserve">. No significant effects of antipsychotic medication on rate of change in WGC or CT were observed (see </w:t>
      </w:r>
      <w:r w:rsidR="00AF5EB9">
        <w:rPr>
          <w:b/>
          <w:color w:val="000000"/>
          <w:sz w:val="20"/>
          <w:szCs w:val="20"/>
        </w:rPr>
        <w:t xml:space="preserve">Supplementary </w:t>
      </w:r>
      <w:r w:rsidRPr="00354D7B">
        <w:rPr>
          <w:b/>
          <w:color w:val="000000"/>
          <w:sz w:val="20"/>
          <w:szCs w:val="20"/>
        </w:rPr>
        <w:t xml:space="preserve">Figure </w:t>
      </w:r>
      <w:r w:rsidR="00AF5EB9">
        <w:rPr>
          <w:b/>
          <w:color w:val="000000"/>
          <w:sz w:val="20"/>
          <w:szCs w:val="20"/>
        </w:rPr>
        <w:t>1</w:t>
      </w:r>
      <w:r w:rsidRPr="00354D7B">
        <w:rPr>
          <w:color w:val="000000"/>
          <w:sz w:val="20"/>
          <w:szCs w:val="20"/>
        </w:rPr>
        <w:t>), and this variable did not lower the AIC score when added to the above-described models. Thus we felt justified in leaving out medication as a covariate.</w:t>
      </w:r>
    </w:p>
    <w:p w14:paraId="4127E462" w14:textId="77777777" w:rsidR="00FB2B2D" w:rsidRPr="00033175" w:rsidRDefault="00FB2B2D" w:rsidP="00AC3851">
      <w:pPr>
        <w:pStyle w:val="Normal1"/>
        <w:spacing w:line="240" w:lineRule="auto"/>
        <w:rPr>
          <w:rFonts w:ascii="Times New Roman" w:eastAsia="Calibri" w:hAnsi="Times New Roman" w:cs="Times New Roman"/>
          <w:b/>
          <w:color w:val="auto"/>
          <w:sz w:val="24"/>
          <w:szCs w:val="24"/>
          <w:lang w:val="en-CA"/>
        </w:rPr>
      </w:pPr>
    </w:p>
    <w:p w14:paraId="32716708" w14:textId="77777777" w:rsidR="00AC3851" w:rsidRPr="00716ACE" w:rsidRDefault="00FB2B2D" w:rsidP="00AC3851">
      <w:pPr>
        <w:pStyle w:val="Normal1"/>
        <w:spacing w:line="240" w:lineRule="auto"/>
        <w:rPr>
          <w:rFonts w:ascii="Times New Roman" w:eastAsia="Calibri" w:hAnsi="Times New Roman" w:cs="Times New Roman"/>
          <w:b/>
          <w:color w:val="auto"/>
          <w:sz w:val="24"/>
          <w:szCs w:val="24"/>
          <w:u w:val="single"/>
          <w:lang w:val="en-CA"/>
        </w:rPr>
      </w:pPr>
      <w:r w:rsidRPr="00716ACE">
        <w:rPr>
          <w:rFonts w:ascii="Times New Roman" w:eastAsia="Calibri" w:hAnsi="Times New Roman" w:cs="Times New Roman"/>
          <w:b/>
          <w:color w:val="auto"/>
          <w:sz w:val="24"/>
          <w:szCs w:val="24"/>
          <w:u w:val="single"/>
          <w:lang w:val="en-CA"/>
        </w:rPr>
        <w:t xml:space="preserve">Supplementary </w:t>
      </w:r>
      <w:r w:rsidR="00AC3851" w:rsidRPr="00716ACE">
        <w:rPr>
          <w:rFonts w:ascii="Times New Roman" w:eastAsia="Calibri" w:hAnsi="Times New Roman" w:cs="Times New Roman"/>
          <w:b/>
          <w:color w:val="auto"/>
          <w:sz w:val="24"/>
          <w:szCs w:val="24"/>
          <w:u w:val="single"/>
          <w:lang w:val="en-CA"/>
        </w:rPr>
        <w:t>Results</w:t>
      </w:r>
    </w:p>
    <w:p w14:paraId="438A792B" w14:textId="77777777" w:rsidR="00AC3851" w:rsidRPr="00F9318D" w:rsidRDefault="00AC3851" w:rsidP="00AC3851">
      <w:pPr>
        <w:pStyle w:val="Normal1"/>
        <w:spacing w:line="240" w:lineRule="auto"/>
        <w:rPr>
          <w:rFonts w:ascii="Times New Roman" w:hAnsi="Times New Roman" w:cs="Times New Roman"/>
          <w:b/>
          <w:sz w:val="24"/>
          <w:szCs w:val="24"/>
        </w:rPr>
      </w:pPr>
      <w:r w:rsidRPr="00033175">
        <w:rPr>
          <w:rFonts w:ascii="Times New Roman" w:eastAsia="Calibri" w:hAnsi="Times New Roman" w:cs="Times New Roman"/>
          <w:b/>
          <w:color w:val="auto"/>
          <w:sz w:val="24"/>
          <w:szCs w:val="24"/>
          <w:lang w:val="en-CA"/>
        </w:rPr>
        <w:t>i</w:t>
      </w:r>
      <w:r w:rsidRPr="00F9318D">
        <w:rPr>
          <w:rFonts w:ascii="Times New Roman" w:hAnsi="Times New Roman" w:cs="Times New Roman"/>
          <w:b/>
          <w:sz w:val="24"/>
          <w:szCs w:val="24"/>
        </w:rPr>
        <w:t>. Cross-sectional assessment of verbal memory and negative symptoms.</w:t>
      </w:r>
    </w:p>
    <w:p w14:paraId="3257499A" w14:textId="71DC46F1" w:rsidR="00AC3851" w:rsidRPr="00354D7B" w:rsidRDefault="00AC3851" w:rsidP="00AC3851">
      <w:pPr>
        <w:widowControl w:val="0"/>
        <w:jc w:val="both"/>
        <w:rPr>
          <w:sz w:val="20"/>
          <w:szCs w:val="20"/>
          <w:lang w:val="en-CA"/>
        </w:rPr>
      </w:pPr>
      <w:r w:rsidRPr="00354D7B">
        <w:rPr>
          <w:b/>
          <w:sz w:val="20"/>
          <w:szCs w:val="20"/>
          <w:lang w:val="en-CA"/>
        </w:rPr>
        <w:t>Verbal Memory at Baseline.</w:t>
      </w:r>
      <w:r w:rsidRPr="00354D7B">
        <w:rPr>
          <w:sz w:val="20"/>
          <w:szCs w:val="20"/>
          <w:lang w:val="en-CA"/>
        </w:rPr>
        <w:t xml:space="preserve"> As reported in </w:t>
      </w:r>
      <w:r w:rsidRPr="00354D7B">
        <w:rPr>
          <w:b/>
          <w:sz w:val="20"/>
          <w:szCs w:val="20"/>
          <w:lang w:val="en-CA"/>
        </w:rPr>
        <w:t>Table 1</w:t>
      </w:r>
      <w:r w:rsidRPr="00354D7B">
        <w:rPr>
          <w:sz w:val="20"/>
          <w:szCs w:val="20"/>
          <w:lang w:val="en-CA"/>
        </w:rPr>
        <w:t xml:space="preserve"> of the main manuscript, FEP patients had significantly lower VM performance (immediate and delayed recall) compared to healthy controls, when controlling for neuropsychological test battery version (F</w:t>
      </w:r>
      <w:r w:rsidRPr="00354D7B">
        <w:rPr>
          <w:sz w:val="20"/>
          <w:szCs w:val="20"/>
          <w:vertAlign w:val="subscript"/>
          <w:lang w:val="en-CA"/>
        </w:rPr>
        <w:t>1,163</w:t>
      </w:r>
      <w:r w:rsidRPr="00354D7B">
        <w:rPr>
          <w:sz w:val="20"/>
          <w:szCs w:val="20"/>
          <w:u w:val="single"/>
          <w:lang w:val="en-CA"/>
        </w:rPr>
        <w:t>&gt;</w:t>
      </w:r>
      <w:r w:rsidRPr="00354D7B">
        <w:rPr>
          <w:sz w:val="20"/>
          <w:szCs w:val="20"/>
          <w:lang w:val="en-CA"/>
        </w:rPr>
        <w:t xml:space="preserve">16.77, p&lt;0.0001). This held true for the full cross-sectional sample as well, included in </w:t>
      </w:r>
      <w:r w:rsidR="00AF5EB9">
        <w:rPr>
          <w:b/>
          <w:sz w:val="20"/>
          <w:szCs w:val="20"/>
          <w:lang w:val="en-CA"/>
        </w:rPr>
        <w:t xml:space="preserve">Supplementary </w:t>
      </w:r>
      <w:r w:rsidRPr="00354D7B">
        <w:rPr>
          <w:b/>
          <w:sz w:val="20"/>
          <w:szCs w:val="20"/>
          <w:lang w:val="en-CA"/>
        </w:rPr>
        <w:t xml:space="preserve">Table </w:t>
      </w:r>
      <w:r w:rsidR="00724DAE">
        <w:rPr>
          <w:b/>
          <w:sz w:val="20"/>
          <w:szCs w:val="20"/>
          <w:lang w:val="en-CA"/>
        </w:rPr>
        <w:t>4</w:t>
      </w:r>
      <w:r w:rsidRPr="00354D7B">
        <w:rPr>
          <w:sz w:val="20"/>
          <w:szCs w:val="20"/>
          <w:lang w:val="en-CA"/>
        </w:rPr>
        <w:t xml:space="preserve">. Descriptive statistics of VM performance by group and version, and other relevant statistics, are included in </w:t>
      </w:r>
      <w:r w:rsidR="00AF5EB9">
        <w:rPr>
          <w:b/>
          <w:sz w:val="20"/>
          <w:szCs w:val="20"/>
          <w:lang w:val="en-CA"/>
        </w:rPr>
        <w:t xml:space="preserve">Supplementary </w:t>
      </w:r>
      <w:r w:rsidRPr="00354D7B">
        <w:rPr>
          <w:b/>
          <w:sz w:val="20"/>
          <w:szCs w:val="20"/>
          <w:lang w:val="en-CA"/>
        </w:rPr>
        <w:t xml:space="preserve">Table </w:t>
      </w:r>
      <w:r w:rsidR="00724DAE">
        <w:rPr>
          <w:b/>
          <w:sz w:val="20"/>
          <w:szCs w:val="20"/>
          <w:lang w:val="en-CA"/>
        </w:rPr>
        <w:t>3</w:t>
      </w:r>
      <w:r w:rsidRPr="00354D7B">
        <w:rPr>
          <w:sz w:val="20"/>
          <w:szCs w:val="20"/>
          <w:lang w:val="en-CA"/>
        </w:rPr>
        <w:t xml:space="preserve">. No significant group by version interaction term or main effect of version was found on VM performance. Also, no significant difference was observed within the </w:t>
      </w:r>
      <w:r w:rsidRPr="00354D7B">
        <w:rPr>
          <w:sz w:val="20"/>
          <w:szCs w:val="20"/>
          <w:lang w:val="en-CA"/>
        </w:rPr>
        <w:lastRenderedPageBreak/>
        <w:t>FEP group comparing pen and paper vs. computerized test battery data, confirming that the data from the two different test batteries are comparable, and thus could be pooled in our analysis.</w:t>
      </w:r>
    </w:p>
    <w:p w14:paraId="59AF70C3" w14:textId="77777777" w:rsidR="00AC3851" w:rsidRPr="00354D7B" w:rsidRDefault="00AC3851" w:rsidP="00AC3851">
      <w:pPr>
        <w:widowControl w:val="0"/>
        <w:jc w:val="both"/>
        <w:rPr>
          <w:sz w:val="20"/>
          <w:szCs w:val="20"/>
        </w:rPr>
      </w:pPr>
    </w:p>
    <w:p w14:paraId="3A85BE2F" w14:textId="77777777" w:rsidR="004A7A16" w:rsidRDefault="004A7A16" w:rsidP="00AC3851">
      <w:pPr>
        <w:widowControl w:val="0"/>
        <w:jc w:val="both"/>
        <w:rPr>
          <w:b/>
          <w:sz w:val="20"/>
          <w:szCs w:val="20"/>
          <w:lang w:val="en-CA"/>
        </w:rPr>
      </w:pPr>
    </w:p>
    <w:p w14:paraId="37DDE6A5" w14:textId="77777777" w:rsidR="004A7A16" w:rsidRDefault="004A7A16" w:rsidP="00AC3851">
      <w:pPr>
        <w:widowControl w:val="0"/>
        <w:jc w:val="both"/>
        <w:rPr>
          <w:b/>
          <w:sz w:val="20"/>
          <w:szCs w:val="20"/>
          <w:lang w:val="en-CA"/>
        </w:rPr>
      </w:pPr>
    </w:p>
    <w:p w14:paraId="56E60C0D" w14:textId="424974CE" w:rsidR="00AC3851" w:rsidRDefault="00AC3851" w:rsidP="00AC3851">
      <w:pPr>
        <w:widowControl w:val="0"/>
        <w:jc w:val="both"/>
        <w:rPr>
          <w:sz w:val="20"/>
          <w:szCs w:val="20"/>
          <w:lang w:val="en-CA"/>
        </w:rPr>
      </w:pPr>
      <w:r w:rsidRPr="00354D7B">
        <w:rPr>
          <w:b/>
          <w:sz w:val="20"/>
          <w:szCs w:val="20"/>
          <w:lang w:val="en-CA"/>
        </w:rPr>
        <w:t>Verbal Memory in Relation to Negative Symptom Domains at Baseline</w:t>
      </w:r>
      <w:r w:rsidRPr="00354D7B">
        <w:rPr>
          <w:i/>
          <w:sz w:val="20"/>
          <w:szCs w:val="20"/>
          <w:lang w:val="en-CA"/>
        </w:rPr>
        <w:t xml:space="preserve">. </w:t>
      </w:r>
      <w:r w:rsidRPr="00354D7B">
        <w:rPr>
          <w:sz w:val="20"/>
          <w:szCs w:val="20"/>
          <w:lang w:val="en-CA"/>
        </w:rPr>
        <w:t xml:space="preserve">The relationship between VM (i.e. z-scores of immediate and delayed recall) and negative symptom domains (i.e. log-transformed scores for Amotivation and Expressivity) at baseline were assessed in 115 FEP patients with </w:t>
      </w:r>
      <w:r w:rsidR="00DD0D55">
        <w:rPr>
          <w:sz w:val="20"/>
          <w:szCs w:val="20"/>
          <w:lang w:val="en-CA"/>
        </w:rPr>
        <w:t>Pearson r-correlations</w:t>
      </w:r>
      <w:r w:rsidRPr="00354D7B">
        <w:rPr>
          <w:sz w:val="20"/>
          <w:szCs w:val="20"/>
          <w:lang w:val="en-CA"/>
        </w:rPr>
        <w:t xml:space="preserve">, </w:t>
      </w:r>
      <w:r w:rsidR="00DD0D55">
        <w:rPr>
          <w:sz w:val="20"/>
          <w:szCs w:val="20"/>
          <w:lang w:val="en-CA"/>
        </w:rPr>
        <w:t xml:space="preserve">adjusting verbal memory scores </w:t>
      </w:r>
      <w:r w:rsidRPr="00354D7B">
        <w:rPr>
          <w:sz w:val="20"/>
          <w:szCs w:val="20"/>
          <w:lang w:val="en-CA"/>
        </w:rPr>
        <w:t xml:space="preserve">for age, sex, and test battery version. Expressivity was found to be significantly negatively associated with both immediate (r=-0.35, q&lt;0.001) and delayed recall (r=-0.28, q=0.036). Only a trend-like significant negative association was noted between Amotivation and immediate recall (r=-0.17, p-uncorrected=0.067), and no relationship was found between Amotivation and delayed recall (r=-0.12,  q=0.215). </w:t>
      </w:r>
    </w:p>
    <w:p w14:paraId="03E5D7FD" w14:textId="77777777" w:rsidR="008506E5" w:rsidRDefault="008506E5" w:rsidP="00AC3851">
      <w:pPr>
        <w:widowControl w:val="0"/>
        <w:jc w:val="both"/>
        <w:rPr>
          <w:sz w:val="20"/>
          <w:szCs w:val="20"/>
          <w:lang w:val="en-CA"/>
        </w:rPr>
      </w:pPr>
    </w:p>
    <w:p w14:paraId="388C741F" w14:textId="77777777" w:rsidR="0071420D" w:rsidRDefault="0071420D" w:rsidP="00AC3851">
      <w:pPr>
        <w:widowControl w:val="0"/>
        <w:jc w:val="both"/>
        <w:rPr>
          <w:sz w:val="20"/>
          <w:szCs w:val="20"/>
          <w:lang w:val="en-CA"/>
        </w:rPr>
      </w:pPr>
    </w:p>
    <w:p w14:paraId="239BC9EC" w14:textId="53B184C3" w:rsidR="008506E5" w:rsidRDefault="008506E5" w:rsidP="00AC3851">
      <w:pPr>
        <w:widowControl w:val="0"/>
        <w:jc w:val="both"/>
        <w:rPr>
          <w:lang w:val="en-CA"/>
        </w:rPr>
      </w:pPr>
      <w:r w:rsidRPr="008506E5">
        <w:rPr>
          <w:b/>
          <w:lang w:val="en-CA"/>
        </w:rPr>
        <w:t>ii. Relationship between Change in Verbal Memory</w:t>
      </w:r>
      <w:r>
        <w:rPr>
          <w:b/>
          <w:lang w:val="en-CA"/>
        </w:rPr>
        <w:t xml:space="preserve"> and Change in Negative Symptoms</w:t>
      </w:r>
      <w:r>
        <w:rPr>
          <w:lang w:val="en-CA"/>
        </w:rPr>
        <w:t>.</w:t>
      </w:r>
    </w:p>
    <w:p w14:paraId="52692CD5" w14:textId="0459D722" w:rsidR="00354D7B" w:rsidRDefault="008506E5" w:rsidP="00A02C1A">
      <w:pPr>
        <w:widowControl w:val="0"/>
        <w:jc w:val="both"/>
        <w:rPr>
          <w:sz w:val="20"/>
          <w:szCs w:val="20"/>
          <w:lang w:val="en-CA"/>
        </w:rPr>
      </w:pPr>
      <w:r>
        <w:rPr>
          <w:sz w:val="20"/>
          <w:szCs w:val="20"/>
          <w:lang w:val="en-CA"/>
        </w:rPr>
        <w:t>A subset of patients included in the study</w:t>
      </w:r>
      <w:r w:rsidR="00A02C1A">
        <w:rPr>
          <w:sz w:val="20"/>
          <w:szCs w:val="20"/>
          <w:lang w:val="en-CA"/>
        </w:rPr>
        <w:t xml:space="preserve"> (N=49 from 88 patients)</w:t>
      </w:r>
      <w:r>
        <w:rPr>
          <w:sz w:val="20"/>
          <w:szCs w:val="20"/>
          <w:lang w:val="en-CA"/>
        </w:rPr>
        <w:t xml:space="preserve"> had verbal memory assessed at one-year follow-up. </w:t>
      </w:r>
      <w:r w:rsidR="00A02C1A">
        <w:rPr>
          <w:sz w:val="20"/>
          <w:szCs w:val="20"/>
          <w:lang w:val="en-CA"/>
        </w:rPr>
        <w:t xml:space="preserve">Thus, we conducted an exploratory analysis to see if there was a relationship </w:t>
      </w:r>
      <w:r w:rsidR="000850BA">
        <w:rPr>
          <w:sz w:val="20"/>
          <w:szCs w:val="20"/>
          <w:lang w:val="en-CA"/>
        </w:rPr>
        <w:t>between</w:t>
      </w:r>
      <w:r w:rsidR="00A02C1A">
        <w:rPr>
          <w:sz w:val="20"/>
          <w:szCs w:val="20"/>
          <w:lang w:val="en-CA"/>
        </w:rPr>
        <w:t xml:space="preserve"> change</w:t>
      </w:r>
      <w:r w:rsidR="000850BA">
        <w:rPr>
          <w:sz w:val="20"/>
          <w:szCs w:val="20"/>
          <w:lang w:val="en-CA"/>
        </w:rPr>
        <w:t xml:space="preserve"> in verbal memory and </w:t>
      </w:r>
      <w:r w:rsidR="00A02C1A">
        <w:rPr>
          <w:sz w:val="20"/>
          <w:szCs w:val="20"/>
          <w:lang w:val="en-CA"/>
        </w:rPr>
        <w:t>change in negative symptoms over th</w:t>
      </w:r>
      <w:r w:rsidR="00DD0D55">
        <w:rPr>
          <w:sz w:val="20"/>
          <w:szCs w:val="20"/>
          <w:lang w:val="en-CA"/>
        </w:rPr>
        <w:t>is one-year period, using Pearson r correlations, adjusting verbal memory scores by age, sex, and test battery version</w:t>
      </w:r>
      <w:r w:rsidR="00A02C1A">
        <w:rPr>
          <w:sz w:val="20"/>
          <w:szCs w:val="20"/>
          <w:lang w:val="en-CA"/>
        </w:rPr>
        <w:t xml:space="preserve">. </w:t>
      </w:r>
      <w:r w:rsidR="00BF7D8E">
        <w:rPr>
          <w:sz w:val="20"/>
          <w:szCs w:val="20"/>
          <w:lang w:val="en-CA"/>
        </w:rPr>
        <w:t>For the included 49 FEP patients, w</w:t>
      </w:r>
      <w:r w:rsidR="00A02C1A" w:rsidRPr="000850BA">
        <w:rPr>
          <w:sz w:val="20"/>
          <w:szCs w:val="20"/>
          <w:lang w:val="en-CA"/>
        </w:rPr>
        <w:t xml:space="preserve">e found no relationship between </w:t>
      </w:r>
      <w:r w:rsidR="000850BA" w:rsidRPr="000850BA">
        <w:rPr>
          <w:rFonts w:ascii="Symbol" w:eastAsia="Symbol" w:hAnsi="Symbol" w:cs="Symbol"/>
          <w:sz w:val="20"/>
          <w:szCs w:val="20"/>
        </w:rPr>
        <w:t></w:t>
      </w:r>
      <w:r w:rsidR="000850BA" w:rsidRPr="000850BA">
        <w:rPr>
          <w:sz w:val="20"/>
          <w:szCs w:val="20"/>
          <w:lang w:val="en-CA"/>
        </w:rPr>
        <w:t xml:space="preserve"> immediate recall and </w:t>
      </w:r>
      <w:r w:rsidR="000850BA" w:rsidRPr="000850BA">
        <w:rPr>
          <w:rFonts w:ascii="Symbol" w:eastAsia="Symbol" w:hAnsi="Symbol" w:cs="Symbol"/>
          <w:sz w:val="20"/>
          <w:szCs w:val="20"/>
        </w:rPr>
        <w:t></w:t>
      </w:r>
      <w:r w:rsidR="000850BA" w:rsidRPr="000850BA">
        <w:rPr>
          <w:rFonts w:ascii="Symbol" w:eastAsia="Symbol" w:hAnsi="Symbol" w:cs="Symbol"/>
          <w:sz w:val="20"/>
          <w:szCs w:val="20"/>
        </w:rPr>
        <w:t></w:t>
      </w:r>
      <w:r w:rsidR="000850BA" w:rsidRPr="000850BA">
        <w:rPr>
          <w:sz w:val="20"/>
          <w:szCs w:val="20"/>
          <w:lang w:val="en-CA"/>
        </w:rPr>
        <w:t>amotivation (</w:t>
      </w:r>
      <w:r w:rsidR="00BF7D8E">
        <w:rPr>
          <w:sz w:val="20"/>
          <w:szCs w:val="20"/>
          <w:lang w:val="en-CA"/>
        </w:rPr>
        <w:t>r=-0.096, p=0.51</w:t>
      </w:r>
      <w:r w:rsidR="000850BA" w:rsidRPr="000850BA">
        <w:rPr>
          <w:sz w:val="20"/>
          <w:szCs w:val="20"/>
          <w:lang w:val="en-CA"/>
        </w:rPr>
        <w:t xml:space="preserve">), nor </w:t>
      </w:r>
      <w:r w:rsidR="000850BA" w:rsidRPr="000850BA">
        <w:rPr>
          <w:rFonts w:ascii="Symbol" w:eastAsia="Symbol" w:hAnsi="Symbol" w:cs="Symbol"/>
          <w:sz w:val="20"/>
          <w:szCs w:val="20"/>
        </w:rPr>
        <w:t></w:t>
      </w:r>
      <w:r w:rsidR="000850BA" w:rsidRPr="000850BA">
        <w:rPr>
          <w:rFonts w:ascii="Symbol" w:eastAsia="Symbol" w:hAnsi="Symbol" w:cs="Symbol"/>
          <w:sz w:val="20"/>
          <w:szCs w:val="20"/>
        </w:rPr>
        <w:t></w:t>
      </w:r>
      <w:r w:rsidR="000850BA" w:rsidRPr="000850BA">
        <w:rPr>
          <w:sz w:val="20"/>
          <w:szCs w:val="20"/>
          <w:lang w:val="en-CA"/>
        </w:rPr>
        <w:t xml:space="preserve">immediate recall and </w:t>
      </w:r>
      <w:r w:rsidR="000850BA" w:rsidRPr="000850BA">
        <w:rPr>
          <w:rFonts w:ascii="Symbol" w:eastAsia="Symbol" w:hAnsi="Symbol" w:cs="Symbol"/>
          <w:sz w:val="20"/>
          <w:szCs w:val="20"/>
        </w:rPr>
        <w:t></w:t>
      </w:r>
      <w:r w:rsidR="000850BA" w:rsidRPr="000850BA">
        <w:rPr>
          <w:rFonts w:ascii="Symbol" w:eastAsia="Symbol" w:hAnsi="Symbol" w:cs="Symbol"/>
          <w:sz w:val="20"/>
          <w:szCs w:val="20"/>
        </w:rPr>
        <w:t></w:t>
      </w:r>
      <w:r w:rsidR="000850BA" w:rsidRPr="000850BA">
        <w:rPr>
          <w:sz w:val="20"/>
          <w:szCs w:val="20"/>
          <w:lang w:val="en-CA"/>
        </w:rPr>
        <w:t>expressivity (</w:t>
      </w:r>
      <w:r w:rsidR="00BF7D8E">
        <w:rPr>
          <w:sz w:val="20"/>
          <w:szCs w:val="20"/>
          <w:lang w:val="en-CA"/>
        </w:rPr>
        <w:t>r=-0.085</w:t>
      </w:r>
      <w:r w:rsidR="000850BA" w:rsidRPr="000850BA">
        <w:rPr>
          <w:sz w:val="20"/>
          <w:szCs w:val="20"/>
          <w:lang w:val="en-CA"/>
        </w:rPr>
        <w:t xml:space="preserve">, </w:t>
      </w:r>
      <w:r w:rsidR="00BF7D8E">
        <w:rPr>
          <w:sz w:val="20"/>
          <w:szCs w:val="20"/>
          <w:lang w:val="en-CA"/>
        </w:rPr>
        <w:t>p=0.55</w:t>
      </w:r>
      <w:r w:rsidR="000850BA" w:rsidRPr="000850BA">
        <w:rPr>
          <w:sz w:val="20"/>
          <w:szCs w:val="20"/>
          <w:lang w:val="en-CA"/>
        </w:rPr>
        <w:t xml:space="preserve">). Similarly for </w:t>
      </w:r>
      <w:r w:rsidR="000850BA" w:rsidRPr="000850BA">
        <w:rPr>
          <w:rFonts w:ascii="Symbol" w:eastAsia="Symbol" w:hAnsi="Symbol" w:cs="Symbol"/>
          <w:sz w:val="20"/>
          <w:szCs w:val="20"/>
        </w:rPr>
        <w:t></w:t>
      </w:r>
      <w:r w:rsidR="000850BA" w:rsidRPr="000850BA">
        <w:rPr>
          <w:sz w:val="20"/>
          <w:szCs w:val="20"/>
          <w:lang w:val="en-CA"/>
        </w:rPr>
        <w:t xml:space="preserve"> delayed recall, we found no relationship with </w:t>
      </w:r>
      <w:r w:rsidR="000850BA" w:rsidRPr="000850BA">
        <w:rPr>
          <w:rFonts w:ascii="Symbol" w:eastAsia="Symbol" w:hAnsi="Symbol" w:cs="Symbol"/>
          <w:sz w:val="20"/>
          <w:szCs w:val="20"/>
        </w:rPr>
        <w:t></w:t>
      </w:r>
      <w:r w:rsidR="000850BA" w:rsidRPr="000850BA">
        <w:rPr>
          <w:rFonts w:ascii="Symbol" w:eastAsia="Symbol" w:hAnsi="Symbol" w:cs="Symbol"/>
          <w:sz w:val="20"/>
          <w:szCs w:val="20"/>
        </w:rPr>
        <w:t></w:t>
      </w:r>
      <w:r w:rsidR="000850BA" w:rsidRPr="000850BA">
        <w:rPr>
          <w:sz w:val="20"/>
          <w:szCs w:val="20"/>
          <w:lang w:val="en-CA"/>
        </w:rPr>
        <w:t>amotivation (</w:t>
      </w:r>
      <w:r w:rsidR="00BF7D8E">
        <w:rPr>
          <w:sz w:val="20"/>
          <w:szCs w:val="20"/>
          <w:lang w:val="en-CA"/>
        </w:rPr>
        <w:t>r=-0.19</w:t>
      </w:r>
      <w:r w:rsidR="000850BA" w:rsidRPr="000850BA">
        <w:rPr>
          <w:sz w:val="20"/>
          <w:szCs w:val="20"/>
          <w:lang w:val="en-CA"/>
        </w:rPr>
        <w:t xml:space="preserve">, p=0.18) or </w:t>
      </w:r>
      <w:r w:rsidR="000850BA" w:rsidRPr="000850BA">
        <w:rPr>
          <w:rFonts w:ascii="Symbol" w:eastAsia="Symbol" w:hAnsi="Symbol" w:cs="Symbol"/>
          <w:sz w:val="20"/>
          <w:szCs w:val="20"/>
        </w:rPr>
        <w:t></w:t>
      </w:r>
      <w:r w:rsidR="000850BA" w:rsidRPr="000850BA">
        <w:rPr>
          <w:rFonts w:ascii="Symbol" w:eastAsia="Symbol" w:hAnsi="Symbol" w:cs="Symbol"/>
          <w:sz w:val="20"/>
          <w:szCs w:val="20"/>
        </w:rPr>
        <w:t></w:t>
      </w:r>
      <w:r w:rsidR="000850BA" w:rsidRPr="000850BA">
        <w:rPr>
          <w:sz w:val="20"/>
          <w:szCs w:val="20"/>
          <w:lang w:val="en-CA"/>
        </w:rPr>
        <w:t>expressivity (</w:t>
      </w:r>
      <w:r w:rsidR="00BF7D8E">
        <w:rPr>
          <w:sz w:val="20"/>
          <w:szCs w:val="20"/>
          <w:lang w:val="en-CA"/>
        </w:rPr>
        <w:t>r=-0.13</w:t>
      </w:r>
      <w:r w:rsidR="000850BA" w:rsidRPr="000850BA">
        <w:rPr>
          <w:sz w:val="20"/>
          <w:szCs w:val="20"/>
          <w:lang w:val="en-CA"/>
        </w:rPr>
        <w:t>, p=</w:t>
      </w:r>
      <w:r w:rsidR="00BF7D8E">
        <w:rPr>
          <w:sz w:val="20"/>
          <w:szCs w:val="20"/>
          <w:lang w:val="en-CA"/>
        </w:rPr>
        <w:t>0.39</w:t>
      </w:r>
      <w:r w:rsidR="000850BA" w:rsidRPr="000850BA">
        <w:rPr>
          <w:sz w:val="20"/>
          <w:szCs w:val="20"/>
          <w:lang w:val="en-CA"/>
        </w:rPr>
        <w:t>).</w:t>
      </w:r>
      <w:r w:rsidR="00BF7D8E">
        <w:rPr>
          <w:sz w:val="20"/>
          <w:szCs w:val="20"/>
          <w:lang w:val="en-CA"/>
        </w:rPr>
        <w:t xml:space="preserve"> Note, a negative r value denotes that a worsening of negative symptoms is associated with a worsening of verbal memory performance (given that a negative change value reflects improvement in negative symptoms but worsening of verbal memory).</w:t>
      </w:r>
    </w:p>
    <w:p w14:paraId="0F019B4E" w14:textId="77777777" w:rsidR="00A02C1A" w:rsidRPr="008506E5" w:rsidRDefault="00A02C1A" w:rsidP="00A02C1A">
      <w:pPr>
        <w:widowControl w:val="0"/>
        <w:jc w:val="both"/>
        <w:rPr>
          <w:lang w:val="en-CA"/>
        </w:rPr>
      </w:pPr>
    </w:p>
    <w:p w14:paraId="20D28AD4" w14:textId="77777777" w:rsidR="000850BA" w:rsidRDefault="000850BA">
      <w:pPr>
        <w:jc w:val="both"/>
        <w:outlineLvl w:val="0"/>
        <w:rPr>
          <w:b/>
          <w:u w:val="single"/>
          <w:lang w:val="en-CA"/>
        </w:rPr>
      </w:pPr>
    </w:p>
    <w:p w14:paraId="27E9C69D" w14:textId="77777777" w:rsidR="00A05F14" w:rsidRPr="00716ACE" w:rsidRDefault="00FB2B2D">
      <w:pPr>
        <w:jc w:val="both"/>
        <w:outlineLvl w:val="0"/>
        <w:rPr>
          <w:b/>
          <w:u w:val="single"/>
          <w:lang w:val="en-CA"/>
        </w:rPr>
      </w:pPr>
      <w:r w:rsidRPr="00716ACE">
        <w:rPr>
          <w:b/>
          <w:u w:val="single"/>
          <w:lang w:val="en-CA"/>
        </w:rPr>
        <w:t xml:space="preserve">Supplementary </w:t>
      </w:r>
      <w:r w:rsidR="00716ACE" w:rsidRPr="00716ACE">
        <w:rPr>
          <w:b/>
          <w:u w:val="single"/>
          <w:lang w:val="en-CA"/>
        </w:rPr>
        <w:t>Figures</w:t>
      </w:r>
    </w:p>
    <w:p w14:paraId="4E7549B4" w14:textId="77777777" w:rsidR="006D0EA9" w:rsidRDefault="006D0EA9" w:rsidP="00471155">
      <w:pPr>
        <w:jc w:val="both"/>
        <w:rPr>
          <w:b/>
          <w:sz w:val="28"/>
          <w:szCs w:val="28"/>
          <w:lang w:val="en-CA"/>
        </w:rPr>
      </w:pPr>
    </w:p>
    <w:p w14:paraId="049961F9" w14:textId="77777777" w:rsidR="00354D7B" w:rsidRDefault="00354D7B" w:rsidP="00471155">
      <w:pPr>
        <w:jc w:val="both"/>
        <w:rPr>
          <w:b/>
          <w:lang w:val="en-CA"/>
        </w:rPr>
      </w:pPr>
      <w:r>
        <w:rPr>
          <w:b/>
          <w:sz w:val="28"/>
          <w:szCs w:val="28"/>
          <w:lang w:val="en-CA"/>
        </w:rPr>
        <w:t xml:space="preserve">        </w:t>
      </w:r>
      <w:r w:rsidR="00295A76">
        <w:rPr>
          <w:b/>
          <w:sz w:val="28"/>
          <w:szCs w:val="28"/>
          <w:lang w:val="en-CA"/>
        </w:rPr>
        <w:t xml:space="preserve">      </w:t>
      </w:r>
      <w:r w:rsidR="00CD535D" w:rsidRPr="00354D7B">
        <w:rPr>
          <w:b/>
          <w:lang w:val="en-CA"/>
        </w:rPr>
        <w:t>i</w:t>
      </w:r>
      <w:r w:rsidR="00471155" w:rsidRPr="00354D7B">
        <w:rPr>
          <w:b/>
          <w:lang w:val="en-CA"/>
        </w:rPr>
        <w:t>.</w:t>
      </w:r>
      <w:r>
        <w:rPr>
          <w:b/>
          <w:lang w:val="en-CA"/>
        </w:rPr>
        <w:t xml:space="preserve"> White-Gray Contrast</w:t>
      </w:r>
      <w:r>
        <w:rPr>
          <w:b/>
          <w:lang w:val="en-CA"/>
        </w:rPr>
        <w:tab/>
      </w:r>
      <w:r>
        <w:rPr>
          <w:b/>
          <w:lang w:val="en-CA"/>
        </w:rPr>
        <w:tab/>
      </w:r>
      <w:r>
        <w:rPr>
          <w:b/>
          <w:lang w:val="en-CA"/>
        </w:rPr>
        <w:tab/>
      </w:r>
      <w:r>
        <w:rPr>
          <w:b/>
          <w:lang w:val="en-CA"/>
        </w:rPr>
        <w:tab/>
      </w:r>
      <w:r w:rsidR="00295A76">
        <w:rPr>
          <w:b/>
          <w:lang w:val="en-CA"/>
        </w:rPr>
        <w:t xml:space="preserve">  </w:t>
      </w:r>
      <w:r>
        <w:rPr>
          <w:b/>
          <w:lang w:val="en-CA"/>
        </w:rPr>
        <w:t xml:space="preserve"> ii. Cortical Thickness</w:t>
      </w:r>
      <w:r>
        <w:rPr>
          <w:b/>
          <w:lang w:val="en-CA"/>
        </w:rPr>
        <w:tab/>
        <w:t xml:space="preserve"> </w:t>
      </w:r>
    </w:p>
    <w:p w14:paraId="0B50504C" w14:textId="77777777" w:rsidR="0089353C" w:rsidRPr="00354D7B" w:rsidRDefault="00295A76" w:rsidP="00471155">
      <w:pPr>
        <w:jc w:val="both"/>
        <w:rPr>
          <w:b/>
          <w:lang w:val="en-CA"/>
        </w:rPr>
      </w:pPr>
      <w:r>
        <w:rPr>
          <w:lang w:val="en-CA"/>
        </w:rPr>
        <w:t xml:space="preserve">  </w:t>
      </w:r>
      <w:r w:rsidR="00CD535D">
        <w:rPr>
          <w:lang w:val="en-CA"/>
        </w:rPr>
        <w:t xml:space="preserve">  </w:t>
      </w:r>
    </w:p>
    <w:p w14:paraId="232527FD" w14:textId="77777777" w:rsidR="00A05F14" w:rsidRPr="00471155" w:rsidRDefault="00DC5111" w:rsidP="00471155">
      <w:pPr>
        <w:jc w:val="both"/>
        <w:rPr>
          <w:lang w:val="en-CA"/>
        </w:rPr>
      </w:pPr>
      <w:r>
        <w:rPr>
          <w:noProof/>
        </w:rPr>
        <w:pict w14:anchorId="070F1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Volumes/2TB_Passport/PhD/FEP_1.5T/CIVET2.1_Nov2016/Jan2018_PAPER1_FIGS/antipsychotic_effect/t-statistic%20map%20of%20Positive%20Main%20Effect%20of%20cpzwadh%20slope%20on%20ra" style="width:221.45pt;height:165.75pt;visibility:visible">
            <v:imagedata r:id="rId10" o:title="t-statistic%20map%20of%20Positive%20Main%20Effect%20of%20cpzwadh%20slope%20on%20ra"/>
          </v:shape>
        </w:pict>
      </w:r>
      <w:r w:rsidR="00AA51F1">
        <w:rPr>
          <w:lang w:val="en-CA"/>
        </w:rPr>
        <w:t xml:space="preserve">   </w:t>
      </w:r>
      <w:r>
        <w:rPr>
          <w:noProof/>
        </w:rPr>
        <w:pict w14:anchorId="697FDD74">
          <v:shape id="Picture 8" o:spid="_x0000_i1026" type="#_x0000_t75" alt="../../../../../../Volumes/2TB_Passport/PhD/FEP_1.5T/CIVET2.1_Nov2016/Jan2018_PAPER1_FIGS/antipsychotic_effect/t-statistic%20map%20of%20Positive%20Main%20Effect%20of%20cpzwadh%20slope%20on%" style="width:221.45pt;height:165.75pt;visibility:visible">
            <v:imagedata r:id="rId11" o:title="t-statistic%20map%20of%20Positive%20Main%20Effect%20of%20cpzwadh%20slope%20on%"/>
          </v:shape>
        </w:pict>
      </w:r>
    </w:p>
    <w:p w14:paraId="637BC71C" w14:textId="0CFD3BC1" w:rsidR="00A05F14" w:rsidRPr="00E23BC8" w:rsidRDefault="00FB2B2D">
      <w:pPr>
        <w:jc w:val="both"/>
        <w:rPr>
          <w:sz w:val="16"/>
          <w:szCs w:val="16"/>
          <w:lang w:val="en-CA"/>
        </w:rPr>
      </w:pPr>
      <w:r>
        <w:rPr>
          <w:b/>
          <w:sz w:val="16"/>
          <w:szCs w:val="16"/>
          <w:lang w:val="en-CA"/>
        </w:rPr>
        <w:t xml:space="preserve">Supplementary </w:t>
      </w:r>
      <w:r w:rsidR="002138D0" w:rsidRPr="00354D7B">
        <w:rPr>
          <w:b/>
          <w:sz w:val="16"/>
          <w:szCs w:val="16"/>
          <w:lang w:val="en-CA"/>
        </w:rPr>
        <w:t xml:space="preserve">Figure </w:t>
      </w:r>
      <w:r w:rsidR="007C3A15">
        <w:rPr>
          <w:b/>
          <w:sz w:val="16"/>
          <w:szCs w:val="16"/>
          <w:lang w:val="en-CA"/>
        </w:rPr>
        <w:t>1</w:t>
      </w:r>
      <w:r w:rsidR="003558FA" w:rsidRPr="00354D7B">
        <w:rPr>
          <w:sz w:val="16"/>
          <w:szCs w:val="16"/>
          <w:lang w:val="en-CA"/>
        </w:rPr>
        <w:t>. T-statistic maps (df=83</w:t>
      </w:r>
      <w:r w:rsidR="002138D0" w:rsidRPr="00354D7B">
        <w:rPr>
          <w:sz w:val="16"/>
          <w:szCs w:val="16"/>
          <w:lang w:val="en-CA"/>
        </w:rPr>
        <w:t xml:space="preserve">) showing </w:t>
      </w:r>
      <w:r w:rsidR="00ED6E58" w:rsidRPr="00354D7B">
        <w:rPr>
          <w:sz w:val="16"/>
          <w:szCs w:val="16"/>
          <w:lang w:val="en-CA"/>
        </w:rPr>
        <w:t>main</w:t>
      </w:r>
      <w:r w:rsidR="002138D0" w:rsidRPr="00354D7B">
        <w:rPr>
          <w:sz w:val="16"/>
          <w:szCs w:val="16"/>
          <w:lang w:val="en-CA"/>
        </w:rPr>
        <w:t xml:space="preserve"> effect of antipsy</w:t>
      </w:r>
      <w:r w:rsidR="00CD535D" w:rsidRPr="00354D7B">
        <w:rPr>
          <w:sz w:val="16"/>
          <w:szCs w:val="16"/>
          <w:lang w:val="en-CA"/>
        </w:rPr>
        <w:t>chotic medication on change in i</w:t>
      </w:r>
      <w:r w:rsidR="002138D0" w:rsidRPr="00354D7B">
        <w:rPr>
          <w:sz w:val="16"/>
          <w:szCs w:val="16"/>
          <w:lang w:val="en-CA"/>
        </w:rPr>
        <w:t xml:space="preserve">) </w:t>
      </w:r>
      <w:r w:rsidR="00A66160" w:rsidRPr="00354D7B">
        <w:rPr>
          <w:sz w:val="16"/>
          <w:szCs w:val="16"/>
          <w:lang w:val="en-CA"/>
        </w:rPr>
        <w:t>WGC</w:t>
      </w:r>
      <w:r w:rsidR="00CD535D" w:rsidRPr="00354D7B">
        <w:rPr>
          <w:sz w:val="16"/>
          <w:szCs w:val="16"/>
          <w:lang w:val="en-CA"/>
        </w:rPr>
        <w:t xml:space="preserve"> and ii</w:t>
      </w:r>
      <w:r w:rsidR="002138D0" w:rsidRPr="00354D7B">
        <w:rPr>
          <w:sz w:val="16"/>
          <w:szCs w:val="16"/>
          <w:lang w:val="en-CA"/>
        </w:rPr>
        <w:t>) CT, controlling for centered age, sex, and mean</w:t>
      </w:r>
      <w:r w:rsidR="00683E7A">
        <w:rPr>
          <w:sz w:val="16"/>
          <w:szCs w:val="16"/>
          <w:lang w:val="en-CA"/>
        </w:rPr>
        <w:t xml:space="preserve"> WGC for i), and mean</w:t>
      </w:r>
      <w:r w:rsidR="002138D0" w:rsidRPr="00354D7B">
        <w:rPr>
          <w:sz w:val="16"/>
          <w:szCs w:val="16"/>
          <w:lang w:val="en-CA"/>
        </w:rPr>
        <w:t xml:space="preserve"> </w:t>
      </w:r>
      <w:r w:rsidR="00683E7A">
        <w:rPr>
          <w:sz w:val="16"/>
          <w:szCs w:val="16"/>
          <w:lang w:val="en-CA"/>
        </w:rPr>
        <w:t>CT for ii)</w:t>
      </w:r>
      <w:r w:rsidR="002138D0" w:rsidRPr="00354D7B">
        <w:rPr>
          <w:sz w:val="16"/>
          <w:szCs w:val="16"/>
          <w:lang w:val="en-CA"/>
        </w:rPr>
        <w:t xml:space="preserve">. </w:t>
      </w:r>
      <w:r w:rsidR="00FA625A" w:rsidRPr="00354D7B">
        <w:rPr>
          <w:sz w:val="16"/>
          <w:szCs w:val="16"/>
          <w:lang w:val="en-CA"/>
        </w:rPr>
        <w:t xml:space="preserve">Antipsychotic medication is defined as cumulative chlorpromazine equivalents, as measured at each patients’ last scanning timepoint, multiplied by adherence. </w:t>
      </w:r>
      <w:r w:rsidR="00326717">
        <w:rPr>
          <w:sz w:val="16"/>
          <w:szCs w:val="16"/>
          <w:lang w:val="en-CA"/>
        </w:rPr>
        <w:t xml:space="preserve">A positive t-statistic (warm colours) </w:t>
      </w:r>
      <w:r w:rsidR="00AA51F1">
        <w:rPr>
          <w:sz w:val="16"/>
          <w:szCs w:val="16"/>
          <w:lang w:val="en-CA"/>
        </w:rPr>
        <w:t>reflects</w:t>
      </w:r>
      <w:r w:rsidR="00326717">
        <w:rPr>
          <w:sz w:val="16"/>
          <w:szCs w:val="16"/>
          <w:lang w:val="en-CA"/>
        </w:rPr>
        <w:t xml:space="preserve"> a positive effect of </w:t>
      </w:r>
      <w:r w:rsidR="00FA625A">
        <w:rPr>
          <w:sz w:val="16"/>
          <w:szCs w:val="16"/>
          <w:lang w:val="en-CA"/>
        </w:rPr>
        <w:t>antipsychotic medication</w:t>
      </w:r>
      <w:r w:rsidR="00AA51F1">
        <w:rPr>
          <w:sz w:val="16"/>
          <w:szCs w:val="16"/>
          <w:lang w:val="en-CA"/>
        </w:rPr>
        <w:t xml:space="preserve"> on brain structure, and a negative t-statistic (cool colours) reflects a negative effect of </w:t>
      </w:r>
      <w:r w:rsidR="00FA625A">
        <w:rPr>
          <w:sz w:val="16"/>
          <w:szCs w:val="16"/>
          <w:lang w:val="en-CA"/>
        </w:rPr>
        <w:t>antipsychotic medication</w:t>
      </w:r>
      <w:r w:rsidR="00AA51F1">
        <w:rPr>
          <w:sz w:val="16"/>
          <w:szCs w:val="16"/>
          <w:lang w:val="en-CA"/>
        </w:rPr>
        <w:t>.</w:t>
      </w:r>
      <w:r w:rsidR="00326717">
        <w:rPr>
          <w:sz w:val="16"/>
          <w:szCs w:val="16"/>
          <w:lang w:val="en-CA"/>
        </w:rPr>
        <w:t xml:space="preserve"> </w:t>
      </w:r>
      <w:r w:rsidR="002138D0" w:rsidRPr="00354D7B">
        <w:rPr>
          <w:sz w:val="16"/>
          <w:szCs w:val="16"/>
          <w:lang w:val="en-CA"/>
        </w:rPr>
        <w:t>Nothing was found to be significant after RFT correction.</w:t>
      </w:r>
      <w:r w:rsidR="00E23BC8">
        <w:rPr>
          <w:sz w:val="16"/>
          <w:szCs w:val="16"/>
          <w:lang w:val="en-CA"/>
        </w:rPr>
        <w:t xml:space="preserve"> It should be noted that there was also no significant relationships between mean baseline </w:t>
      </w:r>
      <w:r w:rsidR="004632FC">
        <w:rPr>
          <w:sz w:val="16"/>
          <w:szCs w:val="16"/>
          <w:lang w:val="en-CA"/>
        </w:rPr>
        <w:sym w:font="Symbol" w:char="F073"/>
      </w:r>
      <w:r w:rsidR="004632FC">
        <w:rPr>
          <w:sz w:val="16"/>
          <w:szCs w:val="16"/>
          <w:lang w:val="en-CA"/>
        </w:rPr>
        <w:t xml:space="preserve"> </w:t>
      </w:r>
      <w:r w:rsidR="00E23BC8">
        <w:rPr>
          <w:sz w:val="16"/>
          <w:szCs w:val="16"/>
          <w:lang w:val="en-CA"/>
        </w:rPr>
        <w:t>and chlorpromazine equivalents at baseline (p’s</w:t>
      </w:r>
      <w:r w:rsidR="00E23BC8">
        <w:rPr>
          <w:sz w:val="16"/>
          <w:szCs w:val="16"/>
          <w:u w:val="single"/>
          <w:lang w:val="en-CA"/>
        </w:rPr>
        <w:t>&gt;</w:t>
      </w:r>
      <w:r w:rsidR="00E23BC8">
        <w:rPr>
          <w:sz w:val="16"/>
          <w:szCs w:val="16"/>
          <w:lang w:val="en-CA"/>
        </w:rPr>
        <w:t xml:space="preserve">0.30), or between mean </w:t>
      </w:r>
      <w:r w:rsidR="004632FC" w:rsidRPr="004632FC">
        <w:rPr>
          <w:rFonts w:ascii="Symbol" w:eastAsia="Symbol" w:hAnsi="Symbol" w:cs="Symbol"/>
          <w:sz w:val="18"/>
          <w:szCs w:val="18"/>
        </w:rPr>
        <w:t></w:t>
      </w:r>
      <w:r w:rsidR="004632FC">
        <w:rPr>
          <w:sz w:val="16"/>
          <w:szCs w:val="16"/>
          <w:lang w:val="en-CA"/>
        </w:rPr>
        <w:t>Y</w:t>
      </w:r>
      <w:r w:rsidR="00E23BC8">
        <w:rPr>
          <w:sz w:val="16"/>
          <w:szCs w:val="16"/>
          <w:lang w:val="en-CA"/>
        </w:rPr>
        <w:t xml:space="preserve"> and cumulative chlorpromazine equivalents (p’s</w:t>
      </w:r>
      <w:r w:rsidR="00E23BC8">
        <w:rPr>
          <w:sz w:val="16"/>
          <w:szCs w:val="16"/>
          <w:u w:val="single"/>
          <w:lang w:val="en-CA"/>
        </w:rPr>
        <w:t>&gt;</w:t>
      </w:r>
      <w:r w:rsidR="00E23BC8">
        <w:rPr>
          <w:sz w:val="16"/>
          <w:szCs w:val="16"/>
          <w:lang w:val="en-CA"/>
        </w:rPr>
        <w:t>0.16).</w:t>
      </w:r>
    </w:p>
    <w:p w14:paraId="081B75F9" w14:textId="4B71A5D3" w:rsidR="00E23BC8" w:rsidRPr="00E23BC8" w:rsidRDefault="00E23BC8" w:rsidP="00E23BC8"/>
    <w:p w14:paraId="3F97D0C3" w14:textId="77777777" w:rsidR="00E23BC8" w:rsidRPr="00E23BC8" w:rsidRDefault="00E23BC8" w:rsidP="00E23BC8">
      <w:pPr>
        <w:rPr>
          <w:rFonts w:eastAsia="Times New Roman"/>
        </w:rPr>
      </w:pPr>
    </w:p>
    <w:p w14:paraId="1E9271D6" w14:textId="77777777" w:rsidR="00A52C35" w:rsidRDefault="00A52C35">
      <w:pPr>
        <w:jc w:val="both"/>
        <w:rPr>
          <w:sz w:val="16"/>
          <w:szCs w:val="16"/>
          <w:lang w:val="en-CA"/>
        </w:rPr>
      </w:pPr>
    </w:p>
    <w:p w14:paraId="7325F176" w14:textId="692A94C8" w:rsidR="00A52C35" w:rsidRDefault="00DC5111">
      <w:pPr>
        <w:jc w:val="both"/>
        <w:rPr>
          <w:b/>
          <w:sz w:val="16"/>
          <w:szCs w:val="16"/>
          <w:lang w:val="en-CA"/>
        </w:rPr>
      </w:pPr>
      <w:r>
        <w:rPr>
          <w:b/>
          <w:sz w:val="16"/>
          <w:szCs w:val="16"/>
          <w:lang w:val="en-CA"/>
        </w:rPr>
        <w:lastRenderedPageBreak/>
        <w:pict w14:anchorId="3C48BD2E">
          <v:shape id="_x0000_i1027" type="#_x0000_t75" style="width:467.3pt;height:459.15pt">
            <v:imagedata r:id="rId12" o:title="suppfig_sxs_updated"/>
          </v:shape>
        </w:pict>
      </w:r>
    </w:p>
    <w:p w14:paraId="11AD2A17" w14:textId="00C71EEB" w:rsidR="00A52C35" w:rsidRPr="00765F2A" w:rsidRDefault="00A52C35" w:rsidP="00A52C35">
      <w:pPr>
        <w:jc w:val="both"/>
        <w:outlineLvl w:val="0"/>
        <w:rPr>
          <w:lang w:val="en-CA"/>
        </w:rPr>
      </w:pPr>
      <w:r w:rsidRPr="00A52C35">
        <w:rPr>
          <w:b/>
          <w:sz w:val="16"/>
          <w:szCs w:val="16"/>
          <w:lang w:val="en-CA"/>
        </w:rPr>
        <w:t>Supplementary Figure 2.</w:t>
      </w:r>
      <w:r>
        <w:rPr>
          <w:b/>
          <w:sz w:val="16"/>
          <w:szCs w:val="16"/>
          <w:lang w:val="en-CA"/>
        </w:rPr>
        <w:t xml:space="preserve"> </w:t>
      </w:r>
      <w:r w:rsidRPr="00A52C35">
        <w:rPr>
          <w:b/>
          <w:sz w:val="16"/>
          <w:szCs w:val="16"/>
          <w:lang w:val="en-CA"/>
        </w:rPr>
        <w:t xml:space="preserve">Spaghetti plots of negative symptoms. </w:t>
      </w:r>
      <w:r w:rsidRPr="00A52C35">
        <w:rPr>
          <w:sz w:val="16"/>
          <w:szCs w:val="16"/>
          <w:lang w:val="en-CA"/>
        </w:rPr>
        <w:t xml:space="preserve">Plots show change over time in Amotivation (top panel) and Expressivity Symptoms (bottom panel) in FEP patients. Each line joins timepoints from the same subject, and is colour-coded based on the slope of change, </w:t>
      </w:r>
      <w:r w:rsidRPr="002E7BF8">
        <w:rPr>
          <w:sz w:val="16"/>
          <w:szCs w:val="16"/>
          <w:lang w:val="en-CA"/>
        </w:rPr>
        <w:t>such that blue represents no change in symptoms (slope = 0), green represents improvement of symptoms (slope &lt; 0) and red represents worsening of symptoms (slope &gt; 0). The proportion of patients comprising each category are included in brackets in the legend.</w:t>
      </w:r>
      <w:r w:rsidR="00765F2A" w:rsidRPr="002E7BF8">
        <w:rPr>
          <w:sz w:val="16"/>
          <w:szCs w:val="16"/>
          <w:lang w:val="en-CA"/>
        </w:rPr>
        <w:t xml:space="preserve"> For amotivation symptoms, 5 patients had the same level (or absence) of symptoms over time (Mean </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eastAsia="Symbol"/>
          <w:sz w:val="16"/>
          <w:szCs w:val="16"/>
        </w:rPr>
        <w:t>SD=0.0086)</w:t>
      </w:r>
      <w:r w:rsidR="00765F2A" w:rsidRPr="002E7BF8">
        <w:rPr>
          <w:sz w:val="16"/>
          <w:szCs w:val="16"/>
          <w:lang w:val="en-CA"/>
        </w:rPr>
        <w:t xml:space="preserve">, 25 patients had worsening symptoms (Mean </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eastAsia="Symbol"/>
          <w:sz w:val="16"/>
          <w:szCs w:val="16"/>
        </w:rPr>
        <w:t>SD=2.91)</w:t>
      </w:r>
      <w:r w:rsidR="00765F2A" w:rsidRPr="002E7BF8">
        <w:rPr>
          <w:sz w:val="16"/>
          <w:szCs w:val="16"/>
          <w:lang w:val="en-CA"/>
        </w:rPr>
        <w:t xml:space="preserve"> and 58 patients improved (Mean </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eastAsia="Symbol"/>
          <w:sz w:val="16"/>
          <w:szCs w:val="16"/>
        </w:rPr>
        <w:t>SD</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sz w:val="16"/>
          <w:szCs w:val="16"/>
          <w:lang w:val="en-CA"/>
        </w:rPr>
        <w:t xml:space="preserve">. For expressivity symptoms, 16 patients had the same level (or absence) of symptoms over time (Mean </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eastAsia="Symbol"/>
          <w:sz w:val="16"/>
          <w:szCs w:val="16"/>
        </w:rPr>
        <w:t>SD=0)</w:t>
      </w:r>
      <w:r w:rsidR="00765F2A" w:rsidRPr="002E7BF8">
        <w:rPr>
          <w:sz w:val="16"/>
          <w:szCs w:val="16"/>
          <w:lang w:val="en-CA"/>
        </w:rPr>
        <w:t xml:space="preserve">, 22 patients had worsening symptoms (Mean </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eastAsia="Symbol"/>
          <w:sz w:val="16"/>
          <w:szCs w:val="16"/>
        </w:rPr>
        <w:t>SD=4.02)</w:t>
      </w:r>
      <w:r w:rsidR="00765F2A" w:rsidRPr="002E7BF8">
        <w:rPr>
          <w:sz w:val="16"/>
          <w:szCs w:val="16"/>
          <w:lang w:val="en-CA"/>
        </w:rPr>
        <w:t xml:space="preserve">, and 50 patients improved (Mean </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ascii="Symbol" w:eastAsia="Symbol" w:hAnsi="Symbol" w:cs="Symbol"/>
          <w:sz w:val="16"/>
          <w:szCs w:val="16"/>
        </w:rPr>
        <w:t></w:t>
      </w:r>
      <w:r w:rsidR="00765F2A" w:rsidRPr="002E7BF8">
        <w:rPr>
          <w:rFonts w:eastAsia="Symbol"/>
          <w:sz w:val="16"/>
          <w:szCs w:val="16"/>
        </w:rPr>
        <w:t>SD=4.01)</w:t>
      </w:r>
      <w:r w:rsidR="00765F2A" w:rsidRPr="002E7BF8">
        <w:rPr>
          <w:sz w:val="16"/>
          <w:szCs w:val="16"/>
          <w:lang w:val="en-CA"/>
        </w:rPr>
        <w:t>.</w:t>
      </w:r>
    </w:p>
    <w:p w14:paraId="3B346F53" w14:textId="77777777" w:rsidR="00A52C35" w:rsidRPr="00A52C35" w:rsidRDefault="00A52C35">
      <w:pPr>
        <w:jc w:val="both"/>
        <w:rPr>
          <w:sz w:val="16"/>
          <w:szCs w:val="16"/>
          <w:lang w:val="en-CA"/>
        </w:rPr>
      </w:pPr>
    </w:p>
    <w:p w14:paraId="659F9B1E" w14:textId="77777777" w:rsidR="00331433" w:rsidRDefault="00331433">
      <w:pPr>
        <w:jc w:val="both"/>
        <w:rPr>
          <w:lang w:val="en-CA"/>
        </w:rPr>
      </w:pPr>
    </w:p>
    <w:p w14:paraId="370EB12E" w14:textId="77777777" w:rsidR="00331433" w:rsidRDefault="00331433">
      <w:pPr>
        <w:jc w:val="both"/>
        <w:rPr>
          <w:lang w:val="en-CA"/>
        </w:rPr>
      </w:pPr>
    </w:p>
    <w:p w14:paraId="49AFFF09" w14:textId="77777777" w:rsidR="009B7A51" w:rsidRDefault="009B7A51">
      <w:pPr>
        <w:jc w:val="both"/>
        <w:rPr>
          <w:lang w:val="en-CA"/>
        </w:rPr>
      </w:pPr>
    </w:p>
    <w:p w14:paraId="7FD7E77D" w14:textId="77777777" w:rsidR="009B7A51" w:rsidRDefault="009B7A51">
      <w:pPr>
        <w:jc w:val="both"/>
        <w:rPr>
          <w:lang w:val="en-CA"/>
        </w:rPr>
      </w:pPr>
    </w:p>
    <w:p w14:paraId="18D8A3D8" w14:textId="77777777" w:rsidR="009B7A51" w:rsidRDefault="009B7A51">
      <w:pPr>
        <w:jc w:val="both"/>
        <w:rPr>
          <w:lang w:val="en-CA"/>
        </w:rPr>
      </w:pPr>
    </w:p>
    <w:p w14:paraId="4A124BA4" w14:textId="77777777" w:rsidR="009B7A51" w:rsidRDefault="009B7A51">
      <w:pPr>
        <w:jc w:val="both"/>
        <w:rPr>
          <w:lang w:val="en-CA"/>
        </w:rPr>
      </w:pPr>
    </w:p>
    <w:p w14:paraId="3AECB8EE" w14:textId="77777777" w:rsidR="00331433" w:rsidRDefault="00331433">
      <w:pPr>
        <w:jc w:val="both"/>
        <w:rPr>
          <w:lang w:val="en-CA"/>
        </w:rPr>
      </w:pPr>
    </w:p>
    <w:p w14:paraId="267F60F3" w14:textId="77777777" w:rsidR="006B266F" w:rsidRDefault="006B266F">
      <w:pPr>
        <w:jc w:val="both"/>
        <w:rPr>
          <w:lang w:val="en-CA"/>
        </w:rPr>
      </w:pPr>
    </w:p>
    <w:p w14:paraId="7FB6FF9F" w14:textId="77777777" w:rsidR="00F77B7B" w:rsidRDefault="00F77B7B">
      <w:pPr>
        <w:jc w:val="both"/>
        <w:rPr>
          <w:rFonts w:eastAsia="Times New Roman"/>
          <w:lang w:val="en-CA"/>
        </w:rPr>
      </w:pPr>
    </w:p>
    <w:p w14:paraId="2A79838E" w14:textId="77777777" w:rsidR="00F77B7B" w:rsidRDefault="00F77B7B">
      <w:pPr>
        <w:jc w:val="both"/>
        <w:rPr>
          <w:rFonts w:eastAsia="Times New Roman"/>
          <w:lang w:val="en-CA"/>
        </w:rPr>
      </w:pPr>
    </w:p>
    <w:p w14:paraId="12B89DC1" w14:textId="77777777" w:rsidR="008218B2" w:rsidRDefault="00DC5111">
      <w:pPr>
        <w:jc w:val="both"/>
        <w:rPr>
          <w:rFonts w:eastAsia="Times New Roman"/>
          <w:lang w:val="en-CA"/>
        </w:rPr>
      </w:pPr>
      <w:r>
        <w:rPr>
          <w:noProof/>
        </w:rPr>
        <w:lastRenderedPageBreak/>
        <w:pict w14:anchorId="11B994A2">
          <v:shape id="Picture 2" o:spid="_x0000_i1028" type="#_x0000_t75" alt="../PartII_VerbMemSxs/fig2_ME_sxs_no_ctx.png" style="width:408.25pt;height:269pt;visibility:visible">
            <v:imagedata r:id="rId13" o:title="fig2_ME_sxs_no_ctx" croptop="15542f" cropbottom="16334f" cropleft="4769f" cropright="3429f"/>
          </v:shape>
        </w:pict>
      </w:r>
    </w:p>
    <w:p w14:paraId="4F88AD4F" w14:textId="3E618337" w:rsidR="00BA610F" w:rsidRPr="00354D7B" w:rsidRDefault="00FB2B2D" w:rsidP="00BA610F">
      <w:pPr>
        <w:widowControl w:val="0"/>
        <w:rPr>
          <w:sz w:val="16"/>
          <w:szCs w:val="16"/>
          <w:lang w:val="en-CA"/>
        </w:rPr>
      </w:pPr>
      <w:r>
        <w:rPr>
          <w:rFonts w:eastAsia="Times New Roman"/>
          <w:b/>
          <w:sz w:val="16"/>
          <w:szCs w:val="16"/>
          <w:lang w:val="en-CA"/>
        </w:rPr>
        <w:t xml:space="preserve">Supplementary </w:t>
      </w:r>
      <w:r w:rsidR="009853B9">
        <w:rPr>
          <w:rFonts w:eastAsia="Times New Roman"/>
          <w:b/>
          <w:sz w:val="16"/>
          <w:szCs w:val="16"/>
          <w:lang w:val="en-CA"/>
        </w:rPr>
        <w:t>Figure 3</w:t>
      </w:r>
      <w:r w:rsidR="00975FBF">
        <w:rPr>
          <w:rFonts w:eastAsia="Times New Roman"/>
          <w:b/>
          <w:sz w:val="16"/>
          <w:szCs w:val="16"/>
          <w:lang w:val="en-CA"/>
        </w:rPr>
        <w:t>a</w:t>
      </w:r>
      <w:r w:rsidR="008218B2" w:rsidRPr="00354D7B">
        <w:rPr>
          <w:rFonts w:eastAsia="Times New Roman"/>
          <w:sz w:val="16"/>
          <w:szCs w:val="16"/>
          <w:lang w:val="en-CA"/>
        </w:rPr>
        <w:t xml:space="preserve">. </w:t>
      </w:r>
      <w:r w:rsidR="00BA610F" w:rsidRPr="00354D7B">
        <w:rPr>
          <w:sz w:val="16"/>
          <w:szCs w:val="16"/>
          <w:lang w:val="en-CA"/>
        </w:rPr>
        <w:t>Change in Amotivation and Expressivity deficit</w:t>
      </w:r>
      <w:r w:rsidR="004632FC">
        <w:rPr>
          <w:sz w:val="16"/>
          <w:szCs w:val="16"/>
          <w:lang w:val="en-CA"/>
        </w:rPr>
        <w:t xml:space="preserve">s associated with </w:t>
      </w:r>
      <w:r w:rsidR="004632FC" w:rsidRPr="002E7BF8">
        <w:rPr>
          <w:rFonts w:ascii="Symbol" w:eastAsia="Symbol" w:hAnsi="Symbol" w:cs="Symbol"/>
          <w:sz w:val="16"/>
          <w:szCs w:val="16"/>
        </w:rPr>
        <w:t></w:t>
      </w:r>
      <w:r w:rsidR="004632FC">
        <w:rPr>
          <w:sz w:val="16"/>
          <w:szCs w:val="16"/>
          <w:lang w:val="en-CA"/>
        </w:rPr>
        <w:t xml:space="preserve">WGC and </w:t>
      </w:r>
      <w:r w:rsidR="004632FC" w:rsidRPr="002E7BF8">
        <w:rPr>
          <w:rFonts w:ascii="Symbol" w:eastAsia="Symbol" w:hAnsi="Symbol" w:cs="Symbol"/>
          <w:sz w:val="16"/>
          <w:szCs w:val="16"/>
        </w:rPr>
        <w:t></w:t>
      </w:r>
      <w:r w:rsidR="00BA610F" w:rsidRPr="00354D7B">
        <w:rPr>
          <w:sz w:val="16"/>
          <w:szCs w:val="16"/>
          <w:lang w:val="en-CA"/>
        </w:rPr>
        <w:t xml:space="preserve">CT across time, </w:t>
      </w:r>
      <w:r w:rsidR="004632FC">
        <w:rPr>
          <w:b/>
          <w:i/>
          <w:sz w:val="16"/>
          <w:szCs w:val="16"/>
          <w:lang w:val="en-CA"/>
        </w:rPr>
        <w:t>excluding mean(</w:t>
      </w:r>
      <w:r w:rsidR="004632FC">
        <w:rPr>
          <w:b/>
          <w:i/>
          <w:sz w:val="16"/>
          <w:szCs w:val="16"/>
          <w:lang w:val="en-CA"/>
        </w:rPr>
        <w:sym w:font="Symbol" w:char="F073"/>
      </w:r>
      <w:r w:rsidR="004632FC">
        <w:rPr>
          <w:b/>
          <w:i/>
          <w:sz w:val="16"/>
          <w:szCs w:val="16"/>
          <w:lang w:val="en-CA"/>
        </w:rPr>
        <w:t xml:space="preserve">) </w:t>
      </w:r>
      <w:r w:rsidR="00BA610F" w:rsidRPr="00354D7B">
        <w:rPr>
          <w:b/>
          <w:i/>
          <w:sz w:val="16"/>
          <w:szCs w:val="16"/>
          <w:lang w:val="en-CA"/>
        </w:rPr>
        <w:t>as a covariate</w:t>
      </w:r>
      <w:r w:rsidR="00BA610F" w:rsidRPr="00354D7B">
        <w:rPr>
          <w:sz w:val="16"/>
          <w:szCs w:val="16"/>
          <w:lang w:val="en-CA"/>
        </w:rPr>
        <w:t xml:space="preserve">. Results are RFT-corrected, where blue colours represent significant results cluster-thresholded at a “stringent” threshold of p=0.001, whereas red/pink colour represent significant results at a “relaxed” threshold of p=0.01. </w:t>
      </w:r>
      <w:r w:rsidR="00461DB5" w:rsidRPr="00354D7B">
        <w:rPr>
          <w:sz w:val="16"/>
          <w:szCs w:val="16"/>
          <w:lang w:val="en-CA"/>
        </w:rPr>
        <w:t xml:space="preserve">Results remain relatively unchanged from those presented in the main </w:t>
      </w:r>
      <w:r w:rsidR="00C014F0">
        <w:rPr>
          <w:sz w:val="16"/>
          <w:szCs w:val="16"/>
          <w:lang w:val="en-CA"/>
        </w:rPr>
        <w:t>manuscript</w:t>
      </w:r>
      <w:r w:rsidR="00461DB5" w:rsidRPr="00354D7B">
        <w:rPr>
          <w:sz w:val="16"/>
          <w:szCs w:val="16"/>
          <w:lang w:val="en-CA"/>
        </w:rPr>
        <w:t>.</w:t>
      </w:r>
    </w:p>
    <w:p w14:paraId="496D9261" w14:textId="77777777" w:rsidR="00BA610F" w:rsidRPr="00354D7B" w:rsidRDefault="00BA610F" w:rsidP="00BA610F">
      <w:pPr>
        <w:widowControl w:val="0"/>
        <w:rPr>
          <w:sz w:val="16"/>
          <w:szCs w:val="16"/>
          <w:lang w:val="en-CA"/>
        </w:rPr>
      </w:pPr>
      <w:r w:rsidRPr="00354D7B">
        <w:rPr>
          <w:sz w:val="16"/>
          <w:szCs w:val="16"/>
          <w:lang w:val="en-CA"/>
        </w:rPr>
        <w:t>Orientation: Surfaces from left to right in each row: left lateral, right lateral, left medial, right medial, dorsal.</w:t>
      </w:r>
    </w:p>
    <w:p w14:paraId="0B95758C" w14:textId="77777777" w:rsidR="00461DB5" w:rsidRDefault="00461DB5" w:rsidP="00BA610F">
      <w:pPr>
        <w:widowControl w:val="0"/>
        <w:rPr>
          <w:lang w:val="en-CA"/>
        </w:rPr>
      </w:pPr>
    </w:p>
    <w:p w14:paraId="7FCB3B52" w14:textId="77777777" w:rsidR="009A4553" w:rsidRDefault="009A4553" w:rsidP="00BA610F">
      <w:pPr>
        <w:widowControl w:val="0"/>
        <w:rPr>
          <w:lang w:val="en-CA"/>
        </w:rPr>
      </w:pPr>
    </w:p>
    <w:p w14:paraId="32AFB339" w14:textId="77777777" w:rsidR="009A4553" w:rsidRDefault="009A4553" w:rsidP="00BA610F">
      <w:pPr>
        <w:widowControl w:val="0"/>
        <w:rPr>
          <w:lang w:val="en-CA"/>
        </w:rPr>
      </w:pPr>
    </w:p>
    <w:p w14:paraId="197B640E" w14:textId="77777777" w:rsidR="009A4553" w:rsidRDefault="009A4553" w:rsidP="00BA610F">
      <w:pPr>
        <w:widowControl w:val="0"/>
        <w:rPr>
          <w:lang w:val="en-CA"/>
        </w:rPr>
      </w:pPr>
    </w:p>
    <w:p w14:paraId="2DBA3877" w14:textId="77777777" w:rsidR="00354D7B" w:rsidRDefault="00354D7B" w:rsidP="00BA610F">
      <w:pPr>
        <w:widowControl w:val="0"/>
        <w:rPr>
          <w:lang w:val="en-CA"/>
        </w:rPr>
      </w:pPr>
    </w:p>
    <w:p w14:paraId="5C14FCBA" w14:textId="77777777" w:rsidR="0067729D" w:rsidRDefault="0067729D" w:rsidP="00BA610F">
      <w:pPr>
        <w:widowControl w:val="0"/>
        <w:rPr>
          <w:lang w:val="en-CA"/>
        </w:rPr>
      </w:pPr>
    </w:p>
    <w:p w14:paraId="2C30610F" w14:textId="77777777" w:rsidR="009A4553" w:rsidRDefault="009A4553" w:rsidP="00BA610F">
      <w:pPr>
        <w:widowControl w:val="0"/>
        <w:rPr>
          <w:lang w:val="en-CA"/>
        </w:rPr>
      </w:pPr>
    </w:p>
    <w:p w14:paraId="57084F18" w14:textId="77777777" w:rsidR="00461DB5" w:rsidRDefault="00461DB5" w:rsidP="00BA610F">
      <w:pPr>
        <w:widowControl w:val="0"/>
        <w:rPr>
          <w:lang w:val="en-CA"/>
        </w:rPr>
      </w:pPr>
    </w:p>
    <w:p w14:paraId="74CF32F8" w14:textId="77777777" w:rsidR="00F77B7B" w:rsidRDefault="00F77B7B" w:rsidP="00BA610F">
      <w:pPr>
        <w:widowControl w:val="0"/>
        <w:rPr>
          <w:lang w:val="en-CA"/>
        </w:rPr>
      </w:pPr>
    </w:p>
    <w:p w14:paraId="4BE33979" w14:textId="77777777" w:rsidR="00F77B7B" w:rsidRDefault="00F77B7B" w:rsidP="00BA610F">
      <w:pPr>
        <w:widowControl w:val="0"/>
        <w:rPr>
          <w:lang w:val="en-CA"/>
        </w:rPr>
      </w:pPr>
    </w:p>
    <w:p w14:paraId="6720A7A7" w14:textId="77777777" w:rsidR="00F77B7B" w:rsidRDefault="00F77B7B" w:rsidP="00BA610F">
      <w:pPr>
        <w:widowControl w:val="0"/>
        <w:rPr>
          <w:lang w:val="en-CA"/>
        </w:rPr>
      </w:pPr>
    </w:p>
    <w:p w14:paraId="6ACCA38F" w14:textId="77777777" w:rsidR="00F77B7B" w:rsidRDefault="00F77B7B" w:rsidP="00BA610F">
      <w:pPr>
        <w:widowControl w:val="0"/>
        <w:rPr>
          <w:lang w:val="en-CA"/>
        </w:rPr>
      </w:pPr>
    </w:p>
    <w:p w14:paraId="47AB8262" w14:textId="77777777" w:rsidR="00F77B7B" w:rsidRDefault="00F77B7B" w:rsidP="00BA610F">
      <w:pPr>
        <w:widowControl w:val="0"/>
        <w:rPr>
          <w:lang w:val="en-CA"/>
        </w:rPr>
      </w:pPr>
    </w:p>
    <w:p w14:paraId="19B5D6ED" w14:textId="77777777" w:rsidR="00F77B7B" w:rsidRDefault="00F77B7B" w:rsidP="00BA610F">
      <w:pPr>
        <w:widowControl w:val="0"/>
        <w:rPr>
          <w:lang w:val="en-CA"/>
        </w:rPr>
      </w:pPr>
    </w:p>
    <w:p w14:paraId="7002F618" w14:textId="77777777" w:rsidR="00F77B7B" w:rsidRDefault="00F77B7B" w:rsidP="00BA610F">
      <w:pPr>
        <w:widowControl w:val="0"/>
        <w:rPr>
          <w:lang w:val="en-CA"/>
        </w:rPr>
      </w:pPr>
    </w:p>
    <w:p w14:paraId="3CA7F92B" w14:textId="77777777" w:rsidR="00F77B7B" w:rsidRDefault="00F77B7B" w:rsidP="00BA610F">
      <w:pPr>
        <w:widowControl w:val="0"/>
        <w:rPr>
          <w:lang w:val="en-CA"/>
        </w:rPr>
      </w:pPr>
    </w:p>
    <w:p w14:paraId="130EC99B" w14:textId="77777777" w:rsidR="00F77B7B" w:rsidRDefault="00F77B7B" w:rsidP="00BA610F">
      <w:pPr>
        <w:widowControl w:val="0"/>
        <w:rPr>
          <w:lang w:val="en-CA"/>
        </w:rPr>
      </w:pPr>
    </w:p>
    <w:p w14:paraId="3958F0C3" w14:textId="77777777" w:rsidR="00F77B7B" w:rsidRDefault="00F77B7B" w:rsidP="00BA610F">
      <w:pPr>
        <w:widowControl w:val="0"/>
        <w:rPr>
          <w:lang w:val="en-CA"/>
        </w:rPr>
      </w:pPr>
    </w:p>
    <w:p w14:paraId="24193E2F" w14:textId="77777777" w:rsidR="00F77B7B" w:rsidRDefault="00F77B7B" w:rsidP="00BA610F">
      <w:pPr>
        <w:widowControl w:val="0"/>
        <w:rPr>
          <w:lang w:val="en-CA"/>
        </w:rPr>
      </w:pPr>
    </w:p>
    <w:p w14:paraId="777366A4" w14:textId="77777777" w:rsidR="00F77B7B" w:rsidRDefault="00F77B7B" w:rsidP="00BA610F">
      <w:pPr>
        <w:widowControl w:val="0"/>
        <w:rPr>
          <w:lang w:val="en-CA"/>
        </w:rPr>
      </w:pPr>
    </w:p>
    <w:p w14:paraId="21358C0E" w14:textId="77777777" w:rsidR="00F77B7B" w:rsidRDefault="00F77B7B" w:rsidP="00BA610F">
      <w:pPr>
        <w:widowControl w:val="0"/>
        <w:rPr>
          <w:lang w:val="en-CA"/>
        </w:rPr>
      </w:pPr>
    </w:p>
    <w:p w14:paraId="1E4AACE9" w14:textId="77777777" w:rsidR="00F77B7B" w:rsidRDefault="00F77B7B" w:rsidP="00BA610F">
      <w:pPr>
        <w:widowControl w:val="0"/>
        <w:rPr>
          <w:lang w:val="en-CA"/>
        </w:rPr>
      </w:pPr>
    </w:p>
    <w:p w14:paraId="31D8267C" w14:textId="77777777" w:rsidR="00F77B7B" w:rsidRDefault="00F77B7B" w:rsidP="00BA610F">
      <w:pPr>
        <w:widowControl w:val="0"/>
        <w:rPr>
          <w:lang w:val="en-CA"/>
        </w:rPr>
      </w:pPr>
    </w:p>
    <w:p w14:paraId="4C493398" w14:textId="77777777" w:rsidR="00F77B7B" w:rsidRDefault="00F77B7B" w:rsidP="00BA610F">
      <w:pPr>
        <w:widowControl w:val="0"/>
        <w:rPr>
          <w:lang w:val="en-CA"/>
        </w:rPr>
      </w:pPr>
    </w:p>
    <w:p w14:paraId="2F4D322D" w14:textId="77777777" w:rsidR="00F77B7B" w:rsidRDefault="00F77B7B" w:rsidP="00BA610F">
      <w:pPr>
        <w:widowControl w:val="0"/>
        <w:rPr>
          <w:lang w:val="en-CA"/>
        </w:rPr>
      </w:pPr>
    </w:p>
    <w:p w14:paraId="3F8AA7AA" w14:textId="77777777" w:rsidR="00F77B7B" w:rsidRDefault="00F77B7B" w:rsidP="00BA610F">
      <w:pPr>
        <w:widowControl w:val="0"/>
        <w:rPr>
          <w:lang w:val="en-CA"/>
        </w:rPr>
      </w:pPr>
    </w:p>
    <w:p w14:paraId="454EEAE4" w14:textId="77777777" w:rsidR="00461DB5" w:rsidRDefault="00DC5111" w:rsidP="00BA610F">
      <w:pPr>
        <w:widowControl w:val="0"/>
        <w:rPr>
          <w:lang w:val="en-CA"/>
        </w:rPr>
      </w:pPr>
      <w:r>
        <w:rPr>
          <w:noProof/>
        </w:rPr>
        <w:lastRenderedPageBreak/>
        <w:pict w14:anchorId="1787C4EC">
          <v:shape id="Picture 3" o:spid="_x0000_i1029" type="#_x0000_t75" alt="../PartII_VerbMemSxs/suppfig3c_intxn_sxs_vm_noctx.png" style="width:391.25pt;height:271.7pt;visibility:visible">
            <v:imagedata r:id="rId14" o:title="suppfig3c_intxn_sxs_vm_noctx" croptop="11978f" cropbottom="19500f" cropleft="3217f" cropright="7316f"/>
          </v:shape>
        </w:pict>
      </w:r>
    </w:p>
    <w:p w14:paraId="7F960743" w14:textId="5CDA2584" w:rsidR="00461DB5" w:rsidRPr="00354D7B" w:rsidRDefault="009853B9" w:rsidP="00461DB5">
      <w:pPr>
        <w:widowControl w:val="0"/>
        <w:rPr>
          <w:sz w:val="16"/>
          <w:szCs w:val="16"/>
        </w:rPr>
      </w:pPr>
      <w:r>
        <w:rPr>
          <w:b/>
          <w:sz w:val="16"/>
          <w:szCs w:val="16"/>
          <w:lang w:val="en-CA"/>
        </w:rPr>
        <w:t>Supplementary Figure 3</w:t>
      </w:r>
      <w:r w:rsidR="00975FBF">
        <w:rPr>
          <w:b/>
          <w:sz w:val="16"/>
          <w:szCs w:val="16"/>
          <w:lang w:val="en-CA"/>
        </w:rPr>
        <w:t>b</w:t>
      </w:r>
      <w:r w:rsidR="00461DB5" w:rsidRPr="00354D7B">
        <w:rPr>
          <w:sz w:val="16"/>
          <w:szCs w:val="16"/>
          <w:lang w:val="en-CA"/>
        </w:rPr>
        <w:t xml:space="preserve">. Interaction between baseline verbal memory and change in Expressivity on WGC and CT, </w:t>
      </w:r>
      <w:r w:rsidR="00461DB5" w:rsidRPr="00354D7B">
        <w:rPr>
          <w:b/>
          <w:i/>
          <w:sz w:val="16"/>
          <w:szCs w:val="16"/>
          <w:lang w:val="en-CA"/>
        </w:rPr>
        <w:t xml:space="preserve">excluding </w:t>
      </w:r>
      <w:r w:rsidR="004632FC">
        <w:rPr>
          <w:b/>
          <w:i/>
          <w:sz w:val="16"/>
          <w:szCs w:val="16"/>
          <w:lang w:val="en-CA"/>
        </w:rPr>
        <w:t>mean(</w:t>
      </w:r>
      <w:r w:rsidR="004632FC">
        <w:rPr>
          <w:b/>
          <w:i/>
          <w:sz w:val="16"/>
          <w:szCs w:val="16"/>
          <w:lang w:val="en-CA"/>
        </w:rPr>
        <w:sym w:font="Symbol" w:char="F073"/>
      </w:r>
      <w:r w:rsidR="004632FC">
        <w:rPr>
          <w:b/>
          <w:i/>
          <w:sz w:val="16"/>
          <w:szCs w:val="16"/>
          <w:lang w:val="en-CA"/>
        </w:rPr>
        <w:t xml:space="preserve">) </w:t>
      </w:r>
      <w:r w:rsidR="00461DB5" w:rsidRPr="00354D7B">
        <w:rPr>
          <w:b/>
          <w:i/>
          <w:sz w:val="16"/>
          <w:szCs w:val="16"/>
          <w:lang w:val="en-CA"/>
        </w:rPr>
        <w:t>as a covariate</w:t>
      </w:r>
      <w:r w:rsidR="00461DB5" w:rsidRPr="00354D7B">
        <w:rPr>
          <w:sz w:val="16"/>
          <w:szCs w:val="16"/>
          <w:lang w:val="en-CA"/>
        </w:rPr>
        <w:t>. “Immediate” and “Delayed” labels in left-hand side panel refer to immediate and delayed recall of verbal memory domain, respectively. Inflated brain is presented to better visualize results within cortical folds. Results are RFT-corrected, where blue colours represent significant results cluster-thresholded at “original” stringent threshold of p=0.001, whereas red/pink colour represent significant results at a “relaxed” threshold of p=0.01. Results remain relatively unchanged from those presented in</w:t>
      </w:r>
      <w:r w:rsidR="00C014F0">
        <w:rPr>
          <w:sz w:val="16"/>
          <w:szCs w:val="16"/>
          <w:lang w:val="en-CA"/>
        </w:rPr>
        <w:t xml:space="preserve"> the main manuscript</w:t>
      </w:r>
      <w:r w:rsidR="00855E58" w:rsidRPr="00354D7B">
        <w:rPr>
          <w:sz w:val="16"/>
          <w:szCs w:val="16"/>
          <w:lang w:val="en-CA"/>
        </w:rPr>
        <w:t xml:space="preserve">, with the largest change </w:t>
      </w:r>
      <w:r w:rsidR="00FA625A">
        <w:rPr>
          <w:sz w:val="16"/>
          <w:szCs w:val="16"/>
          <w:lang w:val="en-CA"/>
        </w:rPr>
        <w:t>reflected in a weaker extent</w:t>
      </w:r>
      <w:r w:rsidR="009A4553" w:rsidRPr="00354D7B">
        <w:rPr>
          <w:sz w:val="16"/>
          <w:szCs w:val="16"/>
          <w:lang w:val="en-CA"/>
        </w:rPr>
        <w:t xml:space="preserve"> of results for the interaction between delayed recall and change in expressivity on changes in CT.</w:t>
      </w:r>
    </w:p>
    <w:p w14:paraId="39A19EC2" w14:textId="77777777" w:rsidR="00461DB5" w:rsidRDefault="00461DB5" w:rsidP="00461DB5">
      <w:pPr>
        <w:widowControl w:val="0"/>
        <w:rPr>
          <w:sz w:val="16"/>
          <w:szCs w:val="16"/>
          <w:lang w:val="en-CA"/>
        </w:rPr>
      </w:pPr>
      <w:r w:rsidRPr="00354D7B">
        <w:rPr>
          <w:sz w:val="16"/>
          <w:szCs w:val="16"/>
          <w:lang w:val="en-CA"/>
        </w:rPr>
        <w:t xml:space="preserve">Orientation: Surfaces from left to right in each row: left lateral, right lateral, left medial, right medial, dorsal (with the exception of the third row, where the </w:t>
      </w:r>
      <w:r w:rsidR="009A4553" w:rsidRPr="00354D7B">
        <w:rPr>
          <w:sz w:val="16"/>
          <w:szCs w:val="16"/>
          <w:lang w:val="en-CA"/>
        </w:rPr>
        <w:t>right-most</w:t>
      </w:r>
      <w:r w:rsidRPr="00354D7B">
        <w:rPr>
          <w:sz w:val="16"/>
          <w:szCs w:val="16"/>
          <w:lang w:val="en-CA"/>
        </w:rPr>
        <w:t xml:space="preserve"> surface is a ventral view).</w:t>
      </w:r>
    </w:p>
    <w:p w14:paraId="0854576A" w14:textId="77777777" w:rsidR="0095097C" w:rsidRDefault="0095097C" w:rsidP="00461DB5">
      <w:pPr>
        <w:widowControl w:val="0"/>
        <w:rPr>
          <w:sz w:val="16"/>
          <w:szCs w:val="16"/>
          <w:lang w:val="en-CA"/>
        </w:rPr>
      </w:pPr>
    </w:p>
    <w:p w14:paraId="26AA364E" w14:textId="77777777" w:rsidR="0095097C" w:rsidRDefault="0095097C" w:rsidP="00461DB5">
      <w:pPr>
        <w:widowControl w:val="0"/>
        <w:rPr>
          <w:sz w:val="16"/>
          <w:szCs w:val="16"/>
          <w:lang w:val="en-CA"/>
        </w:rPr>
      </w:pPr>
    </w:p>
    <w:p w14:paraId="6AF21C09" w14:textId="77777777" w:rsidR="0095097C" w:rsidRDefault="0095097C" w:rsidP="00461DB5">
      <w:pPr>
        <w:widowControl w:val="0"/>
        <w:rPr>
          <w:sz w:val="16"/>
          <w:szCs w:val="16"/>
          <w:lang w:val="en-CA"/>
        </w:rPr>
      </w:pPr>
    </w:p>
    <w:p w14:paraId="652A6CF8" w14:textId="77777777" w:rsidR="0095097C" w:rsidRDefault="0095097C" w:rsidP="00461DB5">
      <w:pPr>
        <w:widowControl w:val="0"/>
        <w:rPr>
          <w:sz w:val="16"/>
          <w:szCs w:val="16"/>
          <w:lang w:val="en-CA"/>
        </w:rPr>
      </w:pPr>
    </w:p>
    <w:p w14:paraId="27A34EEC" w14:textId="77777777" w:rsidR="0095097C" w:rsidRDefault="0095097C" w:rsidP="00461DB5">
      <w:pPr>
        <w:widowControl w:val="0"/>
        <w:rPr>
          <w:sz w:val="16"/>
          <w:szCs w:val="16"/>
          <w:lang w:val="en-CA"/>
        </w:rPr>
      </w:pPr>
    </w:p>
    <w:p w14:paraId="3F176BA2" w14:textId="77777777" w:rsidR="0095097C" w:rsidRDefault="0095097C" w:rsidP="00461DB5">
      <w:pPr>
        <w:widowControl w:val="0"/>
        <w:rPr>
          <w:sz w:val="16"/>
          <w:szCs w:val="16"/>
          <w:lang w:val="en-CA"/>
        </w:rPr>
      </w:pPr>
    </w:p>
    <w:p w14:paraId="0088ECAA" w14:textId="77777777" w:rsidR="0095097C" w:rsidRDefault="0095097C" w:rsidP="00461DB5">
      <w:pPr>
        <w:widowControl w:val="0"/>
        <w:rPr>
          <w:sz w:val="16"/>
          <w:szCs w:val="16"/>
          <w:lang w:val="en-CA"/>
        </w:rPr>
      </w:pPr>
    </w:p>
    <w:p w14:paraId="1FEBDBD3" w14:textId="77777777" w:rsidR="0095097C" w:rsidRDefault="0095097C" w:rsidP="00461DB5">
      <w:pPr>
        <w:widowControl w:val="0"/>
        <w:rPr>
          <w:sz w:val="16"/>
          <w:szCs w:val="16"/>
          <w:lang w:val="en-CA"/>
        </w:rPr>
      </w:pPr>
    </w:p>
    <w:p w14:paraId="365CEB9F" w14:textId="77777777" w:rsidR="0095097C" w:rsidRDefault="0095097C" w:rsidP="00461DB5">
      <w:pPr>
        <w:widowControl w:val="0"/>
        <w:rPr>
          <w:sz w:val="16"/>
          <w:szCs w:val="16"/>
          <w:lang w:val="en-CA"/>
        </w:rPr>
      </w:pPr>
    </w:p>
    <w:p w14:paraId="25C7FA0F" w14:textId="77777777" w:rsidR="0095097C" w:rsidRDefault="0095097C" w:rsidP="00461DB5">
      <w:pPr>
        <w:widowControl w:val="0"/>
        <w:rPr>
          <w:sz w:val="16"/>
          <w:szCs w:val="16"/>
          <w:lang w:val="en-CA"/>
        </w:rPr>
      </w:pPr>
    </w:p>
    <w:p w14:paraId="03D0D198" w14:textId="77777777" w:rsidR="0095097C" w:rsidRDefault="0095097C" w:rsidP="00461DB5">
      <w:pPr>
        <w:widowControl w:val="0"/>
        <w:rPr>
          <w:sz w:val="16"/>
          <w:szCs w:val="16"/>
          <w:lang w:val="en-CA"/>
        </w:rPr>
      </w:pPr>
    </w:p>
    <w:p w14:paraId="7D0553E9" w14:textId="77777777" w:rsidR="0095097C" w:rsidRDefault="0095097C" w:rsidP="00461DB5">
      <w:pPr>
        <w:widowControl w:val="0"/>
        <w:rPr>
          <w:sz w:val="16"/>
          <w:szCs w:val="16"/>
          <w:lang w:val="en-CA"/>
        </w:rPr>
      </w:pPr>
    </w:p>
    <w:p w14:paraId="50710B7A" w14:textId="77777777" w:rsidR="0095097C" w:rsidRDefault="0095097C" w:rsidP="00461DB5">
      <w:pPr>
        <w:widowControl w:val="0"/>
        <w:rPr>
          <w:sz w:val="16"/>
          <w:szCs w:val="16"/>
          <w:lang w:val="en-CA"/>
        </w:rPr>
      </w:pPr>
    </w:p>
    <w:p w14:paraId="1BD22EA6" w14:textId="77777777" w:rsidR="0095097C" w:rsidRDefault="0095097C" w:rsidP="00461DB5">
      <w:pPr>
        <w:widowControl w:val="0"/>
        <w:rPr>
          <w:sz w:val="16"/>
          <w:szCs w:val="16"/>
          <w:lang w:val="en-CA"/>
        </w:rPr>
      </w:pPr>
    </w:p>
    <w:p w14:paraId="69545C49" w14:textId="77777777" w:rsidR="0095097C" w:rsidRDefault="0095097C" w:rsidP="00461DB5">
      <w:pPr>
        <w:widowControl w:val="0"/>
        <w:rPr>
          <w:sz w:val="16"/>
          <w:szCs w:val="16"/>
          <w:lang w:val="en-CA"/>
        </w:rPr>
      </w:pPr>
    </w:p>
    <w:p w14:paraId="64654F62" w14:textId="77777777" w:rsidR="0095097C" w:rsidRDefault="0095097C" w:rsidP="00461DB5">
      <w:pPr>
        <w:widowControl w:val="0"/>
        <w:rPr>
          <w:sz w:val="16"/>
          <w:szCs w:val="16"/>
          <w:lang w:val="en-CA"/>
        </w:rPr>
      </w:pPr>
    </w:p>
    <w:p w14:paraId="1DA34DE7" w14:textId="77777777" w:rsidR="0095097C" w:rsidRDefault="0095097C" w:rsidP="00461DB5">
      <w:pPr>
        <w:widowControl w:val="0"/>
        <w:rPr>
          <w:sz w:val="16"/>
          <w:szCs w:val="16"/>
          <w:lang w:val="en-CA"/>
        </w:rPr>
      </w:pPr>
    </w:p>
    <w:p w14:paraId="1CF04E98" w14:textId="77777777" w:rsidR="0095097C" w:rsidRDefault="0095097C" w:rsidP="00461DB5">
      <w:pPr>
        <w:widowControl w:val="0"/>
        <w:rPr>
          <w:sz w:val="16"/>
          <w:szCs w:val="16"/>
          <w:lang w:val="en-CA"/>
        </w:rPr>
      </w:pPr>
    </w:p>
    <w:p w14:paraId="4A03CF1F" w14:textId="77777777" w:rsidR="0095097C" w:rsidRDefault="0095097C" w:rsidP="00461DB5">
      <w:pPr>
        <w:widowControl w:val="0"/>
        <w:rPr>
          <w:sz w:val="16"/>
          <w:szCs w:val="16"/>
          <w:lang w:val="en-CA"/>
        </w:rPr>
      </w:pPr>
    </w:p>
    <w:p w14:paraId="0F2DB10E" w14:textId="77777777" w:rsidR="0095097C" w:rsidRDefault="0095097C" w:rsidP="00461DB5">
      <w:pPr>
        <w:widowControl w:val="0"/>
        <w:rPr>
          <w:sz w:val="16"/>
          <w:szCs w:val="16"/>
          <w:lang w:val="en-CA"/>
        </w:rPr>
      </w:pPr>
    </w:p>
    <w:p w14:paraId="66EE22ED" w14:textId="77777777" w:rsidR="0095097C" w:rsidRDefault="0095097C" w:rsidP="00461DB5">
      <w:pPr>
        <w:widowControl w:val="0"/>
        <w:rPr>
          <w:sz w:val="16"/>
          <w:szCs w:val="16"/>
          <w:lang w:val="en-CA"/>
        </w:rPr>
      </w:pPr>
    </w:p>
    <w:p w14:paraId="58BECAD1" w14:textId="77777777" w:rsidR="0095097C" w:rsidRDefault="0095097C" w:rsidP="00461DB5">
      <w:pPr>
        <w:widowControl w:val="0"/>
        <w:rPr>
          <w:sz w:val="16"/>
          <w:szCs w:val="16"/>
          <w:lang w:val="en-CA"/>
        </w:rPr>
      </w:pPr>
    </w:p>
    <w:p w14:paraId="2A77A345" w14:textId="77777777" w:rsidR="0095097C" w:rsidRDefault="0095097C" w:rsidP="00461DB5">
      <w:pPr>
        <w:widowControl w:val="0"/>
        <w:rPr>
          <w:sz w:val="16"/>
          <w:szCs w:val="16"/>
          <w:lang w:val="en-CA"/>
        </w:rPr>
      </w:pPr>
    </w:p>
    <w:p w14:paraId="4ABF64C2" w14:textId="77777777" w:rsidR="0095097C" w:rsidRDefault="0095097C" w:rsidP="00461DB5">
      <w:pPr>
        <w:widowControl w:val="0"/>
        <w:rPr>
          <w:sz w:val="16"/>
          <w:szCs w:val="16"/>
          <w:lang w:val="en-CA"/>
        </w:rPr>
      </w:pPr>
    </w:p>
    <w:p w14:paraId="2B894663" w14:textId="77777777" w:rsidR="0095097C" w:rsidRDefault="0095097C" w:rsidP="00461DB5">
      <w:pPr>
        <w:widowControl w:val="0"/>
        <w:rPr>
          <w:sz w:val="16"/>
          <w:szCs w:val="16"/>
          <w:lang w:val="en-CA"/>
        </w:rPr>
      </w:pPr>
    </w:p>
    <w:p w14:paraId="4C5E0A9F" w14:textId="77777777" w:rsidR="0095097C" w:rsidRDefault="0095097C" w:rsidP="00461DB5">
      <w:pPr>
        <w:widowControl w:val="0"/>
        <w:rPr>
          <w:sz w:val="16"/>
          <w:szCs w:val="16"/>
          <w:lang w:val="en-CA"/>
        </w:rPr>
      </w:pPr>
    </w:p>
    <w:p w14:paraId="4ECA5A9D" w14:textId="77777777" w:rsidR="0095097C" w:rsidRDefault="0095097C" w:rsidP="00461DB5">
      <w:pPr>
        <w:widowControl w:val="0"/>
        <w:rPr>
          <w:sz w:val="16"/>
          <w:szCs w:val="16"/>
          <w:lang w:val="en-CA"/>
        </w:rPr>
      </w:pPr>
    </w:p>
    <w:p w14:paraId="4403259B" w14:textId="77777777" w:rsidR="0095097C" w:rsidRDefault="0095097C" w:rsidP="00461DB5">
      <w:pPr>
        <w:widowControl w:val="0"/>
        <w:rPr>
          <w:sz w:val="16"/>
          <w:szCs w:val="16"/>
          <w:lang w:val="en-CA"/>
        </w:rPr>
      </w:pPr>
    </w:p>
    <w:p w14:paraId="47C68CB7" w14:textId="77777777" w:rsidR="0095097C" w:rsidRDefault="0095097C" w:rsidP="00461DB5">
      <w:pPr>
        <w:widowControl w:val="0"/>
        <w:rPr>
          <w:sz w:val="16"/>
          <w:szCs w:val="16"/>
          <w:lang w:val="en-CA"/>
        </w:rPr>
      </w:pPr>
    </w:p>
    <w:p w14:paraId="2711276B" w14:textId="77777777" w:rsidR="0095097C" w:rsidRDefault="0095097C" w:rsidP="00461DB5">
      <w:pPr>
        <w:widowControl w:val="0"/>
        <w:rPr>
          <w:sz w:val="16"/>
          <w:szCs w:val="16"/>
          <w:lang w:val="en-CA"/>
        </w:rPr>
      </w:pPr>
    </w:p>
    <w:p w14:paraId="5821ECAA" w14:textId="77777777" w:rsidR="0095097C" w:rsidRDefault="0095097C" w:rsidP="00461DB5">
      <w:pPr>
        <w:widowControl w:val="0"/>
        <w:rPr>
          <w:sz w:val="16"/>
          <w:szCs w:val="16"/>
          <w:lang w:val="en-CA"/>
        </w:rPr>
      </w:pPr>
    </w:p>
    <w:p w14:paraId="288129D3" w14:textId="77777777" w:rsidR="0095097C" w:rsidRDefault="0095097C" w:rsidP="00461DB5">
      <w:pPr>
        <w:widowControl w:val="0"/>
        <w:rPr>
          <w:sz w:val="16"/>
          <w:szCs w:val="16"/>
          <w:lang w:val="en-CA"/>
        </w:rPr>
      </w:pPr>
    </w:p>
    <w:p w14:paraId="7E2E44FD" w14:textId="77777777" w:rsidR="0095097C" w:rsidRDefault="0095097C" w:rsidP="00461DB5">
      <w:pPr>
        <w:widowControl w:val="0"/>
        <w:rPr>
          <w:sz w:val="16"/>
          <w:szCs w:val="16"/>
          <w:lang w:val="en-CA"/>
        </w:rPr>
      </w:pPr>
    </w:p>
    <w:p w14:paraId="501986BC" w14:textId="77777777" w:rsidR="0095097C" w:rsidRDefault="0095097C" w:rsidP="00461DB5">
      <w:pPr>
        <w:widowControl w:val="0"/>
        <w:rPr>
          <w:sz w:val="16"/>
          <w:szCs w:val="16"/>
          <w:lang w:val="en-CA"/>
        </w:rPr>
      </w:pPr>
    </w:p>
    <w:p w14:paraId="7E52B8A1" w14:textId="77777777" w:rsidR="0095097C" w:rsidRDefault="0095097C" w:rsidP="00461DB5">
      <w:pPr>
        <w:widowControl w:val="0"/>
        <w:rPr>
          <w:sz w:val="16"/>
          <w:szCs w:val="16"/>
          <w:lang w:val="en-CA"/>
        </w:rPr>
      </w:pPr>
    </w:p>
    <w:p w14:paraId="4681ECA1" w14:textId="77777777" w:rsidR="0095097C" w:rsidRDefault="0095097C" w:rsidP="00461DB5">
      <w:pPr>
        <w:widowControl w:val="0"/>
        <w:rPr>
          <w:sz w:val="16"/>
          <w:szCs w:val="16"/>
          <w:lang w:val="en-CA"/>
        </w:rPr>
      </w:pPr>
    </w:p>
    <w:p w14:paraId="015FA4F3" w14:textId="77777777" w:rsidR="0095097C" w:rsidRDefault="0095097C" w:rsidP="00461DB5">
      <w:pPr>
        <w:widowControl w:val="0"/>
        <w:rPr>
          <w:sz w:val="16"/>
          <w:szCs w:val="16"/>
          <w:lang w:val="en-CA"/>
        </w:rPr>
      </w:pPr>
    </w:p>
    <w:p w14:paraId="4D47A431" w14:textId="77777777" w:rsidR="00F43AFC" w:rsidRPr="00F43AFC" w:rsidRDefault="00DC5111" w:rsidP="0095097C">
      <w:pPr>
        <w:widowControl w:val="0"/>
        <w:rPr>
          <w:sz w:val="16"/>
          <w:szCs w:val="16"/>
          <w:lang w:val="en-CA"/>
        </w:rPr>
      </w:pPr>
      <w:r>
        <w:rPr>
          <w:noProof/>
          <w:sz w:val="16"/>
          <w:szCs w:val="16"/>
        </w:rPr>
        <w:pict w14:anchorId="4E9A62CE">
          <v:shape id="Picture 1" o:spid="_x0000_i1030" type="#_x0000_t75" alt="suppfig_gcicon.png" style="width:468pt;height:254.7pt;visibility:visible">
            <v:imagedata r:id="rId15" o:title="suppfig_gcicon" croptop="12192f" cropbottom="21408f"/>
          </v:shape>
        </w:pict>
      </w:r>
    </w:p>
    <w:p w14:paraId="5072C232" w14:textId="621646CD" w:rsidR="0095097C" w:rsidRPr="00F43AFC" w:rsidRDefault="00FB2B2D" w:rsidP="0095097C">
      <w:pPr>
        <w:widowControl w:val="0"/>
        <w:rPr>
          <w:sz w:val="16"/>
          <w:szCs w:val="16"/>
          <w:lang w:val="en-CA"/>
        </w:rPr>
      </w:pPr>
      <w:r>
        <w:rPr>
          <w:b/>
          <w:sz w:val="16"/>
          <w:szCs w:val="16"/>
          <w:lang w:val="en-CA"/>
        </w:rPr>
        <w:t xml:space="preserve">Supplementary Figure </w:t>
      </w:r>
      <w:r w:rsidR="009853B9">
        <w:rPr>
          <w:b/>
          <w:sz w:val="16"/>
          <w:szCs w:val="16"/>
          <w:lang w:val="en-CA"/>
        </w:rPr>
        <w:t>4</w:t>
      </w:r>
      <w:r w:rsidR="0095097C" w:rsidRPr="00354D7B">
        <w:rPr>
          <w:sz w:val="16"/>
          <w:szCs w:val="16"/>
          <w:lang w:val="en-CA"/>
        </w:rPr>
        <w:t xml:space="preserve">. Interaction between baseline verbal memory and change in Expressivity on WGC and CT, </w:t>
      </w:r>
      <w:r w:rsidR="0095097C">
        <w:rPr>
          <w:b/>
          <w:i/>
          <w:sz w:val="16"/>
          <w:szCs w:val="16"/>
          <w:lang w:val="en-CA"/>
        </w:rPr>
        <w:t>covarying for general cognitive ability</w:t>
      </w:r>
      <w:r w:rsidR="0095097C">
        <w:rPr>
          <w:sz w:val="16"/>
          <w:szCs w:val="16"/>
          <w:lang w:val="en-CA"/>
        </w:rPr>
        <w:t>, in addition to covariates presented in main manuscript</w:t>
      </w:r>
      <w:r w:rsidR="0095097C" w:rsidRPr="00354D7B">
        <w:rPr>
          <w:sz w:val="16"/>
          <w:szCs w:val="16"/>
          <w:lang w:val="en-CA"/>
        </w:rPr>
        <w:t xml:space="preserve">. </w:t>
      </w:r>
      <w:r w:rsidR="0095097C">
        <w:rPr>
          <w:sz w:val="16"/>
          <w:szCs w:val="16"/>
          <w:lang w:val="en-CA"/>
        </w:rPr>
        <w:t xml:space="preserve">Z-scores of general cognitive ability comparing FEP patients against healthy controls </w:t>
      </w:r>
      <w:r w:rsidR="00F43AFC">
        <w:rPr>
          <w:sz w:val="16"/>
          <w:szCs w:val="16"/>
          <w:lang w:val="en-CA"/>
        </w:rPr>
        <w:t>were</w:t>
      </w:r>
      <w:r w:rsidR="0095097C">
        <w:rPr>
          <w:sz w:val="16"/>
          <w:szCs w:val="16"/>
          <w:lang w:val="en-CA"/>
        </w:rPr>
        <w:t xml:space="preserve"> calculated based on five domains of cognition: speed of processing, attention, executive function, visual memory, and </w:t>
      </w:r>
      <w:r w:rsidR="00F43AFC">
        <w:rPr>
          <w:sz w:val="16"/>
          <w:szCs w:val="16"/>
          <w:lang w:val="en-CA"/>
        </w:rPr>
        <w:t>executive function</w:t>
      </w:r>
      <w:r w:rsidR="0095097C">
        <w:rPr>
          <w:sz w:val="16"/>
          <w:szCs w:val="16"/>
          <w:lang w:val="en-CA"/>
        </w:rPr>
        <w:t xml:space="preserve">. </w:t>
      </w:r>
      <w:r w:rsidR="00F43AFC">
        <w:rPr>
          <w:sz w:val="16"/>
          <w:szCs w:val="16"/>
          <w:lang w:val="en-CA"/>
        </w:rPr>
        <w:t xml:space="preserve">A composite cognitive index was calculated by averaging the scores obtained for the five cognitive domains. </w:t>
      </w:r>
      <w:r w:rsidR="00FA625A">
        <w:rPr>
          <w:sz w:val="16"/>
          <w:szCs w:val="16"/>
          <w:lang w:val="en-CA"/>
        </w:rPr>
        <w:t>Similar</w:t>
      </w:r>
      <w:r w:rsidR="0095097C">
        <w:rPr>
          <w:sz w:val="16"/>
          <w:szCs w:val="16"/>
          <w:lang w:val="en-CA"/>
        </w:rPr>
        <w:t xml:space="preserve"> to the verbal memory scores, cognition was assessed with two different batteries (i.e. pen and paper, and the computerized CogState battery). Additional information on the tests comprising each cognitive domain for each battery can be found in Benoit et al</w:t>
      </w:r>
      <w:r w:rsidR="004632FC">
        <w:rPr>
          <w:sz w:val="16"/>
          <w:szCs w:val="16"/>
          <w:lang w:val="en-CA"/>
        </w:rPr>
        <w:t xml:space="preserve"> </w:t>
      </w:r>
      <w:r w:rsidR="00F43AFC">
        <w:rPr>
          <w:sz w:val="16"/>
          <w:szCs w:val="16"/>
          <w:lang w:val="en-CA"/>
        </w:rPr>
        <w:fldChar w:fldCharType="begin" w:fldLock="1"/>
      </w:r>
      <w:r w:rsidR="005464B0">
        <w:rPr>
          <w:sz w:val="16"/>
          <w:szCs w:val="16"/>
          <w:lang w:val="en-CA"/>
        </w:rPr>
        <w:instrText>ADDIN CSL_CITATION { "citationItems" : [ { "id" : "ITEM-1", "itemData" : { "author" : [ { "dropping-particle" : "", "family" : "Benoit", "given" : "Audrey", "non-dropping-particle" : "", "parse-names" : false, "suffix" : "" }, { "dropping-particle" : "", "family" : "Malla", "given" : "Ashok K.", "non-dropping-particle" : "", "parse-names" : false, "suffix" : "" }, { "dropping-particle" : "", "family" : "Iyer", "given" : "Srividya N.", "non-dropping-particle" : "", "parse-names" : false, "suffix" : "" }, { "dropping-particle" : "", "family" : "Joober", "given" : "Ridha", "non-dropping-particle" : "", "parse-names" : false, "suffix" : "" }, { "dropping-particle" : "", "family" : "Bherer", "given" : "Louis", "non-dropping-particle" : "", "parse-names" : false, "suffix" : "" }, { "dropping-particle" : "", "family" : "Lepage", "given" : "Martin", "non-dropping-particle" : "", "parse-names" : false, "suffix" : "" } ], "container-title" : "Schizophrenia Research: Cognition", "id" : "ITEM-1", "issue" : "3", "issued" : { "date-parts" : [ [ "2015" ] ] }, "page" : "140-145", "title" : "Cognitive deficits characterization using the CogState Research Battery in first-episode psychosis patients", "type" : "article-journal", "volume" : "2" }, "suppress-author" : 1, "uris" : [ "http://www.mendeley.com/documents/?uuid=93ed11b2-a38e-4de7-ac4f-992c8d0b9209" ] } ], "mendeley" : { "formattedCitation" : "(2015)", "plainTextFormattedCitation" : "(2015)", "previouslyFormattedCitation" : "&lt;sup&gt;19&lt;/sup&gt;" }, "properties" : { "noteIndex" : 0 }, "schema" : "https://github.com/citation-style-language/schema/raw/master/csl-citation.json" }</w:instrText>
      </w:r>
      <w:r w:rsidR="00F43AFC">
        <w:rPr>
          <w:sz w:val="16"/>
          <w:szCs w:val="16"/>
          <w:lang w:val="en-CA"/>
        </w:rPr>
        <w:fldChar w:fldCharType="separate"/>
      </w:r>
      <w:r w:rsidR="005464B0" w:rsidRPr="005464B0">
        <w:rPr>
          <w:noProof/>
          <w:sz w:val="16"/>
          <w:szCs w:val="16"/>
          <w:lang w:val="en-CA"/>
        </w:rPr>
        <w:t>(2015)</w:t>
      </w:r>
      <w:r w:rsidR="00F43AFC">
        <w:rPr>
          <w:sz w:val="16"/>
          <w:szCs w:val="16"/>
          <w:lang w:val="en-CA"/>
        </w:rPr>
        <w:fldChar w:fldCharType="end"/>
      </w:r>
      <w:r w:rsidR="004632FC">
        <w:rPr>
          <w:sz w:val="16"/>
          <w:szCs w:val="16"/>
          <w:lang w:val="en-CA"/>
        </w:rPr>
        <w:t>.</w:t>
      </w:r>
      <w:r w:rsidR="0095097C">
        <w:rPr>
          <w:sz w:val="16"/>
          <w:szCs w:val="16"/>
          <w:lang w:val="en-CA"/>
        </w:rPr>
        <w:t xml:space="preserve"> </w:t>
      </w:r>
      <w:r w:rsidR="00F43AFC">
        <w:rPr>
          <w:sz w:val="16"/>
          <w:szCs w:val="16"/>
          <w:lang w:val="en-CA"/>
        </w:rPr>
        <w:t xml:space="preserve">Within the figure, </w:t>
      </w:r>
      <w:r w:rsidR="0095097C" w:rsidRPr="00354D7B">
        <w:rPr>
          <w:sz w:val="16"/>
          <w:szCs w:val="16"/>
          <w:lang w:val="en-CA"/>
        </w:rPr>
        <w:t>“Immediate” and “Delayed” labels in left-hand side panel refer to immediate and delayed recall of verbal memory domain, respectively. Inflated brain is presented to better visualize results within cortical folds. Results are RFT-corrected, where blue colours represent significant results cluster-thresholded at “original” stringent threshold of p=0.001, whereas red/pink colour represent significant results at a “relaxed” threshold of p=0.01. Results remain relatively unchanged from those presented in</w:t>
      </w:r>
      <w:r w:rsidR="0095097C">
        <w:rPr>
          <w:sz w:val="16"/>
          <w:szCs w:val="16"/>
          <w:lang w:val="en-CA"/>
        </w:rPr>
        <w:t xml:space="preserve"> the main manuscript, suggesting that results are specific to verbal memory, and cannot be explained by general cognitive ability.</w:t>
      </w:r>
    </w:p>
    <w:p w14:paraId="5D90C7A9" w14:textId="77777777" w:rsidR="0095097C" w:rsidRDefault="0095097C" w:rsidP="0095097C">
      <w:pPr>
        <w:widowControl w:val="0"/>
        <w:rPr>
          <w:sz w:val="16"/>
          <w:szCs w:val="16"/>
          <w:lang w:val="en-CA"/>
        </w:rPr>
      </w:pPr>
      <w:r w:rsidRPr="00354D7B">
        <w:rPr>
          <w:sz w:val="16"/>
          <w:szCs w:val="16"/>
          <w:lang w:val="en-CA"/>
        </w:rPr>
        <w:t>Orientation: Surfaces from left to right in each row: left lateral, right lateral, left medial, right medial, dorsal (with the exception of the third row, where the right-most surface is a ventral view).</w:t>
      </w:r>
    </w:p>
    <w:p w14:paraId="164893E3" w14:textId="77777777" w:rsidR="0095097C" w:rsidRDefault="0095097C" w:rsidP="00461DB5">
      <w:pPr>
        <w:widowControl w:val="0"/>
        <w:rPr>
          <w:sz w:val="16"/>
          <w:szCs w:val="16"/>
          <w:lang w:val="en-CA"/>
        </w:rPr>
      </w:pPr>
    </w:p>
    <w:p w14:paraId="795E17BF" w14:textId="77777777" w:rsidR="00C014F0" w:rsidRDefault="00C014F0" w:rsidP="00461DB5">
      <w:pPr>
        <w:widowControl w:val="0"/>
        <w:rPr>
          <w:sz w:val="16"/>
          <w:szCs w:val="16"/>
          <w:lang w:val="en-CA"/>
        </w:rPr>
      </w:pPr>
    </w:p>
    <w:p w14:paraId="29C1E1A4" w14:textId="77777777" w:rsidR="00C014F0" w:rsidRDefault="00C014F0" w:rsidP="00461DB5">
      <w:pPr>
        <w:widowControl w:val="0"/>
        <w:rPr>
          <w:sz w:val="16"/>
          <w:szCs w:val="16"/>
          <w:lang w:val="en-CA"/>
        </w:rPr>
      </w:pPr>
    </w:p>
    <w:p w14:paraId="0DFA0FBF" w14:textId="77777777" w:rsidR="00C014F0" w:rsidRDefault="00C014F0" w:rsidP="00461DB5">
      <w:pPr>
        <w:widowControl w:val="0"/>
        <w:rPr>
          <w:sz w:val="16"/>
          <w:szCs w:val="16"/>
          <w:lang w:val="en-CA"/>
        </w:rPr>
      </w:pPr>
    </w:p>
    <w:p w14:paraId="4D3ACA95" w14:textId="77777777" w:rsidR="00C014F0" w:rsidRDefault="00C014F0" w:rsidP="00461DB5">
      <w:pPr>
        <w:widowControl w:val="0"/>
        <w:rPr>
          <w:sz w:val="16"/>
          <w:szCs w:val="16"/>
          <w:lang w:val="en-CA"/>
        </w:rPr>
      </w:pPr>
    </w:p>
    <w:p w14:paraId="637A98CF" w14:textId="77777777" w:rsidR="00C014F0" w:rsidRDefault="00C014F0" w:rsidP="00461DB5">
      <w:pPr>
        <w:widowControl w:val="0"/>
        <w:rPr>
          <w:sz w:val="16"/>
          <w:szCs w:val="16"/>
          <w:lang w:val="en-CA"/>
        </w:rPr>
      </w:pPr>
    </w:p>
    <w:p w14:paraId="71451F81" w14:textId="77777777" w:rsidR="00C014F0" w:rsidRDefault="00C014F0" w:rsidP="00461DB5">
      <w:pPr>
        <w:widowControl w:val="0"/>
        <w:rPr>
          <w:sz w:val="16"/>
          <w:szCs w:val="16"/>
          <w:lang w:val="en-CA"/>
        </w:rPr>
      </w:pPr>
    </w:p>
    <w:p w14:paraId="03D67DB2" w14:textId="77777777" w:rsidR="00C014F0" w:rsidRDefault="00C014F0" w:rsidP="00461DB5">
      <w:pPr>
        <w:widowControl w:val="0"/>
        <w:rPr>
          <w:sz w:val="16"/>
          <w:szCs w:val="16"/>
          <w:lang w:val="en-CA"/>
        </w:rPr>
      </w:pPr>
    </w:p>
    <w:p w14:paraId="56A0C372" w14:textId="77777777" w:rsidR="00C014F0" w:rsidRDefault="00C014F0" w:rsidP="00461DB5">
      <w:pPr>
        <w:widowControl w:val="0"/>
        <w:rPr>
          <w:sz w:val="16"/>
          <w:szCs w:val="16"/>
          <w:lang w:val="en-CA"/>
        </w:rPr>
      </w:pPr>
    </w:p>
    <w:p w14:paraId="7076C593" w14:textId="77777777" w:rsidR="00C014F0" w:rsidRDefault="00C014F0" w:rsidP="00461DB5">
      <w:pPr>
        <w:widowControl w:val="0"/>
        <w:rPr>
          <w:sz w:val="16"/>
          <w:szCs w:val="16"/>
          <w:lang w:val="en-CA"/>
        </w:rPr>
      </w:pPr>
    </w:p>
    <w:p w14:paraId="17869E74" w14:textId="77777777" w:rsidR="00C014F0" w:rsidRDefault="00C014F0" w:rsidP="00461DB5">
      <w:pPr>
        <w:widowControl w:val="0"/>
        <w:rPr>
          <w:sz w:val="16"/>
          <w:szCs w:val="16"/>
          <w:lang w:val="en-CA"/>
        </w:rPr>
      </w:pPr>
    </w:p>
    <w:p w14:paraId="227979F8" w14:textId="77777777" w:rsidR="00C014F0" w:rsidRDefault="00C014F0" w:rsidP="00461DB5">
      <w:pPr>
        <w:widowControl w:val="0"/>
        <w:rPr>
          <w:sz w:val="16"/>
          <w:szCs w:val="16"/>
          <w:lang w:val="en-CA"/>
        </w:rPr>
      </w:pPr>
    </w:p>
    <w:p w14:paraId="2948F0EB" w14:textId="77777777" w:rsidR="00C014F0" w:rsidRDefault="00C014F0" w:rsidP="00461DB5">
      <w:pPr>
        <w:widowControl w:val="0"/>
        <w:rPr>
          <w:sz w:val="16"/>
          <w:szCs w:val="16"/>
          <w:lang w:val="en-CA"/>
        </w:rPr>
      </w:pPr>
    </w:p>
    <w:p w14:paraId="6E4F2855" w14:textId="77777777" w:rsidR="00C014F0" w:rsidRDefault="00C014F0" w:rsidP="00461DB5">
      <w:pPr>
        <w:widowControl w:val="0"/>
        <w:rPr>
          <w:sz w:val="16"/>
          <w:szCs w:val="16"/>
          <w:lang w:val="en-CA"/>
        </w:rPr>
      </w:pPr>
    </w:p>
    <w:p w14:paraId="6DCB3139" w14:textId="77777777" w:rsidR="00C014F0" w:rsidRDefault="00C014F0" w:rsidP="00461DB5">
      <w:pPr>
        <w:widowControl w:val="0"/>
        <w:rPr>
          <w:sz w:val="16"/>
          <w:szCs w:val="16"/>
          <w:lang w:val="en-CA"/>
        </w:rPr>
      </w:pPr>
    </w:p>
    <w:p w14:paraId="272C4AB9" w14:textId="77777777" w:rsidR="00C014F0" w:rsidRDefault="00C014F0" w:rsidP="00461DB5">
      <w:pPr>
        <w:widowControl w:val="0"/>
        <w:rPr>
          <w:sz w:val="16"/>
          <w:szCs w:val="16"/>
          <w:lang w:val="en-CA"/>
        </w:rPr>
      </w:pPr>
    </w:p>
    <w:p w14:paraId="693B6E27" w14:textId="77777777" w:rsidR="00C014F0" w:rsidRDefault="00C014F0" w:rsidP="00461DB5">
      <w:pPr>
        <w:widowControl w:val="0"/>
        <w:rPr>
          <w:sz w:val="16"/>
          <w:szCs w:val="16"/>
          <w:lang w:val="en-CA"/>
        </w:rPr>
      </w:pPr>
    </w:p>
    <w:p w14:paraId="27FDAAEE" w14:textId="77777777" w:rsidR="00C014F0" w:rsidRDefault="00C014F0" w:rsidP="00461DB5">
      <w:pPr>
        <w:widowControl w:val="0"/>
        <w:rPr>
          <w:sz w:val="16"/>
          <w:szCs w:val="16"/>
          <w:lang w:val="en-CA"/>
        </w:rPr>
      </w:pPr>
    </w:p>
    <w:p w14:paraId="4993415B" w14:textId="77777777" w:rsidR="00C014F0" w:rsidRDefault="00C014F0" w:rsidP="00461DB5">
      <w:pPr>
        <w:widowControl w:val="0"/>
        <w:rPr>
          <w:sz w:val="16"/>
          <w:szCs w:val="16"/>
          <w:lang w:val="en-CA"/>
        </w:rPr>
      </w:pPr>
    </w:p>
    <w:p w14:paraId="313F122E" w14:textId="77777777" w:rsidR="00C014F0" w:rsidRDefault="00C014F0" w:rsidP="00461DB5">
      <w:pPr>
        <w:widowControl w:val="0"/>
        <w:rPr>
          <w:sz w:val="16"/>
          <w:szCs w:val="16"/>
          <w:lang w:val="en-CA"/>
        </w:rPr>
      </w:pPr>
    </w:p>
    <w:p w14:paraId="5BA94B8C" w14:textId="77777777" w:rsidR="004A7A16" w:rsidRDefault="004A7A16" w:rsidP="00461DB5">
      <w:pPr>
        <w:widowControl w:val="0"/>
        <w:rPr>
          <w:sz w:val="16"/>
          <w:szCs w:val="16"/>
          <w:lang w:val="en-CA"/>
        </w:rPr>
      </w:pPr>
    </w:p>
    <w:p w14:paraId="08C415BA" w14:textId="77777777" w:rsidR="004A7A16" w:rsidRDefault="004A7A16" w:rsidP="00461DB5">
      <w:pPr>
        <w:widowControl w:val="0"/>
        <w:rPr>
          <w:sz w:val="16"/>
          <w:szCs w:val="16"/>
          <w:lang w:val="en-CA"/>
        </w:rPr>
      </w:pPr>
    </w:p>
    <w:p w14:paraId="65822835" w14:textId="77777777" w:rsidR="004A7A16" w:rsidRDefault="004A7A16" w:rsidP="00461DB5">
      <w:pPr>
        <w:widowControl w:val="0"/>
        <w:rPr>
          <w:sz w:val="16"/>
          <w:szCs w:val="16"/>
          <w:lang w:val="en-CA"/>
        </w:rPr>
      </w:pPr>
    </w:p>
    <w:p w14:paraId="4D4D5677" w14:textId="77777777" w:rsidR="004A7A16" w:rsidRDefault="004A7A16" w:rsidP="00461DB5">
      <w:pPr>
        <w:widowControl w:val="0"/>
        <w:rPr>
          <w:sz w:val="16"/>
          <w:szCs w:val="16"/>
          <w:lang w:val="en-CA"/>
        </w:rPr>
      </w:pPr>
    </w:p>
    <w:p w14:paraId="2AFAEB93" w14:textId="77777777" w:rsidR="004A7A16" w:rsidRDefault="004A7A16" w:rsidP="00461DB5">
      <w:pPr>
        <w:widowControl w:val="0"/>
        <w:rPr>
          <w:sz w:val="16"/>
          <w:szCs w:val="16"/>
          <w:lang w:val="en-CA"/>
        </w:rPr>
      </w:pPr>
    </w:p>
    <w:p w14:paraId="772C1FCB" w14:textId="77777777" w:rsidR="004A7A16" w:rsidRDefault="004A7A16" w:rsidP="00461DB5">
      <w:pPr>
        <w:widowControl w:val="0"/>
        <w:rPr>
          <w:sz w:val="16"/>
          <w:szCs w:val="16"/>
          <w:lang w:val="en-CA"/>
        </w:rPr>
      </w:pPr>
    </w:p>
    <w:p w14:paraId="72CCB431" w14:textId="77777777" w:rsidR="004A7A16" w:rsidRDefault="004A7A16" w:rsidP="00461DB5">
      <w:pPr>
        <w:widowControl w:val="0"/>
        <w:rPr>
          <w:sz w:val="16"/>
          <w:szCs w:val="16"/>
          <w:lang w:val="en-CA"/>
        </w:rPr>
      </w:pPr>
    </w:p>
    <w:p w14:paraId="3229A8F9" w14:textId="77777777" w:rsidR="00C014F0" w:rsidRDefault="00C014F0" w:rsidP="00461DB5">
      <w:pPr>
        <w:widowControl w:val="0"/>
        <w:rPr>
          <w:sz w:val="16"/>
          <w:szCs w:val="16"/>
          <w:lang w:val="en-CA"/>
        </w:rPr>
      </w:pPr>
    </w:p>
    <w:p w14:paraId="034424F6" w14:textId="77777777" w:rsidR="00C014F0" w:rsidRDefault="00C014F0" w:rsidP="00461DB5">
      <w:pPr>
        <w:widowControl w:val="0"/>
        <w:rPr>
          <w:sz w:val="16"/>
          <w:szCs w:val="16"/>
          <w:lang w:val="en-CA"/>
        </w:rPr>
      </w:pPr>
    </w:p>
    <w:p w14:paraId="684AB64D" w14:textId="77777777" w:rsidR="00683E7A" w:rsidRDefault="00683E7A" w:rsidP="00C014F0">
      <w:pPr>
        <w:widowControl w:val="0"/>
        <w:rPr>
          <w:sz w:val="16"/>
          <w:szCs w:val="16"/>
          <w:lang w:val="en-CA"/>
        </w:rPr>
      </w:pPr>
    </w:p>
    <w:p w14:paraId="2BB936F9" w14:textId="77777777" w:rsidR="00AE0B52" w:rsidRDefault="00AE0B52" w:rsidP="00C014F0">
      <w:pPr>
        <w:widowControl w:val="0"/>
        <w:rPr>
          <w:sz w:val="16"/>
          <w:szCs w:val="16"/>
          <w:lang w:val="en-CA"/>
        </w:rPr>
      </w:pPr>
    </w:p>
    <w:p w14:paraId="4F2ADECD" w14:textId="77777777" w:rsidR="00EB3665" w:rsidRDefault="00EB3665" w:rsidP="00C014F0">
      <w:pPr>
        <w:widowControl w:val="0"/>
        <w:rPr>
          <w:sz w:val="16"/>
          <w:szCs w:val="16"/>
          <w:lang w:val="en-CA"/>
        </w:rPr>
      </w:pPr>
    </w:p>
    <w:p w14:paraId="3AB24593" w14:textId="77777777" w:rsidR="00EB3665" w:rsidRDefault="00EB3665" w:rsidP="00C014F0">
      <w:pPr>
        <w:widowControl w:val="0"/>
        <w:rPr>
          <w:sz w:val="16"/>
          <w:szCs w:val="16"/>
          <w:lang w:val="en-CA"/>
        </w:rPr>
      </w:pPr>
    </w:p>
    <w:p w14:paraId="6423EFD7" w14:textId="77777777" w:rsidR="00EB3665" w:rsidRDefault="00EB3665" w:rsidP="00C014F0">
      <w:pPr>
        <w:widowControl w:val="0"/>
        <w:rPr>
          <w:sz w:val="16"/>
          <w:szCs w:val="16"/>
          <w:lang w:val="en-CA"/>
        </w:rPr>
      </w:pPr>
    </w:p>
    <w:p w14:paraId="7B7EA6BA" w14:textId="77777777" w:rsidR="00AE0B52" w:rsidRDefault="00AE0B52" w:rsidP="00C014F0">
      <w:pPr>
        <w:widowControl w:val="0"/>
        <w:rPr>
          <w:sz w:val="16"/>
          <w:szCs w:val="16"/>
          <w:lang w:val="en-CA"/>
        </w:rPr>
      </w:pPr>
    </w:p>
    <w:p w14:paraId="15408603" w14:textId="77777777" w:rsidR="008D7F3D" w:rsidRDefault="00FB2B2D" w:rsidP="00C014F0">
      <w:pPr>
        <w:widowControl w:val="0"/>
        <w:rPr>
          <w:b/>
          <w:lang w:val="en-CA"/>
        </w:rPr>
      </w:pPr>
      <w:r>
        <w:rPr>
          <w:b/>
          <w:lang w:val="en-CA"/>
        </w:rPr>
        <w:t xml:space="preserve">Supplementary </w:t>
      </w:r>
      <w:r w:rsidR="00C014F0" w:rsidRPr="00C014F0">
        <w:rPr>
          <w:b/>
          <w:lang w:val="en-CA"/>
        </w:rPr>
        <w:t>Tables</w:t>
      </w:r>
    </w:p>
    <w:p w14:paraId="5BA85767" w14:textId="77777777" w:rsidR="00AE0B52" w:rsidRDefault="00AE0B52" w:rsidP="00C014F0">
      <w:pPr>
        <w:widowControl w:val="0"/>
        <w:rPr>
          <w:b/>
          <w:lang w:val="en-CA"/>
        </w:rPr>
      </w:pPr>
    </w:p>
    <w:tbl>
      <w:tblPr>
        <w:tblW w:w="8680" w:type="dxa"/>
        <w:tblInd w:w="108" w:type="dxa"/>
        <w:tblLook w:val="04A0" w:firstRow="1" w:lastRow="0" w:firstColumn="1" w:lastColumn="0" w:noHBand="0" w:noVBand="1"/>
      </w:tblPr>
      <w:tblGrid>
        <w:gridCol w:w="2300"/>
        <w:gridCol w:w="1720"/>
        <w:gridCol w:w="1780"/>
        <w:gridCol w:w="1182"/>
        <w:gridCol w:w="630"/>
        <w:gridCol w:w="1068"/>
      </w:tblGrid>
      <w:tr w:rsidR="00AE0B52" w:rsidRPr="00AE0B52" w14:paraId="4E06F010" w14:textId="77777777" w:rsidTr="00AE0B52">
        <w:trPr>
          <w:trHeight w:val="540"/>
        </w:trPr>
        <w:tc>
          <w:tcPr>
            <w:tcW w:w="2300" w:type="dxa"/>
            <w:tcBorders>
              <w:top w:val="nil"/>
              <w:left w:val="nil"/>
              <w:bottom w:val="nil"/>
              <w:right w:val="nil"/>
            </w:tcBorders>
            <w:shd w:val="clear" w:color="auto" w:fill="auto"/>
            <w:noWrap/>
            <w:vAlign w:val="bottom"/>
            <w:hideMark/>
          </w:tcPr>
          <w:p w14:paraId="58AF9754" w14:textId="77777777" w:rsidR="00AE0B52" w:rsidRPr="00AE0B52" w:rsidRDefault="00AE0B52" w:rsidP="00AE0B52">
            <w:pPr>
              <w:rPr>
                <w:sz w:val="20"/>
                <w:szCs w:val="20"/>
              </w:rPr>
            </w:pPr>
          </w:p>
        </w:tc>
        <w:tc>
          <w:tcPr>
            <w:tcW w:w="1720" w:type="dxa"/>
            <w:tcBorders>
              <w:top w:val="nil"/>
              <w:left w:val="nil"/>
              <w:bottom w:val="nil"/>
              <w:right w:val="nil"/>
            </w:tcBorders>
            <w:shd w:val="clear" w:color="auto" w:fill="auto"/>
            <w:vAlign w:val="bottom"/>
            <w:hideMark/>
          </w:tcPr>
          <w:p w14:paraId="634D588A" w14:textId="77777777" w:rsidR="00AE0B52" w:rsidRPr="00AE0B52" w:rsidRDefault="00AE0B52" w:rsidP="00AE0B52">
            <w:pPr>
              <w:jc w:val="center"/>
              <w:rPr>
                <w:rFonts w:ascii="Arial" w:eastAsia="Times New Roman" w:hAnsi="Arial" w:cs="Arial"/>
                <w:color w:val="000000"/>
                <w:sz w:val="20"/>
                <w:szCs w:val="20"/>
              </w:rPr>
            </w:pPr>
            <w:r w:rsidRPr="00AE0B52">
              <w:rPr>
                <w:rFonts w:ascii="Arial" w:eastAsia="Times New Roman" w:hAnsi="Arial" w:cs="Arial"/>
                <w:color w:val="000000"/>
                <w:sz w:val="20"/>
                <w:szCs w:val="20"/>
              </w:rPr>
              <w:t>Included Patients (N=88)</w:t>
            </w:r>
          </w:p>
        </w:tc>
        <w:tc>
          <w:tcPr>
            <w:tcW w:w="1780" w:type="dxa"/>
            <w:tcBorders>
              <w:top w:val="nil"/>
              <w:left w:val="nil"/>
              <w:bottom w:val="nil"/>
              <w:right w:val="nil"/>
            </w:tcBorders>
            <w:shd w:val="clear" w:color="auto" w:fill="auto"/>
            <w:vAlign w:val="bottom"/>
            <w:hideMark/>
          </w:tcPr>
          <w:p w14:paraId="294A9CF9" w14:textId="77777777" w:rsidR="00AE0B52" w:rsidRPr="00AE0B52" w:rsidRDefault="00AE0B52" w:rsidP="00AE0B52">
            <w:pPr>
              <w:jc w:val="center"/>
              <w:rPr>
                <w:rFonts w:ascii="Arial" w:eastAsia="Times New Roman" w:hAnsi="Arial" w:cs="Arial"/>
                <w:color w:val="000000"/>
                <w:sz w:val="20"/>
                <w:szCs w:val="20"/>
              </w:rPr>
            </w:pPr>
            <w:r w:rsidRPr="00AE0B52">
              <w:rPr>
                <w:rFonts w:ascii="Arial" w:eastAsia="Times New Roman" w:hAnsi="Arial" w:cs="Arial"/>
                <w:color w:val="000000"/>
                <w:sz w:val="20"/>
                <w:szCs w:val="20"/>
              </w:rPr>
              <w:t>Excluded Patients (N=47)</w:t>
            </w:r>
          </w:p>
        </w:tc>
        <w:tc>
          <w:tcPr>
            <w:tcW w:w="2880" w:type="dxa"/>
            <w:gridSpan w:val="3"/>
            <w:tcBorders>
              <w:top w:val="nil"/>
              <w:left w:val="nil"/>
              <w:bottom w:val="nil"/>
              <w:right w:val="nil"/>
            </w:tcBorders>
            <w:shd w:val="clear" w:color="auto" w:fill="auto"/>
            <w:noWrap/>
            <w:vAlign w:val="bottom"/>
            <w:hideMark/>
          </w:tcPr>
          <w:p w14:paraId="2E74B315" w14:textId="77777777" w:rsidR="00AE0B52" w:rsidRPr="00AE0B52" w:rsidRDefault="00AE0B52" w:rsidP="00AE0B52">
            <w:pPr>
              <w:jc w:val="center"/>
              <w:rPr>
                <w:rFonts w:ascii="Arial" w:eastAsia="Times New Roman" w:hAnsi="Arial" w:cs="Arial"/>
                <w:color w:val="000000"/>
                <w:sz w:val="20"/>
                <w:szCs w:val="20"/>
              </w:rPr>
            </w:pPr>
            <w:r w:rsidRPr="00AE0B52">
              <w:rPr>
                <w:rFonts w:ascii="Arial" w:eastAsia="Times New Roman" w:hAnsi="Arial" w:cs="Arial"/>
                <w:color w:val="000000"/>
                <w:sz w:val="20"/>
                <w:szCs w:val="20"/>
              </w:rPr>
              <w:t>Statistics Comparing Groups</w:t>
            </w:r>
          </w:p>
        </w:tc>
      </w:tr>
      <w:tr w:rsidR="00AE0B52" w:rsidRPr="00AE0B52" w14:paraId="417E1BEE" w14:textId="77777777" w:rsidTr="00AE0B52">
        <w:trPr>
          <w:trHeight w:val="320"/>
        </w:trPr>
        <w:tc>
          <w:tcPr>
            <w:tcW w:w="2300" w:type="dxa"/>
            <w:tcBorders>
              <w:top w:val="nil"/>
              <w:left w:val="nil"/>
              <w:bottom w:val="nil"/>
              <w:right w:val="nil"/>
            </w:tcBorders>
            <w:shd w:val="clear" w:color="000000" w:fill="D0CECE"/>
            <w:vAlign w:val="center"/>
            <w:hideMark/>
          </w:tcPr>
          <w:p w14:paraId="7B3481EE"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 </w:t>
            </w:r>
          </w:p>
        </w:tc>
        <w:tc>
          <w:tcPr>
            <w:tcW w:w="3500" w:type="dxa"/>
            <w:gridSpan w:val="2"/>
            <w:tcBorders>
              <w:top w:val="nil"/>
              <w:left w:val="nil"/>
              <w:bottom w:val="nil"/>
              <w:right w:val="nil"/>
            </w:tcBorders>
            <w:shd w:val="clear" w:color="000000" w:fill="D0CECE"/>
            <w:noWrap/>
            <w:vAlign w:val="center"/>
            <w:hideMark/>
          </w:tcPr>
          <w:p w14:paraId="28698BC9" w14:textId="77777777" w:rsidR="00AE0B52" w:rsidRPr="00AE0B52" w:rsidRDefault="00AE0B52" w:rsidP="00AE0B52">
            <w:pPr>
              <w:jc w:val="center"/>
              <w:rPr>
                <w:rFonts w:ascii="Arial" w:eastAsia="Times New Roman" w:hAnsi="Arial" w:cs="Arial"/>
                <w:b/>
                <w:bCs/>
                <w:color w:val="000000"/>
                <w:sz w:val="20"/>
                <w:szCs w:val="20"/>
              </w:rPr>
            </w:pPr>
            <w:r w:rsidRPr="00AE0B52">
              <w:rPr>
                <w:rFonts w:ascii="Arial" w:eastAsia="Times New Roman" w:hAnsi="Arial" w:cs="Arial"/>
                <w:b/>
                <w:bCs/>
                <w:color w:val="000000"/>
                <w:sz w:val="20"/>
                <w:szCs w:val="20"/>
              </w:rPr>
              <w:t>N (%)</w:t>
            </w:r>
          </w:p>
        </w:tc>
        <w:tc>
          <w:tcPr>
            <w:tcW w:w="1182" w:type="dxa"/>
            <w:tcBorders>
              <w:top w:val="nil"/>
              <w:left w:val="nil"/>
              <w:bottom w:val="nil"/>
              <w:right w:val="nil"/>
            </w:tcBorders>
            <w:shd w:val="clear" w:color="000000" w:fill="D0CECE"/>
            <w:noWrap/>
            <w:vAlign w:val="bottom"/>
            <w:hideMark/>
          </w:tcPr>
          <w:p w14:paraId="74246F77" w14:textId="77777777" w:rsidR="00AE0B52" w:rsidRPr="00AE0B52" w:rsidRDefault="00AE0B52" w:rsidP="00AE0B52">
            <w:pPr>
              <w:jc w:val="center"/>
              <w:rPr>
                <w:rFonts w:ascii="Arial" w:eastAsia="Times New Roman" w:hAnsi="Arial" w:cs="Arial"/>
                <w:b/>
                <w:bCs/>
                <w:color w:val="000000"/>
                <w:sz w:val="20"/>
                <w:szCs w:val="20"/>
              </w:rPr>
            </w:pPr>
            <w:r w:rsidRPr="00AE0B52">
              <w:rPr>
                <w:rFonts w:ascii="Arial" w:eastAsia="Times New Roman" w:hAnsi="Arial" w:cs="Arial"/>
                <w:b/>
                <w:bCs/>
                <w:color w:val="000000"/>
                <w:sz w:val="20"/>
                <w:szCs w:val="20"/>
              </w:rPr>
              <w:t>Statistic</w:t>
            </w:r>
          </w:p>
        </w:tc>
        <w:tc>
          <w:tcPr>
            <w:tcW w:w="630" w:type="dxa"/>
            <w:tcBorders>
              <w:top w:val="nil"/>
              <w:left w:val="nil"/>
              <w:bottom w:val="nil"/>
              <w:right w:val="nil"/>
            </w:tcBorders>
            <w:shd w:val="clear" w:color="000000" w:fill="D0CECE"/>
            <w:noWrap/>
            <w:vAlign w:val="bottom"/>
            <w:hideMark/>
          </w:tcPr>
          <w:p w14:paraId="34D51314" w14:textId="77777777" w:rsidR="00AE0B52" w:rsidRPr="00AE0B52" w:rsidRDefault="00AE0B52" w:rsidP="00AE0B52">
            <w:pPr>
              <w:jc w:val="center"/>
              <w:rPr>
                <w:rFonts w:ascii="Arial" w:eastAsia="Times New Roman" w:hAnsi="Arial" w:cs="Arial"/>
                <w:b/>
                <w:bCs/>
                <w:color w:val="000000"/>
                <w:sz w:val="20"/>
                <w:szCs w:val="20"/>
              </w:rPr>
            </w:pPr>
            <w:r w:rsidRPr="00AE0B52">
              <w:rPr>
                <w:rFonts w:ascii="Arial" w:eastAsia="Times New Roman" w:hAnsi="Arial" w:cs="Arial"/>
                <w:b/>
                <w:bCs/>
                <w:color w:val="000000"/>
                <w:sz w:val="20"/>
                <w:szCs w:val="20"/>
              </w:rPr>
              <w:t>df</w:t>
            </w:r>
          </w:p>
        </w:tc>
        <w:tc>
          <w:tcPr>
            <w:tcW w:w="1068" w:type="dxa"/>
            <w:tcBorders>
              <w:top w:val="nil"/>
              <w:left w:val="nil"/>
              <w:bottom w:val="nil"/>
              <w:right w:val="nil"/>
            </w:tcBorders>
            <w:shd w:val="clear" w:color="000000" w:fill="D0CECE"/>
            <w:noWrap/>
            <w:vAlign w:val="bottom"/>
            <w:hideMark/>
          </w:tcPr>
          <w:p w14:paraId="6D49C100" w14:textId="77777777" w:rsidR="00AE0B52" w:rsidRPr="00AE0B52" w:rsidRDefault="00AE0B52" w:rsidP="00AE0B52">
            <w:pPr>
              <w:jc w:val="center"/>
              <w:rPr>
                <w:rFonts w:ascii="Arial" w:eastAsia="Times New Roman" w:hAnsi="Arial" w:cs="Arial"/>
                <w:b/>
                <w:bCs/>
                <w:color w:val="000000"/>
                <w:sz w:val="20"/>
                <w:szCs w:val="20"/>
              </w:rPr>
            </w:pPr>
            <w:r w:rsidRPr="00AE0B52">
              <w:rPr>
                <w:rFonts w:ascii="Arial" w:eastAsia="Times New Roman" w:hAnsi="Arial" w:cs="Arial"/>
                <w:b/>
                <w:bCs/>
                <w:color w:val="000000"/>
                <w:sz w:val="20"/>
                <w:szCs w:val="20"/>
              </w:rPr>
              <w:t>p-value</w:t>
            </w:r>
          </w:p>
        </w:tc>
      </w:tr>
      <w:tr w:rsidR="00AE0B52" w:rsidRPr="00AE0B52" w14:paraId="0C6AA34B" w14:textId="77777777" w:rsidTr="00AE0B52">
        <w:trPr>
          <w:trHeight w:val="320"/>
        </w:trPr>
        <w:tc>
          <w:tcPr>
            <w:tcW w:w="2300" w:type="dxa"/>
            <w:tcBorders>
              <w:top w:val="nil"/>
              <w:left w:val="nil"/>
              <w:bottom w:val="nil"/>
              <w:right w:val="nil"/>
            </w:tcBorders>
            <w:shd w:val="clear" w:color="auto" w:fill="auto"/>
            <w:vAlign w:val="center"/>
            <w:hideMark/>
          </w:tcPr>
          <w:p w14:paraId="1E0247EA"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Male</w:t>
            </w:r>
          </w:p>
        </w:tc>
        <w:tc>
          <w:tcPr>
            <w:tcW w:w="1720" w:type="dxa"/>
            <w:tcBorders>
              <w:top w:val="nil"/>
              <w:left w:val="nil"/>
              <w:bottom w:val="nil"/>
              <w:right w:val="nil"/>
            </w:tcBorders>
            <w:shd w:val="clear" w:color="auto" w:fill="auto"/>
            <w:noWrap/>
            <w:vAlign w:val="center"/>
            <w:hideMark/>
          </w:tcPr>
          <w:p w14:paraId="588D964D"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62 (70)</w:t>
            </w:r>
          </w:p>
        </w:tc>
        <w:tc>
          <w:tcPr>
            <w:tcW w:w="1780" w:type="dxa"/>
            <w:tcBorders>
              <w:top w:val="nil"/>
              <w:left w:val="nil"/>
              <w:bottom w:val="nil"/>
              <w:right w:val="nil"/>
            </w:tcBorders>
            <w:shd w:val="clear" w:color="auto" w:fill="auto"/>
            <w:vAlign w:val="center"/>
            <w:hideMark/>
          </w:tcPr>
          <w:p w14:paraId="4ACBEDF3"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35 (74)</w:t>
            </w:r>
          </w:p>
        </w:tc>
        <w:tc>
          <w:tcPr>
            <w:tcW w:w="1182" w:type="dxa"/>
            <w:tcBorders>
              <w:top w:val="nil"/>
              <w:left w:val="nil"/>
              <w:bottom w:val="nil"/>
              <w:right w:val="nil"/>
            </w:tcBorders>
            <w:shd w:val="clear" w:color="auto" w:fill="auto"/>
            <w:noWrap/>
            <w:vAlign w:val="center"/>
            <w:hideMark/>
          </w:tcPr>
          <w:p w14:paraId="0C746549" w14:textId="652BD250" w:rsidR="00AE0B52" w:rsidRPr="00AE0B52" w:rsidRDefault="00AE0B52" w:rsidP="00AE0B52">
            <w:pPr>
              <w:jc w:val="center"/>
              <w:rPr>
                <w:rFonts w:ascii="Arial" w:eastAsia="Times New Roman" w:hAnsi="Arial" w:cs="Arial"/>
                <w:color w:val="000000"/>
                <w:sz w:val="16"/>
                <w:szCs w:val="16"/>
              </w:rPr>
            </w:pPr>
            <w:r>
              <w:rPr>
                <w:sz w:val="16"/>
                <w:szCs w:val="16"/>
                <w:lang w:val="en-CA"/>
              </w:rPr>
              <w:sym w:font="Symbol" w:char="F063"/>
            </w:r>
            <w:r w:rsidRPr="00AE0B52">
              <w:rPr>
                <w:rFonts w:ascii="Arial" w:eastAsia="Times New Roman" w:hAnsi="Arial" w:cs="Arial"/>
                <w:color w:val="000000"/>
                <w:sz w:val="16"/>
                <w:szCs w:val="16"/>
                <w:vertAlign w:val="superscript"/>
              </w:rPr>
              <w:t>2</w:t>
            </w:r>
            <w:r w:rsidRPr="00AE0B52">
              <w:rPr>
                <w:rFonts w:ascii="Arial" w:eastAsia="Times New Roman" w:hAnsi="Arial" w:cs="Arial"/>
                <w:color w:val="000000"/>
                <w:sz w:val="16"/>
                <w:szCs w:val="16"/>
              </w:rPr>
              <w:t>=0.2</w:t>
            </w:r>
          </w:p>
        </w:tc>
        <w:tc>
          <w:tcPr>
            <w:tcW w:w="630" w:type="dxa"/>
            <w:tcBorders>
              <w:top w:val="nil"/>
              <w:left w:val="nil"/>
              <w:bottom w:val="nil"/>
              <w:right w:val="nil"/>
            </w:tcBorders>
            <w:shd w:val="clear" w:color="auto" w:fill="auto"/>
            <w:noWrap/>
            <w:vAlign w:val="bottom"/>
            <w:hideMark/>
          </w:tcPr>
          <w:p w14:paraId="685E6B79"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w:t>
            </w:r>
          </w:p>
        </w:tc>
        <w:tc>
          <w:tcPr>
            <w:tcW w:w="1068" w:type="dxa"/>
            <w:tcBorders>
              <w:top w:val="nil"/>
              <w:left w:val="nil"/>
              <w:bottom w:val="nil"/>
              <w:right w:val="nil"/>
            </w:tcBorders>
            <w:shd w:val="clear" w:color="auto" w:fill="auto"/>
            <w:noWrap/>
            <w:vAlign w:val="bottom"/>
            <w:hideMark/>
          </w:tcPr>
          <w:p w14:paraId="094DE584"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0.6</w:t>
            </w:r>
          </w:p>
        </w:tc>
      </w:tr>
      <w:tr w:rsidR="00AE0B52" w:rsidRPr="00AE0B52" w14:paraId="600EB32E" w14:textId="77777777" w:rsidTr="00AE0B52">
        <w:trPr>
          <w:trHeight w:val="320"/>
        </w:trPr>
        <w:tc>
          <w:tcPr>
            <w:tcW w:w="2300" w:type="dxa"/>
            <w:tcBorders>
              <w:top w:val="nil"/>
              <w:left w:val="nil"/>
              <w:bottom w:val="nil"/>
              <w:right w:val="nil"/>
            </w:tcBorders>
            <w:shd w:val="clear" w:color="auto" w:fill="auto"/>
            <w:vAlign w:val="center"/>
            <w:hideMark/>
          </w:tcPr>
          <w:p w14:paraId="72071968"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Right Handed</w:t>
            </w:r>
          </w:p>
        </w:tc>
        <w:tc>
          <w:tcPr>
            <w:tcW w:w="1720" w:type="dxa"/>
            <w:tcBorders>
              <w:top w:val="nil"/>
              <w:left w:val="nil"/>
              <w:bottom w:val="nil"/>
              <w:right w:val="nil"/>
            </w:tcBorders>
            <w:shd w:val="clear" w:color="auto" w:fill="auto"/>
            <w:noWrap/>
            <w:vAlign w:val="center"/>
            <w:hideMark/>
          </w:tcPr>
          <w:p w14:paraId="1566AE95"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73 (83)</w:t>
            </w:r>
          </w:p>
        </w:tc>
        <w:tc>
          <w:tcPr>
            <w:tcW w:w="1780" w:type="dxa"/>
            <w:tcBorders>
              <w:top w:val="nil"/>
              <w:left w:val="nil"/>
              <w:bottom w:val="nil"/>
              <w:right w:val="nil"/>
            </w:tcBorders>
            <w:shd w:val="clear" w:color="auto" w:fill="auto"/>
            <w:vAlign w:val="center"/>
            <w:hideMark/>
          </w:tcPr>
          <w:p w14:paraId="1F445117"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41 (87)</w:t>
            </w:r>
          </w:p>
        </w:tc>
        <w:tc>
          <w:tcPr>
            <w:tcW w:w="1182" w:type="dxa"/>
            <w:tcBorders>
              <w:top w:val="nil"/>
              <w:left w:val="nil"/>
              <w:bottom w:val="nil"/>
              <w:right w:val="nil"/>
            </w:tcBorders>
            <w:shd w:val="clear" w:color="auto" w:fill="auto"/>
            <w:noWrap/>
            <w:vAlign w:val="center"/>
            <w:hideMark/>
          </w:tcPr>
          <w:p w14:paraId="1AE7935C" w14:textId="1EA3DEF7" w:rsidR="00AE0B52" w:rsidRPr="00AE0B52" w:rsidRDefault="00AE0B52" w:rsidP="00AE0B52">
            <w:pPr>
              <w:jc w:val="center"/>
              <w:rPr>
                <w:rFonts w:ascii="Arial" w:eastAsia="Times New Roman" w:hAnsi="Arial" w:cs="Arial"/>
                <w:color w:val="000000"/>
                <w:sz w:val="16"/>
                <w:szCs w:val="16"/>
              </w:rPr>
            </w:pPr>
            <w:r>
              <w:rPr>
                <w:sz w:val="16"/>
                <w:szCs w:val="16"/>
                <w:lang w:val="en-CA"/>
              </w:rPr>
              <w:sym w:font="Symbol" w:char="F063"/>
            </w:r>
            <w:r w:rsidRPr="00AE0B52">
              <w:rPr>
                <w:rFonts w:ascii="Arial" w:eastAsia="Times New Roman" w:hAnsi="Arial" w:cs="Arial"/>
                <w:color w:val="000000"/>
                <w:sz w:val="16"/>
                <w:szCs w:val="16"/>
                <w:vertAlign w:val="superscript"/>
              </w:rPr>
              <w:t>2</w:t>
            </w:r>
            <w:r w:rsidRPr="00AE0B52">
              <w:rPr>
                <w:rFonts w:ascii="Arial" w:eastAsia="Times New Roman" w:hAnsi="Arial" w:cs="Arial"/>
                <w:color w:val="000000"/>
                <w:sz w:val="16"/>
                <w:szCs w:val="16"/>
              </w:rPr>
              <w:t>=0.4</w:t>
            </w:r>
          </w:p>
        </w:tc>
        <w:tc>
          <w:tcPr>
            <w:tcW w:w="630" w:type="dxa"/>
            <w:tcBorders>
              <w:top w:val="nil"/>
              <w:left w:val="nil"/>
              <w:bottom w:val="nil"/>
              <w:right w:val="nil"/>
            </w:tcBorders>
            <w:shd w:val="clear" w:color="auto" w:fill="auto"/>
            <w:noWrap/>
            <w:vAlign w:val="bottom"/>
            <w:hideMark/>
          </w:tcPr>
          <w:p w14:paraId="410CE625"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w:t>
            </w:r>
          </w:p>
        </w:tc>
        <w:tc>
          <w:tcPr>
            <w:tcW w:w="1068" w:type="dxa"/>
            <w:tcBorders>
              <w:top w:val="nil"/>
              <w:left w:val="nil"/>
              <w:bottom w:val="nil"/>
              <w:right w:val="nil"/>
            </w:tcBorders>
            <w:shd w:val="clear" w:color="auto" w:fill="auto"/>
            <w:noWrap/>
            <w:vAlign w:val="bottom"/>
            <w:hideMark/>
          </w:tcPr>
          <w:p w14:paraId="26E5FC59"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0.5</w:t>
            </w:r>
          </w:p>
        </w:tc>
      </w:tr>
      <w:tr w:rsidR="00AE0B52" w:rsidRPr="00AE0B52" w14:paraId="27491602" w14:textId="77777777" w:rsidTr="00AE0B52">
        <w:trPr>
          <w:trHeight w:val="320"/>
        </w:trPr>
        <w:tc>
          <w:tcPr>
            <w:tcW w:w="4020" w:type="dxa"/>
            <w:gridSpan w:val="2"/>
            <w:tcBorders>
              <w:top w:val="nil"/>
              <w:left w:val="nil"/>
              <w:bottom w:val="nil"/>
              <w:right w:val="nil"/>
            </w:tcBorders>
            <w:shd w:val="clear" w:color="auto" w:fill="auto"/>
            <w:vAlign w:val="center"/>
            <w:hideMark/>
          </w:tcPr>
          <w:p w14:paraId="2EFCC52D" w14:textId="57C4E816" w:rsidR="00AE0B52" w:rsidRPr="006174C3" w:rsidRDefault="00AE0B52" w:rsidP="00AE0B52">
            <w:pPr>
              <w:rPr>
                <w:rFonts w:ascii="Arial" w:eastAsia="Times New Roman" w:hAnsi="Arial" w:cs="Arial"/>
                <w:i/>
                <w:iCs/>
                <w:color w:val="000000"/>
                <w:sz w:val="16"/>
                <w:szCs w:val="16"/>
                <w:vertAlign w:val="superscript"/>
              </w:rPr>
            </w:pPr>
            <w:r w:rsidRPr="00AE0B52">
              <w:rPr>
                <w:rFonts w:ascii="Arial" w:eastAsia="Times New Roman" w:hAnsi="Arial" w:cs="Arial"/>
                <w:i/>
                <w:iCs/>
                <w:color w:val="000000"/>
                <w:sz w:val="16"/>
                <w:szCs w:val="16"/>
              </w:rPr>
              <w:t>Diagnosis</w:t>
            </w:r>
            <w:r w:rsidR="006174C3">
              <w:rPr>
                <w:rFonts w:ascii="Arial" w:eastAsia="Times New Roman" w:hAnsi="Arial" w:cs="Arial"/>
                <w:i/>
                <w:iCs/>
                <w:color w:val="000000"/>
                <w:sz w:val="16"/>
                <w:szCs w:val="16"/>
                <w:vertAlign w:val="superscript"/>
              </w:rPr>
              <w:t>a</w:t>
            </w:r>
          </w:p>
        </w:tc>
        <w:tc>
          <w:tcPr>
            <w:tcW w:w="1780" w:type="dxa"/>
            <w:tcBorders>
              <w:top w:val="nil"/>
              <w:left w:val="nil"/>
              <w:bottom w:val="nil"/>
              <w:right w:val="nil"/>
            </w:tcBorders>
            <w:shd w:val="clear" w:color="auto" w:fill="auto"/>
            <w:vAlign w:val="center"/>
            <w:hideMark/>
          </w:tcPr>
          <w:p w14:paraId="3225248B" w14:textId="77777777" w:rsidR="00AE0B52" w:rsidRPr="00AE0B52" w:rsidRDefault="00AE0B52" w:rsidP="00AE0B52">
            <w:pPr>
              <w:rPr>
                <w:rFonts w:ascii="Arial" w:eastAsia="Times New Roman" w:hAnsi="Arial" w:cs="Arial"/>
                <w:i/>
                <w:iCs/>
                <w:color w:val="000000"/>
                <w:sz w:val="16"/>
                <w:szCs w:val="16"/>
              </w:rPr>
            </w:pPr>
          </w:p>
        </w:tc>
        <w:tc>
          <w:tcPr>
            <w:tcW w:w="1182" w:type="dxa"/>
            <w:tcBorders>
              <w:top w:val="nil"/>
              <w:left w:val="nil"/>
              <w:bottom w:val="nil"/>
              <w:right w:val="nil"/>
            </w:tcBorders>
            <w:shd w:val="clear" w:color="auto" w:fill="auto"/>
            <w:noWrap/>
            <w:vAlign w:val="bottom"/>
            <w:hideMark/>
          </w:tcPr>
          <w:p w14:paraId="55F7B020" w14:textId="77777777" w:rsidR="00AE0B52" w:rsidRPr="00AE0B52" w:rsidRDefault="00AE0B52" w:rsidP="00AE0B52">
            <w:pPr>
              <w:jc w:val="center"/>
              <w:rPr>
                <w:rFonts w:eastAsia="Times New Roman"/>
                <w:sz w:val="20"/>
                <w:szCs w:val="20"/>
              </w:rPr>
            </w:pPr>
          </w:p>
        </w:tc>
        <w:tc>
          <w:tcPr>
            <w:tcW w:w="630" w:type="dxa"/>
            <w:tcBorders>
              <w:top w:val="nil"/>
              <w:left w:val="nil"/>
              <w:bottom w:val="nil"/>
              <w:right w:val="nil"/>
            </w:tcBorders>
            <w:shd w:val="clear" w:color="auto" w:fill="auto"/>
            <w:noWrap/>
            <w:vAlign w:val="bottom"/>
            <w:hideMark/>
          </w:tcPr>
          <w:p w14:paraId="1A2CAE58" w14:textId="77777777" w:rsidR="00AE0B52" w:rsidRPr="00AE0B52" w:rsidRDefault="00AE0B52" w:rsidP="00AE0B52">
            <w:pPr>
              <w:jc w:val="center"/>
              <w:rPr>
                <w:rFonts w:eastAsia="Times New Roman"/>
                <w:sz w:val="20"/>
                <w:szCs w:val="20"/>
              </w:rPr>
            </w:pPr>
          </w:p>
        </w:tc>
        <w:tc>
          <w:tcPr>
            <w:tcW w:w="1068" w:type="dxa"/>
            <w:tcBorders>
              <w:top w:val="nil"/>
              <w:left w:val="nil"/>
              <w:bottom w:val="nil"/>
              <w:right w:val="nil"/>
            </w:tcBorders>
            <w:shd w:val="clear" w:color="auto" w:fill="auto"/>
            <w:noWrap/>
            <w:vAlign w:val="bottom"/>
            <w:hideMark/>
          </w:tcPr>
          <w:p w14:paraId="3F291CF7" w14:textId="77777777" w:rsidR="00AE0B52" w:rsidRPr="00AE0B52" w:rsidRDefault="00AE0B52" w:rsidP="00AE0B52">
            <w:pPr>
              <w:jc w:val="center"/>
              <w:rPr>
                <w:rFonts w:eastAsia="Times New Roman"/>
                <w:sz w:val="20"/>
                <w:szCs w:val="20"/>
              </w:rPr>
            </w:pPr>
          </w:p>
        </w:tc>
      </w:tr>
      <w:tr w:rsidR="00AE0B52" w:rsidRPr="00AE0B52" w14:paraId="740C259D" w14:textId="77777777" w:rsidTr="00AE0B52">
        <w:trPr>
          <w:trHeight w:val="440"/>
        </w:trPr>
        <w:tc>
          <w:tcPr>
            <w:tcW w:w="2300" w:type="dxa"/>
            <w:tcBorders>
              <w:top w:val="nil"/>
              <w:left w:val="nil"/>
              <w:bottom w:val="nil"/>
              <w:right w:val="nil"/>
            </w:tcBorders>
            <w:shd w:val="clear" w:color="auto" w:fill="auto"/>
            <w:vAlign w:val="center"/>
            <w:hideMark/>
          </w:tcPr>
          <w:p w14:paraId="39DE223E"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Schizophrenia/ Schizophreniform</w:t>
            </w:r>
          </w:p>
        </w:tc>
        <w:tc>
          <w:tcPr>
            <w:tcW w:w="1720" w:type="dxa"/>
            <w:tcBorders>
              <w:top w:val="nil"/>
              <w:left w:val="nil"/>
              <w:bottom w:val="nil"/>
              <w:right w:val="nil"/>
            </w:tcBorders>
            <w:shd w:val="clear" w:color="auto" w:fill="auto"/>
            <w:noWrap/>
            <w:vAlign w:val="center"/>
            <w:hideMark/>
          </w:tcPr>
          <w:p w14:paraId="19D4845C"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63 (72)</w:t>
            </w:r>
          </w:p>
        </w:tc>
        <w:tc>
          <w:tcPr>
            <w:tcW w:w="1780" w:type="dxa"/>
            <w:tcBorders>
              <w:top w:val="nil"/>
              <w:left w:val="nil"/>
              <w:bottom w:val="nil"/>
              <w:right w:val="nil"/>
            </w:tcBorders>
            <w:shd w:val="clear" w:color="auto" w:fill="auto"/>
            <w:vAlign w:val="center"/>
            <w:hideMark/>
          </w:tcPr>
          <w:p w14:paraId="08E67D1D"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28 (60)</w:t>
            </w:r>
          </w:p>
        </w:tc>
        <w:tc>
          <w:tcPr>
            <w:tcW w:w="1182" w:type="dxa"/>
            <w:tcBorders>
              <w:top w:val="nil"/>
              <w:left w:val="nil"/>
              <w:bottom w:val="nil"/>
              <w:right w:val="nil"/>
            </w:tcBorders>
            <w:shd w:val="clear" w:color="auto" w:fill="auto"/>
            <w:noWrap/>
            <w:vAlign w:val="bottom"/>
            <w:hideMark/>
          </w:tcPr>
          <w:p w14:paraId="0D5A8426" w14:textId="77777777" w:rsidR="00AE0B52" w:rsidRPr="00AE0B52" w:rsidRDefault="00AE0B52" w:rsidP="00AE0B52">
            <w:pPr>
              <w:jc w:val="center"/>
              <w:rPr>
                <w:rFonts w:ascii="Arial" w:eastAsia="Times New Roman" w:hAnsi="Arial" w:cs="Arial"/>
                <w:color w:val="000000"/>
                <w:sz w:val="16"/>
                <w:szCs w:val="16"/>
              </w:rPr>
            </w:pPr>
          </w:p>
        </w:tc>
        <w:tc>
          <w:tcPr>
            <w:tcW w:w="630" w:type="dxa"/>
            <w:tcBorders>
              <w:top w:val="nil"/>
              <w:left w:val="nil"/>
              <w:bottom w:val="nil"/>
              <w:right w:val="nil"/>
            </w:tcBorders>
            <w:shd w:val="clear" w:color="auto" w:fill="auto"/>
            <w:noWrap/>
            <w:vAlign w:val="bottom"/>
            <w:hideMark/>
          </w:tcPr>
          <w:p w14:paraId="648C6BA3" w14:textId="77777777" w:rsidR="00AE0B52" w:rsidRPr="00AE0B52" w:rsidRDefault="00AE0B52" w:rsidP="00AE0B52">
            <w:pPr>
              <w:jc w:val="center"/>
              <w:rPr>
                <w:rFonts w:eastAsia="Times New Roman"/>
                <w:sz w:val="20"/>
                <w:szCs w:val="20"/>
              </w:rPr>
            </w:pPr>
          </w:p>
        </w:tc>
        <w:tc>
          <w:tcPr>
            <w:tcW w:w="1068" w:type="dxa"/>
            <w:tcBorders>
              <w:top w:val="nil"/>
              <w:left w:val="nil"/>
              <w:bottom w:val="nil"/>
              <w:right w:val="nil"/>
            </w:tcBorders>
            <w:shd w:val="clear" w:color="auto" w:fill="auto"/>
            <w:noWrap/>
            <w:vAlign w:val="bottom"/>
            <w:hideMark/>
          </w:tcPr>
          <w:p w14:paraId="7A0A3124" w14:textId="77777777" w:rsidR="00AE0B52" w:rsidRPr="00AE0B52" w:rsidRDefault="00AE0B52" w:rsidP="00AE0B52">
            <w:pPr>
              <w:jc w:val="center"/>
              <w:rPr>
                <w:rFonts w:eastAsia="Times New Roman"/>
                <w:sz w:val="20"/>
                <w:szCs w:val="20"/>
              </w:rPr>
            </w:pPr>
          </w:p>
        </w:tc>
      </w:tr>
      <w:tr w:rsidR="00AE0B52" w:rsidRPr="00AE0B52" w14:paraId="7FAB2098" w14:textId="77777777" w:rsidTr="00AE0B52">
        <w:trPr>
          <w:trHeight w:val="320"/>
        </w:trPr>
        <w:tc>
          <w:tcPr>
            <w:tcW w:w="2300" w:type="dxa"/>
            <w:tcBorders>
              <w:top w:val="nil"/>
              <w:left w:val="nil"/>
              <w:bottom w:val="nil"/>
              <w:right w:val="nil"/>
            </w:tcBorders>
            <w:shd w:val="clear" w:color="auto" w:fill="auto"/>
            <w:vAlign w:val="center"/>
            <w:hideMark/>
          </w:tcPr>
          <w:p w14:paraId="110BFBD6"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Affective Disorder</w:t>
            </w:r>
          </w:p>
        </w:tc>
        <w:tc>
          <w:tcPr>
            <w:tcW w:w="1720" w:type="dxa"/>
            <w:tcBorders>
              <w:top w:val="nil"/>
              <w:left w:val="nil"/>
              <w:bottom w:val="nil"/>
              <w:right w:val="nil"/>
            </w:tcBorders>
            <w:shd w:val="clear" w:color="auto" w:fill="auto"/>
            <w:noWrap/>
            <w:vAlign w:val="center"/>
            <w:hideMark/>
          </w:tcPr>
          <w:p w14:paraId="13C907B4"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16 (18)</w:t>
            </w:r>
          </w:p>
        </w:tc>
        <w:tc>
          <w:tcPr>
            <w:tcW w:w="1780" w:type="dxa"/>
            <w:tcBorders>
              <w:top w:val="nil"/>
              <w:left w:val="nil"/>
              <w:bottom w:val="nil"/>
              <w:right w:val="nil"/>
            </w:tcBorders>
            <w:shd w:val="clear" w:color="auto" w:fill="auto"/>
            <w:vAlign w:val="center"/>
            <w:hideMark/>
          </w:tcPr>
          <w:p w14:paraId="22393865"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12 (26)</w:t>
            </w:r>
          </w:p>
        </w:tc>
        <w:tc>
          <w:tcPr>
            <w:tcW w:w="1182" w:type="dxa"/>
            <w:tcBorders>
              <w:top w:val="nil"/>
              <w:left w:val="nil"/>
              <w:bottom w:val="nil"/>
              <w:right w:val="nil"/>
            </w:tcBorders>
            <w:shd w:val="clear" w:color="auto" w:fill="auto"/>
            <w:noWrap/>
            <w:vAlign w:val="bottom"/>
            <w:hideMark/>
          </w:tcPr>
          <w:p w14:paraId="0835306B" w14:textId="77777777" w:rsidR="00AE0B52" w:rsidRPr="00AE0B52" w:rsidRDefault="00AE0B52" w:rsidP="00AE0B52">
            <w:pPr>
              <w:jc w:val="center"/>
              <w:rPr>
                <w:rFonts w:ascii="Arial" w:eastAsia="Times New Roman" w:hAnsi="Arial" w:cs="Arial"/>
                <w:color w:val="000000"/>
                <w:sz w:val="16"/>
                <w:szCs w:val="16"/>
              </w:rPr>
            </w:pPr>
          </w:p>
        </w:tc>
        <w:tc>
          <w:tcPr>
            <w:tcW w:w="630" w:type="dxa"/>
            <w:tcBorders>
              <w:top w:val="nil"/>
              <w:left w:val="nil"/>
              <w:bottom w:val="nil"/>
              <w:right w:val="nil"/>
            </w:tcBorders>
            <w:shd w:val="clear" w:color="auto" w:fill="auto"/>
            <w:noWrap/>
            <w:vAlign w:val="bottom"/>
            <w:hideMark/>
          </w:tcPr>
          <w:p w14:paraId="7B8F3569" w14:textId="77777777" w:rsidR="00AE0B52" w:rsidRPr="00AE0B52" w:rsidRDefault="00AE0B52" w:rsidP="00AE0B52">
            <w:pPr>
              <w:jc w:val="center"/>
              <w:rPr>
                <w:rFonts w:eastAsia="Times New Roman"/>
                <w:sz w:val="20"/>
                <w:szCs w:val="20"/>
              </w:rPr>
            </w:pPr>
          </w:p>
        </w:tc>
        <w:tc>
          <w:tcPr>
            <w:tcW w:w="1068" w:type="dxa"/>
            <w:tcBorders>
              <w:top w:val="nil"/>
              <w:left w:val="nil"/>
              <w:bottom w:val="nil"/>
              <w:right w:val="nil"/>
            </w:tcBorders>
            <w:shd w:val="clear" w:color="auto" w:fill="auto"/>
            <w:noWrap/>
            <w:vAlign w:val="bottom"/>
            <w:hideMark/>
          </w:tcPr>
          <w:p w14:paraId="4000F45B" w14:textId="77777777" w:rsidR="00AE0B52" w:rsidRPr="00AE0B52" w:rsidRDefault="00AE0B52" w:rsidP="00AE0B52">
            <w:pPr>
              <w:jc w:val="center"/>
              <w:rPr>
                <w:rFonts w:eastAsia="Times New Roman"/>
                <w:sz w:val="20"/>
                <w:szCs w:val="20"/>
              </w:rPr>
            </w:pPr>
          </w:p>
        </w:tc>
      </w:tr>
      <w:tr w:rsidR="00AE0B52" w:rsidRPr="00AE0B52" w14:paraId="4FAEAC65" w14:textId="77777777" w:rsidTr="00AE0B52">
        <w:trPr>
          <w:trHeight w:val="320"/>
        </w:trPr>
        <w:tc>
          <w:tcPr>
            <w:tcW w:w="2300" w:type="dxa"/>
            <w:tcBorders>
              <w:top w:val="nil"/>
              <w:left w:val="nil"/>
              <w:bottom w:val="nil"/>
              <w:right w:val="nil"/>
            </w:tcBorders>
            <w:shd w:val="clear" w:color="auto" w:fill="auto"/>
            <w:vAlign w:val="center"/>
            <w:hideMark/>
          </w:tcPr>
          <w:p w14:paraId="630E69BE"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Delusional Disorder</w:t>
            </w:r>
          </w:p>
        </w:tc>
        <w:tc>
          <w:tcPr>
            <w:tcW w:w="1720" w:type="dxa"/>
            <w:tcBorders>
              <w:top w:val="nil"/>
              <w:left w:val="nil"/>
              <w:bottom w:val="nil"/>
              <w:right w:val="nil"/>
            </w:tcBorders>
            <w:shd w:val="clear" w:color="auto" w:fill="auto"/>
            <w:noWrap/>
            <w:vAlign w:val="center"/>
            <w:hideMark/>
          </w:tcPr>
          <w:p w14:paraId="3AFB880C"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3 (3)</w:t>
            </w:r>
          </w:p>
        </w:tc>
        <w:tc>
          <w:tcPr>
            <w:tcW w:w="1780" w:type="dxa"/>
            <w:tcBorders>
              <w:top w:val="nil"/>
              <w:left w:val="nil"/>
              <w:bottom w:val="nil"/>
              <w:right w:val="nil"/>
            </w:tcBorders>
            <w:shd w:val="clear" w:color="auto" w:fill="auto"/>
            <w:vAlign w:val="center"/>
            <w:hideMark/>
          </w:tcPr>
          <w:p w14:paraId="5E9F0F05"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 (0)</w:t>
            </w:r>
          </w:p>
        </w:tc>
        <w:tc>
          <w:tcPr>
            <w:tcW w:w="1182" w:type="dxa"/>
            <w:tcBorders>
              <w:top w:val="nil"/>
              <w:left w:val="nil"/>
              <w:bottom w:val="nil"/>
              <w:right w:val="nil"/>
            </w:tcBorders>
            <w:shd w:val="clear" w:color="auto" w:fill="auto"/>
            <w:noWrap/>
            <w:vAlign w:val="bottom"/>
            <w:hideMark/>
          </w:tcPr>
          <w:p w14:paraId="17102AC8" w14:textId="77777777" w:rsidR="00AE0B52" w:rsidRPr="00AE0B52" w:rsidRDefault="00AE0B52" w:rsidP="00AE0B52">
            <w:pPr>
              <w:jc w:val="center"/>
              <w:rPr>
                <w:rFonts w:ascii="Arial" w:eastAsia="Times New Roman" w:hAnsi="Arial" w:cs="Arial"/>
                <w:color w:val="000000"/>
                <w:sz w:val="16"/>
                <w:szCs w:val="16"/>
              </w:rPr>
            </w:pPr>
          </w:p>
        </w:tc>
        <w:tc>
          <w:tcPr>
            <w:tcW w:w="630" w:type="dxa"/>
            <w:tcBorders>
              <w:top w:val="nil"/>
              <w:left w:val="nil"/>
              <w:bottom w:val="nil"/>
              <w:right w:val="nil"/>
            </w:tcBorders>
            <w:shd w:val="clear" w:color="auto" w:fill="auto"/>
            <w:noWrap/>
            <w:vAlign w:val="bottom"/>
            <w:hideMark/>
          </w:tcPr>
          <w:p w14:paraId="6245E6B6" w14:textId="77777777" w:rsidR="00AE0B52" w:rsidRPr="00AE0B52" w:rsidRDefault="00AE0B52" w:rsidP="00AE0B52">
            <w:pPr>
              <w:jc w:val="center"/>
              <w:rPr>
                <w:rFonts w:eastAsia="Times New Roman"/>
                <w:sz w:val="20"/>
                <w:szCs w:val="20"/>
              </w:rPr>
            </w:pPr>
          </w:p>
        </w:tc>
        <w:tc>
          <w:tcPr>
            <w:tcW w:w="1068" w:type="dxa"/>
            <w:tcBorders>
              <w:top w:val="nil"/>
              <w:left w:val="nil"/>
              <w:bottom w:val="nil"/>
              <w:right w:val="nil"/>
            </w:tcBorders>
            <w:shd w:val="clear" w:color="auto" w:fill="auto"/>
            <w:noWrap/>
            <w:vAlign w:val="bottom"/>
            <w:hideMark/>
          </w:tcPr>
          <w:p w14:paraId="2EB0CCD4" w14:textId="77777777" w:rsidR="00AE0B52" w:rsidRPr="00AE0B52" w:rsidRDefault="00AE0B52" w:rsidP="00AE0B52">
            <w:pPr>
              <w:jc w:val="center"/>
              <w:rPr>
                <w:rFonts w:eastAsia="Times New Roman"/>
                <w:sz w:val="20"/>
                <w:szCs w:val="20"/>
              </w:rPr>
            </w:pPr>
          </w:p>
        </w:tc>
      </w:tr>
      <w:tr w:rsidR="00AE0B52" w:rsidRPr="00AE0B52" w14:paraId="3BEA087D" w14:textId="77777777" w:rsidTr="00AE0B52">
        <w:trPr>
          <w:trHeight w:val="440"/>
        </w:trPr>
        <w:tc>
          <w:tcPr>
            <w:tcW w:w="2300" w:type="dxa"/>
            <w:tcBorders>
              <w:top w:val="nil"/>
              <w:left w:val="nil"/>
              <w:bottom w:val="nil"/>
              <w:right w:val="nil"/>
            </w:tcBorders>
            <w:shd w:val="clear" w:color="auto" w:fill="auto"/>
            <w:vAlign w:val="center"/>
            <w:hideMark/>
          </w:tcPr>
          <w:p w14:paraId="7B186E30"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Psychosis Not Otherwise Specified</w:t>
            </w:r>
          </w:p>
        </w:tc>
        <w:tc>
          <w:tcPr>
            <w:tcW w:w="1720" w:type="dxa"/>
            <w:tcBorders>
              <w:top w:val="nil"/>
              <w:left w:val="nil"/>
              <w:bottom w:val="nil"/>
              <w:right w:val="nil"/>
            </w:tcBorders>
            <w:shd w:val="clear" w:color="auto" w:fill="auto"/>
            <w:noWrap/>
            <w:vAlign w:val="center"/>
            <w:hideMark/>
          </w:tcPr>
          <w:p w14:paraId="73481CEC"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6 (7)</w:t>
            </w:r>
          </w:p>
        </w:tc>
        <w:tc>
          <w:tcPr>
            <w:tcW w:w="1780" w:type="dxa"/>
            <w:tcBorders>
              <w:top w:val="nil"/>
              <w:left w:val="nil"/>
              <w:bottom w:val="nil"/>
              <w:right w:val="nil"/>
            </w:tcBorders>
            <w:shd w:val="clear" w:color="auto" w:fill="auto"/>
            <w:vAlign w:val="center"/>
            <w:hideMark/>
          </w:tcPr>
          <w:p w14:paraId="308A82BF" w14:textId="77777777" w:rsidR="00AE0B52" w:rsidRPr="00AE0B52" w:rsidRDefault="00AE0B52" w:rsidP="00AE0B52">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6 (13)</w:t>
            </w:r>
          </w:p>
        </w:tc>
        <w:tc>
          <w:tcPr>
            <w:tcW w:w="1182" w:type="dxa"/>
            <w:tcBorders>
              <w:top w:val="nil"/>
              <w:left w:val="nil"/>
              <w:bottom w:val="nil"/>
              <w:right w:val="nil"/>
            </w:tcBorders>
            <w:shd w:val="clear" w:color="auto" w:fill="auto"/>
            <w:noWrap/>
            <w:vAlign w:val="bottom"/>
            <w:hideMark/>
          </w:tcPr>
          <w:p w14:paraId="4CC69A59" w14:textId="77777777" w:rsidR="00AE0B52" w:rsidRPr="00AE0B52" w:rsidRDefault="00AE0B52" w:rsidP="00AE0B52">
            <w:pPr>
              <w:jc w:val="center"/>
              <w:rPr>
                <w:rFonts w:ascii="Arial" w:eastAsia="Times New Roman" w:hAnsi="Arial" w:cs="Arial"/>
                <w:color w:val="000000"/>
                <w:sz w:val="16"/>
                <w:szCs w:val="16"/>
              </w:rPr>
            </w:pPr>
          </w:p>
        </w:tc>
        <w:tc>
          <w:tcPr>
            <w:tcW w:w="630" w:type="dxa"/>
            <w:tcBorders>
              <w:top w:val="nil"/>
              <w:left w:val="nil"/>
              <w:bottom w:val="nil"/>
              <w:right w:val="nil"/>
            </w:tcBorders>
            <w:shd w:val="clear" w:color="auto" w:fill="auto"/>
            <w:noWrap/>
            <w:vAlign w:val="bottom"/>
            <w:hideMark/>
          </w:tcPr>
          <w:p w14:paraId="7A1C34AD" w14:textId="77777777" w:rsidR="00AE0B52" w:rsidRPr="00AE0B52" w:rsidRDefault="00AE0B52" w:rsidP="00AE0B52">
            <w:pPr>
              <w:jc w:val="center"/>
              <w:rPr>
                <w:rFonts w:eastAsia="Times New Roman"/>
                <w:sz w:val="20"/>
                <w:szCs w:val="20"/>
              </w:rPr>
            </w:pPr>
          </w:p>
        </w:tc>
        <w:tc>
          <w:tcPr>
            <w:tcW w:w="1068" w:type="dxa"/>
            <w:tcBorders>
              <w:top w:val="nil"/>
              <w:left w:val="nil"/>
              <w:bottom w:val="nil"/>
              <w:right w:val="nil"/>
            </w:tcBorders>
            <w:shd w:val="clear" w:color="auto" w:fill="auto"/>
            <w:noWrap/>
            <w:vAlign w:val="bottom"/>
            <w:hideMark/>
          </w:tcPr>
          <w:p w14:paraId="271DC3B7" w14:textId="77777777" w:rsidR="00AE0B52" w:rsidRPr="00AE0B52" w:rsidRDefault="00AE0B52" w:rsidP="00AE0B52">
            <w:pPr>
              <w:jc w:val="center"/>
              <w:rPr>
                <w:rFonts w:eastAsia="Times New Roman"/>
                <w:sz w:val="20"/>
                <w:szCs w:val="20"/>
              </w:rPr>
            </w:pPr>
          </w:p>
        </w:tc>
      </w:tr>
      <w:tr w:rsidR="00AE0B52" w:rsidRPr="00AE0B52" w14:paraId="0520AE19" w14:textId="77777777" w:rsidTr="00AE0B52">
        <w:trPr>
          <w:trHeight w:val="320"/>
        </w:trPr>
        <w:tc>
          <w:tcPr>
            <w:tcW w:w="2300" w:type="dxa"/>
            <w:tcBorders>
              <w:top w:val="nil"/>
              <w:left w:val="nil"/>
              <w:bottom w:val="nil"/>
              <w:right w:val="nil"/>
            </w:tcBorders>
            <w:shd w:val="clear" w:color="000000" w:fill="D0CECE"/>
            <w:vAlign w:val="center"/>
            <w:hideMark/>
          </w:tcPr>
          <w:p w14:paraId="1C54886A"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 </w:t>
            </w:r>
          </w:p>
        </w:tc>
        <w:tc>
          <w:tcPr>
            <w:tcW w:w="3500" w:type="dxa"/>
            <w:gridSpan w:val="2"/>
            <w:tcBorders>
              <w:top w:val="nil"/>
              <w:left w:val="nil"/>
              <w:bottom w:val="nil"/>
              <w:right w:val="nil"/>
            </w:tcBorders>
            <w:shd w:val="clear" w:color="000000" w:fill="D0CECE"/>
            <w:noWrap/>
            <w:vAlign w:val="center"/>
            <w:hideMark/>
          </w:tcPr>
          <w:p w14:paraId="72021EA6" w14:textId="77777777" w:rsidR="00AE0B52" w:rsidRPr="00AE0B52" w:rsidRDefault="00AE0B52" w:rsidP="00AE0B52">
            <w:pPr>
              <w:jc w:val="center"/>
              <w:rPr>
                <w:rFonts w:ascii="Arial" w:eastAsia="Times New Roman" w:hAnsi="Arial" w:cs="Arial"/>
                <w:b/>
                <w:bCs/>
                <w:color w:val="000000"/>
                <w:sz w:val="20"/>
                <w:szCs w:val="20"/>
              </w:rPr>
            </w:pPr>
            <w:r w:rsidRPr="00AE0B52">
              <w:rPr>
                <w:rFonts w:ascii="Arial" w:eastAsia="Times New Roman" w:hAnsi="Arial" w:cs="Arial"/>
                <w:b/>
                <w:bCs/>
                <w:color w:val="000000"/>
                <w:sz w:val="20"/>
                <w:szCs w:val="20"/>
              </w:rPr>
              <w:t>Mean (SD)</w:t>
            </w:r>
          </w:p>
        </w:tc>
        <w:tc>
          <w:tcPr>
            <w:tcW w:w="1182" w:type="dxa"/>
            <w:tcBorders>
              <w:top w:val="nil"/>
              <w:left w:val="nil"/>
              <w:bottom w:val="nil"/>
              <w:right w:val="nil"/>
            </w:tcBorders>
            <w:shd w:val="clear" w:color="000000" w:fill="D0CECE"/>
            <w:noWrap/>
            <w:vAlign w:val="bottom"/>
            <w:hideMark/>
          </w:tcPr>
          <w:p w14:paraId="565EC5D5" w14:textId="77777777" w:rsidR="00AE0B52" w:rsidRPr="00AE0B52" w:rsidRDefault="00AE0B52" w:rsidP="00AE0B52">
            <w:pPr>
              <w:jc w:val="center"/>
              <w:rPr>
                <w:rFonts w:ascii="Arial" w:eastAsia="Times New Roman" w:hAnsi="Arial" w:cs="Arial"/>
                <w:b/>
                <w:bCs/>
                <w:color w:val="000000"/>
                <w:sz w:val="20"/>
                <w:szCs w:val="20"/>
              </w:rPr>
            </w:pPr>
            <w:r w:rsidRPr="00AE0B52">
              <w:rPr>
                <w:rFonts w:ascii="Arial" w:eastAsia="Times New Roman" w:hAnsi="Arial" w:cs="Arial"/>
                <w:b/>
                <w:bCs/>
                <w:color w:val="000000"/>
                <w:sz w:val="20"/>
                <w:szCs w:val="20"/>
              </w:rPr>
              <w:t>Statistic</w:t>
            </w:r>
          </w:p>
        </w:tc>
        <w:tc>
          <w:tcPr>
            <w:tcW w:w="630" w:type="dxa"/>
            <w:tcBorders>
              <w:top w:val="nil"/>
              <w:left w:val="nil"/>
              <w:bottom w:val="nil"/>
              <w:right w:val="nil"/>
            </w:tcBorders>
            <w:shd w:val="clear" w:color="000000" w:fill="D0CECE"/>
            <w:noWrap/>
            <w:vAlign w:val="bottom"/>
            <w:hideMark/>
          </w:tcPr>
          <w:p w14:paraId="0CD85C37" w14:textId="77777777" w:rsidR="00AE0B52" w:rsidRPr="00AE0B52" w:rsidRDefault="00AE0B52" w:rsidP="00AE0B52">
            <w:pPr>
              <w:jc w:val="center"/>
              <w:rPr>
                <w:rFonts w:ascii="Arial" w:eastAsia="Times New Roman" w:hAnsi="Arial" w:cs="Arial"/>
                <w:b/>
                <w:bCs/>
                <w:color w:val="000000"/>
                <w:sz w:val="20"/>
                <w:szCs w:val="20"/>
              </w:rPr>
            </w:pPr>
            <w:r w:rsidRPr="00AE0B52">
              <w:rPr>
                <w:rFonts w:ascii="Arial" w:eastAsia="Times New Roman" w:hAnsi="Arial" w:cs="Arial"/>
                <w:b/>
                <w:bCs/>
                <w:color w:val="000000"/>
                <w:sz w:val="20"/>
                <w:szCs w:val="20"/>
              </w:rPr>
              <w:t>df</w:t>
            </w:r>
          </w:p>
        </w:tc>
        <w:tc>
          <w:tcPr>
            <w:tcW w:w="1068" w:type="dxa"/>
            <w:tcBorders>
              <w:top w:val="nil"/>
              <w:left w:val="nil"/>
              <w:bottom w:val="nil"/>
              <w:right w:val="nil"/>
            </w:tcBorders>
            <w:shd w:val="clear" w:color="000000" w:fill="D0CECE"/>
            <w:noWrap/>
            <w:vAlign w:val="bottom"/>
            <w:hideMark/>
          </w:tcPr>
          <w:p w14:paraId="635669AB" w14:textId="77777777" w:rsidR="00AE0B52" w:rsidRPr="00AE0B52" w:rsidRDefault="00AE0B52" w:rsidP="00AE0B52">
            <w:pPr>
              <w:jc w:val="center"/>
              <w:rPr>
                <w:rFonts w:ascii="Arial" w:eastAsia="Times New Roman" w:hAnsi="Arial" w:cs="Arial"/>
                <w:b/>
                <w:bCs/>
                <w:color w:val="000000"/>
                <w:sz w:val="20"/>
                <w:szCs w:val="20"/>
              </w:rPr>
            </w:pPr>
            <w:r w:rsidRPr="00AE0B52">
              <w:rPr>
                <w:rFonts w:ascii="Arial" w:eastAsia="Times New Roman" w:hAnsi="Arial" w:cs="Arial"/>
                <w:b/>
                <w:bCs/>
                <w:color w:val="000000"/>
                <w:sz w:val="20"/>
                <w:szCs w:val="20"/>
              </w:rPr>
              <w:t>p-value</w:t>
            </w:r>
          </w:p>
        </w:tc>
      </w:tr>
      <w:tr w:rsidR="00AE0B52" w:rsidRPr="00AE0B52" w14:paraId="7209940D" w14:textId="77777777" w:rsidTr="00F50223">
        <w:trPr>
          <w:trHeight w:val="320"/>
        </w:trPr>
        <w:tc>
          <w:tcPr>
            <w:tcW w:w="2300" w:type="dxa"/>
            <w:tcBorders>
              <w:top w:val="nil"/>
              <w:left w:val="nil"/>
              <w:bottom w:val="nil"/>
              <w:right w:val="nil"/>
            </w:tcBorders>
            <w:shd w:val="clear" w:color="auto" w:fill="auto"/>
            <w:vAlign w:val="center"/>
            <w:hideMark/>
          </w:tcPr>
          <w:p w14:paraId="51C3BAEA" w14:textId="473CCDB1"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Age</w:t>
            </w:r>
          </w:p>
        </w:tc>
        <w:tc>
          <w:tcPr>
            <w:tcW w:w="1720" w:type="dxa"/>
            <w:tcBorders>
              <w:top w:val="nil"/>
              <w:left w:val="nil"/>
              <w:bottom w:val="nil"/>
              <w:right w:val="nil"/>
            </w:tcBorders>
            <w:shd w:val="clear" w:color="auto" w:fill="auto"/>
            <w:noWrap/>
            <w:vAlign w:val="center"/>
            <w:hideMark/>
          </w:tcPr>
          <w:p w14:paraId="5CE687EF"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24.3 (4.1)</w:t>
            </w:r>
          </w:p>
        </w:tc>
        <w:tc>
          <w:tcPr>
            <w:tcW w:w="1780" w:type="dxa"/>
            <w:tcBorders>
              <w:top w:val="nil"/>
              <w:left w:val="nil"/>
              <w:bottom w:val="nil"/>
              <w:right w:val="nil"/>
            </w:tcBorders>
            <w:shd w:val="clear" w:color="auto" w:fill="auto"/>
            <w:vAlign w:val="center"/>
            <w:hideMark/>
          </w:tcPr>
          <w:p w14:paraId="12F9CF5E"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23.7 (4.0)</w:t>
            </w:r>
          </w:p>
        </w:tc>
        <w:tc>
          <w:tcPr>
            <w:tcW w:w="1182" w:type="dxa"/>
            <w:tcBorders>
              <w:top w:val="nil"/>
              <w:left w:val="nil"/>
              <w:bottom w:val="nil"/>
              <w:right w:val="nil"/>
            </w:tcBorders>
            <w:shd w:val="clear" w:color="auto" w:fill="auto"/>
            <w:noWrap/>
            <w:vAlign w:val="center"/>
            <w:hideMark/>
          </w:tcPr>
          <w:p w14:paraId="14950013" w14:textId="1987C000" w:rsidR="00AE0B52" w:rsidRPr="008237BF" w:rsidRDefault="008237BF" w:rsidP="00F50223">
            <w:pPr>
              <w:jc w:val="center"/>
              <w:rPr>
                <w:rFonts w:ascii="Arial" w:eastAsia="Times New Roman" w:hAnsi="Arial" w:cs="Arial"/>
                <w:color w:val="000000"/>
                <w:sz w:val="16"/>
                <w:szCs w:val="16"/>
              </w:rPr>
            </w:pPr>
            <w:r>
              <w:rPr>
                <w:rFonts w:ascii="Arial" w:hAnsi="Arial" w:cs="Arial"/>
                <w:sz w:val="16"/>
                <w:szCs w:val="16"/>
                <w:lang w:val="en-CA"/>
              </w:rPr>
              <w:t>U=1893.5</w:t>
            </w:r>
          </w:p>
        </w:tc>
        <w:tc>
          <w:tcPr>
            <w:tcW w:w="630" w:type="dxa"/>
            <w:tcBorders>
              <w:top w:val="nil"/>
              <w:left w:val="nil"/>
              <w:bottom w:val="nil"/>
              <w:right w:val="nil"/>
            </w:tcBorders>
            <w:shd w:val="clear" w:color="auto" w:fill="auto"/>
            <w:noWrap/>
            <w:vAlign w:val="center"/>
            <w:hideMark/>
          </w:tcPr>
          <w:p w14:paraId="333091D9" w14:textId="5EA7B07D" w:rsidR="00AE0B52" w:rsidRPr="00AE0B52" w:rsidRDefault="00AE0B52" w:rsidP="00F50223">
            <w:pPr>
              <w:jc w:val="center"/>
              <w:rPr>
                <w:rFonts w:ascii="Arial" w:eastAsia="Times New Roman" w:hAnsi="Arial" w:cs="Arial"/>
                <w:color w:val="000000"/>
                <w:sz w:val="16"/>
                <w:szCs w:val="16"/>
              </w:rPr>
            </w:pPr>
          </w:p>
        </w:tc>
        <w:tc>
          <w:tcPr>
            <w:tcW w:w="1068" w:type="dxa"/>
            <w:tcBorders>
              <w:top w:val="nil"/>
              <w:left w:val="nil"/>
              <w:bottom w:val="nil"/>
              <w:right w:val="nil"/>
            </w:tcBorders>
            <w:shd w:val="clear" w:color="auto" w:fill="auto"/>
            <w:noWrap/>
            <w:vAlign w:val="center"/>
            <w:hideMark/>
          </w:tcPr>
          <w:p w14:paraId="69580D78"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0.4</w:t>
            </w:r>
          </w:p>
        </w:tc>
      </w:tr>
      <w:tr w:rsidR="00AE0B52" w:rsidRPr="00AE0B52" w14:paraId="72CBE104" w14:textId="77777777" w:rsidTr="00F50223">
        <w:trPr>
          <w:trHeight w:val="320"/>
        </w:trPr>
        <w:tc>
          <w:tcPr>
            <w:tcW w:w="2300" w:type="dxa"/>
            <w:tcBorders>
              <w:top w:val="nil"/>
              <w:left w:val="nil"/>
              <w:bottom w:val="nil"/>
              <w:right w:val="nil"/>
            </w:tcBorders>
            <w:shd w:val="clear" w:color="auto" w:fill="auto"/>
            <w:vAlign w:val="center"/>
            <w:hideMark/>
          </w:tcPr>
          <w:p w14:paraId="7481A04B" w14:textId="453383F3"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 xml:space="preserve">Verbal Memory </w:t>
            </w:r>
            <w:r w:rsidR="006174C3">
              <w:rPr>
                <w:rFonts w:ascii="Arial" w:eastAsia="Times New Roman" w:hAnsi="Arial" w:cs="Arial"/>
                <w:color w:val="000000"/>
                <w:sz w:val="16"/>
                <w:szCs w:val="16"/>
              </w:rPr>
              <w:t>–</w:t>
            </w:r>
            <w:r w:rsidRPr="00AE0B52">
              <w:rPr>
                <w:rFonts w:ascii="Arial" w:eastAsia="Times New Roman" w:hAnsi="Arial" w:cs="Arial"/>
                <w:color w:val="000000"/>
                <w:sz w:val="16"/>
                <w:szCs w:val="16"/>
              </w:rPr>
              <w:t xml:space="preserve"> Immediate</w:t>
            </w:r>
            <w:r w:rsidR="006174C3">
              <w:rPr>
                <w:rFonts w:ascii="Arial" w:eastAsia="Times New Roman" w:hAnsi="Arial" w:cs="Arial"/>
                <w:color w:val="000000"/>
                <w:sz w:val="16"/>
                <w:szCs w:val="16"/>
                <w:vertAlign w:val="superscript"/>
              </w:rPr>
              <w:t>b</w:t>
            </w:r>
          </w:p>
        </w:tc>
        <w:tc>
          <w:tcPr>
            <w:tcW w:w="1720" w:type="dxa"/>
            <w:tcBorders>
              <w:top w:val="nil"/>
              <w:left w:val="nil"/>
              <w:bottom w:val="nil"/>
              <w:right w:val="nil"/>
            </w:tcBorders>
            <w:shd w:val="clear" w:color="auto" w:fill="auto"/>
            <w:noWrap/>
            <w:vAlign w:val="center"/>
            <w:hideMark/>
          </w:tcPr>
          <w:p w14:paraId="2BEF5AE7"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-1.3 (1.4) [87]</w:t>
            </w:r>
          </w:p>
        </w:tc>
        <w:tc>
          <w:tcPr>
            <w:tcW w:w="1780" w:type="dxa"/>
            <w:tcBorders>
              <w:top w:val="nil"/>
              <w:left w:val="nil"/>
              <w:bottom w:val="nil"/>
              <w:right w:val="nil"/>
            </w:tcBorders>
            <w:shd w:val="clear" w:color="auto" w:fill="auto"/>
            <w:vAlign w:val="center"/>
            <w:hideMark/>
          </w:tcPr>
          <w:p w14:paraId="187F1AED"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-1.3 (1.3)</w:t>
            </w:r>
          </w:p>
        </w:tc>
        <w:tc>
          <w:tcPr>
            <w:tcW w:w="1182" w:type="dxa"/>
            <w:tcBorders>
              <w:top w:val="nil"/>
              <w:left w:val="nil"/>
              <w:bottom w:val="nil"/>
              <w:right w:val="nil"/>
            </w:tcBorders>
            <w:shd w:val="clear" w:color="auto" w:fill="auto"/>
            <w:noWrap/>
            <w:vAlign w:val="center"/>
            <w:hideMark/>
          </w:tcPr>
          <w:p w14:paraId="5F38A2C1"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F=0.1</w:t>
            </w:r>
          </w:p>
        </w:tc>
        <w:tc>
          <w:tcPr>
            <w:tcW w:w="630" w:type="dxa"/>
            <w:tcBorders>
              <w:top w:val="nil"/>
              <w:left w:val="nil"/>
              <w:bottom w:val="nil"/>
              <w:right w:val="nil"/>
            </w:tcBorders>
            <w:shd w:val="clear" w:color="auto" w:fill="auto"/>
            <w:noWrap/>
            <w:vAlign w:val="center"/>
            <w:hideMark/>
          </w:tcPr>
          <w:p w14:paraId="1AC8A9D8"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1,130</w:t>
            </w:r>
          </w:p>
        </w:tc>
        <w:tc>
          <w:tcPr>
            <w:tcW w:w="1068" w:type="dxa"/>
            <w:tcBorders>
              <w:top w:val="nil"/>
              <w:left w:val="nil"/>
              <w:bottom w:val="nil"/>
              <w:right w:val="nil"/>
            </w:tcBorders>
            <w:shd w:val="clear" w:color="auto" w:fill="auto"/>
            <w:noWrap/>
            <w:vAlign w:val="center"/>
            <w:hideMark/>
          </w:tcPr>
          <w:p w14:paraId="1F28943E"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0.8</w:t>
            </w:r>
          </w:p>
        </w:tc>
      </w:tr>
      <w:tr w:rsidR="00AE0B52" w:rsidRPr="00AE0B52" w14:paraId="7DBDC7DD" w14:textId="77777777" w:rsidTr="00F50223">
        <w:trPr>
          <w:trHeight w:val="320"/>
        </w:trPr>
        <w:tc>
          <w:tcPr>
            <w:tcW w:w="2300" w:type="dxa"/>
            <w:tcBorders>
              <w:top w:val="nil"/>
              <w:left w:val="nil"/>
              <w:bottom w:val="nil"/>
              <w:right w:val="nil"/>
            </w:tcBorders>
            <w:shd w:val="clear" w:color="auto" w:fill="auto"/>
            <w:vAlign w:val="center"/>
            <w:hideMark/>
          </w:tcPr>
          <w:p w14:paraId="12845622" w14:textId="0810CB81"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 xml:space="preserve">Verbal Memory </w:t>
            </w:r>
            <w:r w:rsidR="006174C3">
              <w:rPr>
                <w:rFonts w:ascii="Arial" w:eastAsia="Times New Roman" w:hAnsi="Arial" w:cs="Arial"/>
                <w:color w:val="000000"/>
                <w:sz w:val="16"/>
                <w:szCs w:val="16"/>
              </w:rPr>
              <w:t>–</w:t>
            </w:r>
            <w:r w:rsidRPr="00AE0B52">
              <w:rPr>
                <w:rFonts w:ascii="Arial" w:eastAsia="Times New Roman" w:hAnsi="Arial" w:cs="Arial"/>
                <w:color w:val="000000"/>
                <w:sz w:val="16"/>
                <w:szCs w:val="16"/>
              </w:rPr>
              <w:t xml:space="preserve"> Delayed</w:t>
            </w:r>
            <w:r w:rsidR="006174C3">
              <w:rPr>
                <w:rFonts w:ascii="Arial" w:eastAsia="Times New Roman" w:hAnsi="Arial" w:cs="Arial"/>
                <w:color w:val="000000"/>
                <w:sz w:val="16"/>
                <w:szCs w:val="16"/>
                <w:vertAlign w:val="superscript"/>
              </w:rPr>
              <w:t>b</w:t>
            </w:r>
          </w:p>
        </w:tc>
        <w:tc>
          <w:tcPr>
            <w:tcW w:w="1720" w:type="dxa"/>
            <w:tcBorders>
              <w:top w:val="nil"/>
              <w:left w:val="nil"/>
              <w:bottom w:val="nil"/>
              <w:right w:val="nil"/>
            </w:tcBorders>
            <w:shd w:val="clear" w:color="auto" w:fill="auto"/>
            <w:noWrap/>
            <w:vAlign w:val="center"/>
            <w:hideMark/>
          </w:tcPr>
          <w:p w14:paraId="79E91D9B"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-0.9 (1.1) [87]</w:t>
            </w:r>
          </w:p>
        </w:tc>
        <w:tc>
          <w:tcPr>
            <w:tcW w:w="1780" w:type="dxa"/>
            <w:tcBorders>
              <w:top w:val="nil"/>
              <w:left w:val="nil"/>
              <w:bottom w:val="nil"/>
              <w:right w:val="nil"/>
            </w:tcBorders>
            <w:shd w:val="clear" w:color="auto" w:fill="auto"/>
            <w:vAlign w:val="center"/>
            <w:hideMark/>
          </w:tcPr>
          <w:p w14:paraId="7F21B98B"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-0.9 (1.0)</w:t>
            </w:r>
          </w:p>
        </w:tc>
        <w:tc>
          <w:tcPr>
            <w:tcW w:w="1182" w:type="dxa"/>
            <w:tcBorders>
              <w:top w:val="nil"/>
              <w:left w:val="nil"/>
              <w:bottom w:val="nil"/>
              <w:right w:val="nil"/>
            </w:tcBorders>
            <w:shd w:val="clear" w:color="auto" w:fill="auto"/>
            <w:noWrap/>
            <w:vAlign w:val="center"/>
            <w:hideMark/>
          </w:tcPr>
          <w:p w14:paraId="4BD7FB9D"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F=0.02</w:t>
            </w:r>
          </w:p>
        </w:tc>
        <w:tc>
          <w:tcPr>
            <w:tcW w:w="630" w:type="dxa"/>
            <w:tcBorders>
              <w:top w:val="nil"/>
              <w:left w:val="nil"/>
              <w:bottom w:val="nil"/>
              <w:right w:val="nil"/>
            </w:tcBorders>
            <w:shd w:val="clear" w:color="auto" w:fill="auto"/>
            <w:noWrap/>
            <w:vAlign w:val="center"/>
            <w:hideMark/>
          </w:tcPr>
          <w:p w14:paraId="37DC8217"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1,130</w:t>
            </w:r>
          </w:p>
        </w:tc>
        <w:tc>
          <w:tcPr>
            <w:tcW w:w="1068" w:type="dxa"/>
            <w:tcBorders>
              <w:top w:val="nil"/>
              <w:left w:val="nil"/>
              <w:bottom w:val="nil"/>
              <w:right w:val="nil"/>
            </w:tcBorders>
            <w:shd w:val="clear" w:color="auto" w:fill="auto"/>
            <w:noWrap/>
            <w:vAlign w:val="center"/>
            <w:hideMark/>
          </w:tcPr>
          <w:p w14:paraId="21776DD8"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0.9</w:t>
            </w:r>
          </w:p>
        </w:tc>
      </w:tr>
      <w:tr w:rsidR="00AE0B52" w:rsidRPr="00AE0B52" w14:paraId="218374F2" w14:textId="77777777" w:rsidTr="00F50223">
        <w:trPr>
          <w:trHeight w:val="320"/>
        </w:trPr>
        <w:tc>
          <w:tcPr>
            <w:tcW w:w="2300" w:type="dxa"/>
            <w:tcBorders>
              <w:top w:val="nil"/>
              <w:left w:val="nil"/>
              <w:bottom w:val="nil"/>
              <w:right w:val="nil"/>
            </w:tcBorders>
            <w:shd w:val="clear" w:color="auto" w:fill="auto"/>
            <w:vAlign w:val="center"/>
            <w:hideMark/>
          </w:tcPr>
          <w:p w14:paraId="74A965AA" w14:textId="44B09A3F"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Education in Years</w:t>
            </w:r>
          </w:p>
        </w:tc>
        <w:tc>
          <w:tcPr>
            <w:tcW w:w="1720" w:type="dxa"/>
            <w:tcBorders>
              <w:top w:val="nil"/>
              <w:left w:val="nil"/>
              <w:bottom w:val="nil"/>
              <w:right w:val="nil"/>
            </w:tcBorders>
            <w:shd w:val="clear" w:color="auto" w:fill="auto"/>
            <w:noWrap/>
            <w:vAlign w:val="center"/>
            <w:hideMark/>
          </w:tcPr>
          <w:p w14:paraId="21AE18AE"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12.0 (2.5)</w:t>
            </w:r>
          </w:p>
        </w:tc>
        <w:tc>
          <w:tcPr>
            <w:tcW w:w="1780" w:type="dxa"/>
            <w:tcBorders>
              <w:top w:val="nil"/>
              <w:left w:val="nil"/>
              <w:bottom w:val="nil"/>
              <w:right w:val="nil"/>
            </w:tcBorders>
            <w:shd w:val="clear" w:color="auto" w:fill="auto"/>
            <w:vAlign w:val="center"/>
            <w:hideMark/>
          </w:tcPr>
          <w:p w14:paraId="2EF590AC"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11.8 (2.6)</w:t>
            </w:r>
          </w:p>
        </w:tc>
        <w:tc>
          <w:tcPr>
            <w:tcW w:w="1182" w:type="dxa"/>
            <w:tcBorders>
              <w:top w:val="nil"/>
              <w:left w:val="nil"/>
              <w:bottom w:val="nil"/>
              <w:right w:val="nil"/>
            </w:tcBorders>
            <w:shd w:val="clear" w:color="auto" w:fill="auto"/>
            <w:noWrap/>
            <w:vAlign w:val="center"/>
            <w:hideMark/>
          </w:tcPr>
          <w:p w14:paraId="1DBBD893"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t=0.4</w:t>
            </w:r>
          </w:p>
        </w:tc>
        <w:tc>
          <w:tcPr>
            <w:tcW w:w="630" w:type="dxa"/>
            <w:tcBorders>
              <w:top w:val="nil"/>
              <w:left w:val="nil"/>
              <w:bottom w:val="nil"/>
              <w:right w:val="nil"/>
            </w:tcBorders>
            <w:shd w:val="clear" w:color="auto" w:fill="auto"/>
            <w:noWrap/>
            <w:vAlign w:val="center"/>
            <w:hideMark/>
          </w:tcPr>
          <w:p w14:paraId="4A703AD2"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133</w:t>
            </w:r>
          </w:p>
        </w:tc>
        <w:tc>
          <w:tcPr>
            <w:tcW w:w="1068" w:type="dxa"/>
            <w:tcBorders>
              <w:top w:val="nil"/>
              <w:left w:val="nil"/>
              <w:bottom w:val="nil"/>
              <w:right w:val="nil"/>
            </w:tcBorders>
            <w:shd w:val="clear" w:color="auto" w:fill="auto"/>
            <w:noWrap/>
            <w:vAlign w:val="center"/>
            <w:hideMark/>
          </w:tcPr>
          <w:p w14:paraId="4E8D65B3"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0.67</w:t>
            </w:r>
          </w:p>
        </w:tc>
      </w:tr>
      <w:tr w:rsidR="00AE0B52" w:rsidRPr="00AE0B52" w14:paraId="6F8A6EEE" w14:textId="77777777" w:rsidTr="00F50223">
        <w:trPr>
          <w:trHeight w:val="320"/>
        </w:trPr>
        <w:tc>
          <w:tcPr>
            <w:tcW w:w="2300" w:type="dxa"/>
            <w:tcBorders>
              <w:top w:val="nil"/>
              <w:left w:val="nil"/>
              <w:bottom w:val="nil"/>
              <w:right w:val="nil"/>
            </w:tcBorders>
            <w:shd w:val="clear" w:color="auto" w:fill="auto"/>
            <w:vAlign w:val="center"/>
            <w:hideMark/>
          </w:tcPr>
          <w:p w14:paraId="4B2A377D"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Socioeconomic Status</w:t>
            </w:r>
          </w:p>
        </w:tc>
        <w:tc>
          <w:tcPr>
            <w:tcW w:w="1720" w:type="dxa"/>
            <w:tcBorders>
              <w:top w:val="nil"/>
              <w:left w:val="nil"/>
              <w:bottom w:val="nil"/>
              <w:right w:val="nil"/>
            </w:tcBorders>
            <w:shd w:val="clear" w:color="auto" w:fill="auto"/>
            <w:noWrap/>
            <w:vAlign w:val="center"/>
            <w:hideMark/>
          </w:tcPr>
          <w:p w14:paraId="2D9F8C81"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3.2 (1.1) [81]</w:t>
            </w:r>
          </w:p>
        </w:tc>
        <w:tc>
          <w:tcPr>
            <w:tcW w:w="1780" w:type="dxa"/>
            <w:tcBorders>
              <w:top w:val="nil"/>
              <w:left w:val="nil"/>
              <w:bottom w:val="nil"/>
              <w:right w:val="nil"/>
            </w:tcBorders>
            <w:shd w:val="clear" w:color="auto" w:fill="auto"/>
            <w:vAlign w:val="center"/>
            <w:hideMark/>
          </w:tcPr>
          <w:p w14:paraId="5CDDFF63"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3.2 (1.1) [41]</w:t>
            </w:r>
          </w:p>
        </w:tc>
        <w:tc>
          <w:tcPr>
            <w:tcW w:w="1182" w:type="dxa"/>
            <w:tcBorders>
              <w:top w:val="nil"/>
              <w:left w:val="nil"/>
              <w:bottom w:val="nil"/>
              <w:right w:val="nil"/>
            </w:tcBorders>
            <w:shd w:val="clear" w:color="auto" w:fill="auto"/>
            <w:noWrap/>
            <w:vAlign w:val="center"/>
            <w:hideMark/>
          </w:tcPr>
          <w:p w14:paraId="4B9B6097" w14:textId="6DEA4DC6" w:rsidR="00AE0B52" w:rsidRPr="00AE0B52" w:rsidRDefault="008237BF" w:rsidP="00F50223">
            <w:pPr>
              <w:jc w:val="center"/>
              <w:rPr>
                <w:rFonts w:ascii="Arial" w:eastAsia="Times New Roman" w:hAnsi="Arial" w:cs="Arial"/>
                <w:color w:val="000000"/>
                <w:sz w:val="16"/>
                <w:szCs w:val="16"/>
              </w:rPr>
            </w:pPr>
            <w:r>
              <w:rPr>
                <w:rFonts w:ascii="Arial" w:hAnsi="Arial" w:cs="Arial"/>
                <w:sz w:val="16"/>
                <w:szCs w:val="16"/>
                <w:lang w:val="en-CA"/>
              </w:rPr>
              <w:t>U=1588.5</w:t>
            </w:r>
          </w:p>
        </w:tc>
        <w:tc>
          <w:tcPr>
            <w:tcW w:w="630" w:type="dxa"/>
            <w:tcBorders>
              <w:top w:val="nil"/>
              <w:left w:val="nil"/>
              <w:bottom w:val="nil"/>
              <w:right w:val="nil"/>
            </w:tcBorders>
            <w:shd w:val="clear" w:color="auto" w:fill="auto"/>
            <w:noWrap/>
            <w:vAlign w:val="center"/>
            <w:hideMark/>
          </w:tcPr>
          <w:p w14:paraId="22D562B7" w14:textId="622A9249" w:rsidR="00AE0B52" w:rsidRPr="00AE0B52" w:rsidRDefault="00AE0B52" w:rsidP="00F50223">
            <w:pPr>
              <w:jc w:val="center"/>
              <w:rPr>
                <w:rFonts w:ascii="Arial" w:eastAsia="Times New Roman" w:hAnsi="Arial" w:cs="Arial"/>
                <w:color w:val="000000"/>
                <w:sz w:val="16"/>
                <w:szCs w:val="16"/>
              </w:rPr>
            </w:pPr>
          </w:p>
        </w:tc>
        <w:tc>
          <w:tcPr>
            <w:tcW w:w="1068" w:type="dxa"/>
            <w:tcBorders>
              <w:top w:val="nil"/>
              <w:left w:val="nil"/>
              <w:bottom w:val="nil"/>
              <w:right w:val="nil"/>
            </w:tcBorders>
            <w:shd w:val="clear" w:color="auto" w:fill="auto"/>
            <w:noWrap/>
            <w:vAlign w:val="center"/>
            <w:hideMark/>
          </w:tcPr>
          <w:p w14:paraId="6F38C27F"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0.7</w:t>
            </w:r>
          </w:p>
        </w:tc>
      </w:tr>
      <w:tr w:rsidR="00AE0B52" w:rsidRPr="00AE0B52" w14:paraId="3090075E" w14:textId="77777777" w:rsidTr="00F50223">
        <w:trPr>
          <w:trHeight w:val="320"/>
        </w:trPr>
        <w:tc>
          <w:tcPr>
            <w:tcW w:w="2300" w:type="dxa"/>
            <w:tcBorders>
              <w:top w:val="nil"/>
              <w:left w:val="nil"/>
              <w:bottom w:val="nil"/>
              <w:right w:val="nil"/>
            </w:tcBorders>
            <w:shd w:val="clear" w:color="auto" w:fill="auto"/>
            <w:vAlign w:val="center"/>
            <w:hideMark/>
          </w:tcPr>
          <w:p w14:paraId="2CCE96C6" w14:textId="663A8EF1"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Performance IQ</w:t>
            </w:r>
            <w:r w:rsidR="006174C3">
              <w:rPr>
                <w:rFonts w:ascii="Arial" w:eastAsia="Times New Roman" w:hAnsi="Arial" w:cs="Arial"/>
                <w:color w:val="000000"/>
                <w:sz w:val="16"/>
                <w:szCs w:val="16"/>
                <w:vertAlign w:val="superscript"/>
              </w:rPr>
              <w:t>b</w:t>
            </w:r>
          </w:p>
        </w:tc>
        <w:tc>
          <w:tcPr>
            <w:tcW w:w="1720" w:type="dxa"/>
            <w:tcBorders>
              <w:top w:val="nil"/>
              <w:left w:val="nil"/>
              <w:bottom w:val="nil"/>
              <w:right w:val="nil"/>
            </w:tcBorders>
            <w:shd w:val="clear" w:color="auto" w:fill="auto"/>
            <w:noWrap/>
            <w:vAlign w:val="center"/>
            <w:hideMark/>
          </w:tcPr>
          <w:p w14:paraId="0C7AFC94"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98.7 (17.1)</w:t>
            </w:r>
          </w:p>
        </w:tc>
        <w:tc>
          <w:tcPr>
            <w:tcW w:w="1780" w:type="dxa"/>
            <w:tcBorders>
              <w:top w:val="nil"/>
              <w:left w:val="nil"/>
              <w:bottom w:val="nil"/>
              <w:right w:val="nil"/>
            </w:tcBorders>
            <w:shd w:val="clear" w:color="auto" w:fill="auto"/>
            <w:vAlign w:val="center"/>
            <w:hideMark/>
          </w:tcPr>
          <w:p w14:paraId="65387AA7"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94.3 (14.2)</w:t>
            </w:r>
          </w:p>
        </w:tc>
        <w:tc>
          <w:tcPr>
            <w:tcW w:w="1182" w:type="dxa"/>
            <w:tcBorders>
              <w:top w:val="nil"/>
              <w:left w:val="nil"/>
              <w:bottom w:val="nil"/>
              <w:right w:val="nil"/>
            </w:tcBorders>
            <w:shd w:val="clear" w:color="auto" w:fill="auto"/>
            <w:noWrap/>
            <w:vAlign w:val="center"/>
            <w:hideMark/>
          </w:tcPr>
          <w:p w14:paraId="42C63E0C"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F=1.2</w:t>
            </w:r>
          </w:p>
        </w:tc>
        <w:tc>
          <w:tcPr>
            <w:tcW w:w="630" w:type="dxa"/>
            <w:tcBorders>
              <w:top w:val="nil"/>
              <w:left w:val="nil"/>
              <w:bottom w:val="nil"/>
              <w:right w:val="nil"/>
            </w:tcBorders>
            <w:shd w:val="clear" w:color="auto" w:fill="auto"/>
            <w:noWrap/>
            <w:vAlign w:val="center"/>
            <w:hideMark/>
          </w:tcPr>
          <w:p w14:paraId="4A4722FB"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1,131</w:t>
            </w:r>
          </w:p>
        </w:tc>
        <w:tc>
          <w:tcPr>
            <w:tcW w:w="1068" w:type="dxa"/>
            <w:tcBorders>
              <w:top w:val="nil"/>
              <w:left w:val="nil"/>
              <w:bottom w:val="nil"/>
              <w:right w:val="nil"/>
            </w:tcBorders>
            <w:shd w:val="clear" w:color="auto" w:fill="auto"/>
            <w:noWrap/>
            <w:vAlign w:val="center"/>
            <w:hideMark/>
          </w:tcPr>
          <w:p w14:paraId="2615E21C"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0.3</w:t>
            </w:r>
          </w:p>
        </w:tc>
      </w:tr>
      <w:tr w:rsidR="00AE0B52" w:rsidRPr="00AE0B52" w14:paraId="61F2F31A" w14:textId="77777777" w:rsidTr="00F50223">
        <w:trPr>
          <w:trHeight w:val="320"/>
        </w:trPr>
        <w:tc>
          <w:tcPr>
            <w:tcW w:w="2300" w:type="dxa"/>
            <w:tcBorders>
              <w:top w:val="nil"/>
              <w:left w:val="nil"/>
              <w:bottom w:val="nil"/>
              <w:right w:val="nil"/>
            </w:tcBorders>
            <w:shd w:val="clear" w:color="auto" w:fill="auto"/>
            <w:vAlign w:val="center"/>
            <w:hideMark/>
          </w:tcPr>
          <w:p w14:paraId="207767A9" w14:textId="32701AB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Verbal IQ</w:t>
            </w:r>
            <w:r w:rsidR="006174C3">
              <w:rPr>
                <w:rFonts w:ascii="Arial" w:eastAsia="Times New Roman" w:hAnsi="Arial" w:cs="Arial"/>
                <w:color w:val="000000"/>
                <w:sz w:val="16"/>
                <w:szCs w:val="16"/>
                <w:vertAlign w:val="superscript"/>
              </w:rPr>
              <w:t>b</w:t>
            </w:r>
          </w:p>
        </w:tc>
        <w:tc>
          <w:tcPr>
            <w:tcW w:w="1720" w:type="dxa"/>
            <w:tcBorders>
              <w:top w:val="nil"/>
              <w:left w:val="nil"/>
              <w:bottom w:val="nil"/>
              <w:right w:val="nil"/>
            </w:tcBorders>
            <w:shd w:val="clear" w:color="auto" w:fill="auto"/>
            <w:noWrap/>
            <w:vAlign w:val="center"/>
            <w:hideMark/>
          </w:tcPr>
          <w:p w14:paraId="1FD06EF3"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99.8 (16.1)</w:t>
            </w:r>
          </w:p>
        </w:tc>
        <w:tc>
          <w:tcPr>
            <w:tcW w:w="1780" w:type="dxa"/>
            <w:tcBorders>
              <w:top w:val="nil"/>
              <w:left w:val="nil"/>
              <w:bottom w:val="nil"/>
              <w:right w:val="nil"/>
            </w:tcBorders>
            <w:shd w:val="clear" w:color="auto" w:fill="auto"/>
            <w:vAlign w:val="center"/>
            <w:hideMark/>
          </w:tcPr>
          <w:p w14:paraId="1A3D2EBB"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97.7 (14.7)</w:t>
            </w:r>
          </w:p>
        </w:tc>
        <w:tc>
          <w:tcPr>
            <w:tcW w:w="1182" w:type="dxa"/>
            <w:tcBorders>
              <w:top w:val="nil"/>
              <w:left w:val="nil"/>
              <w:bottom w:val="nil"/>
              <w:right w:val="nil"/>
            </w:tcBorders>
            <w:shd w:val="clear" w:color="auto" w:fill="auto"/>
            <w:noWrap/>
            <w:vAlign w:val="center"/>
            <w:hideMark/>
          </w:tcPr>
          <w:p w14:paraId="3836763B"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F=0.6</w:t>
            </w:r>
          </w:p>
        </w:tc>
        <w:tc>
          <w:tcPr>
            <w:tcW w:w="630" w:type="dxa"/>
            <w:tcBorders>
              <w:top w:val="nil"/>
              <w:left w:val="nil"/>
              <w:bottom w:val="nil"/>
              <w:right w:val="nil"/>
            </w:tcBorders>
            <w:shd w:val="clear" w:color="auto" w:fill="auto"/>
            <w:noWrap/>
            <w:vAlign w:val="center"/>
            <w:hideMark/>
          </w:tcPr>
          <w:p w14:paraId="1C62750D"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1,131</w:t>
            </w:r>
          </w:p>
        </w:tc>
        <w:tc>
          <w:tcPr>
            <w:tcW w:w="1068" w:type="dxa"/>
            <w:tcBorders>
              <w:top w:val="nil"/>
              <w:left w:val="nil"/>
              <w:bottom w:val="nil"/>
              <w:right w:val="nil"/>
            </w:tcBorders>
            <w:shd w:val="clear" w:color="auto" w:fill="auto"/>
            <w:noWrap/>
            <w:vAlign w:val="center"/>
            <w:hideMark/>
          </w:tcPr>
          <w:p w14:paraId="08312F5F"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0.4</w:t>
            </w:r>
          </w:p>
        </w:tc>
      </w:tr>
      <w:tr w:rsidR="00AE0B52" w:rsidRPr="00AE0B52" w14:paraId="70257635" w14:textId="77777777" w:rsidTr="00F50223">
        <w:trPr>
          <w:trHeight w:val="440"/>
        </w:trPr>
        <w:tc>
          <w:tcPr>
            <w:tcW w:w="2300" w:type="dxa"/>
            <w:tcBorders>
              <w:top w:val="nil"/>
              <w:left w:val="nil"/>
              <w:bottom w:val="nil"/>
              <w:right w:val="nil"/>
            </w:tcBorders>
            <w:shd w:val="clear" w:color="auto" w:fill="auto"/>
            <w:vAlign w:val="center"/>
            <w:hideMark/>
          </w:tcPr>
          <w:p w14:paraId="40651100"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CPZ equivalent (in mg) with adherence</w:t>
            </w:r>
          </w:p>
        </w:tc>
        <w:tc>
          <w:tcPr>
            <w:tcW w:w="1720" w:type="dxa"/>
            <w:tcBorders>
              <w:top w:val="nil"/>
              <w:left w:val="nil"/>
              <w:bottom w:val="nil"/>
              <w:right w:val="nil"/>
            </w:tcBorders>
            <w:shd w:val="clear" w:color="auto" w:fill="auto"/>
            <w:noWrap/>
            <w:vAlign w:val="center"/>
            <w:hideMark/>
          </w:tcPr>
          <w:p w14:paraId="0049FDB4"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747.9 (720.8)</w:t>
            </w:r>
          </w:p>
        </w:tc>
        <w:tc>
          <w:tcPr>
            <w:tcW w:w="1780" w:type="dxa"/>
            <w:tcBorders>
              <w:top w:val="nil"/>
              <w:left w:val="nil"/>
              <w:bottom w:val="nil"/>
              <w:right w:val="nil"/>
            </w:tcBorders>
            <w:shd w:val="clear" w:color="auto" w:fill="auto"/>
            <w:vAlign w:val="center"/>
            <w:hideMark/>
          </w:tcPr>
          <w:p w14:paraId="3196878E"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818.4 (911.4)</w:t>
            </w:r>
          </w:p>
        </w:tc>
        <w:tc>
          <w:tcPr>
            <w:tcW w:w="1182" w:type="dxa"/>
            <w:tcBorders>
              <w:top w:val="nil"/>
              <w:left w:val="nil"/>
              <w:bottom w:val="nil"/>
              <w:right w:val="nil"/>
            </w:tcBorders>
            <w:shd w:val="clear" w:color="auto" w:fill="auto"/>
            <w:noWrap/>
            <w:vAlign w:val="center"/>
            <w:hideMark/>
          </w:tcPr>
          <w:p w14:paraId="76DB3005" w14:textId="01F20151" w:rsidR="00AE0B52" w:rsidRPr="00AE0B52" w:rsidRDefault="008237BF" w:rsidP="00F50223">
            <w:pPr>
              <w:jc w:val="center"/>
              <w:rPr>
                <w:rFonts w:ascii="Arial" w:eastAsia="Times New Roman" w:hAnsi="Arial" w:cs="Arial"/>
                <w:color w:val="000000"/>
                <w:sz w:val="16"/>
                <w:szCs w:val="16"/>
              </w:rPr>
            </w:pPr>
            <w:r>
              <w:rPr>
                <w:rFonts w:ascii="Arial" w:hAnsi="Arial" w:cs="Arial"/>
                <w:sz w:val="16"/>
                <w:szCs w:val="16"/>
                <w:lang w:val="en-CA"/>
              </w:rPr>
              <w:t>U=2021.0</w:t>
            </w:r>
          </w:p>
        </w:tc>
        <w:tc>
          <w:tcPr>
            <w:tcW w:w="630" w:type="dxa"/>
            <w:tcBorders>
              <w:top w:val="nil"/>
              <w:left w:val="nil"/>
              <w:bottom w:val="nil"/>
              <w:right w:val="nil"/>
            </w:tcBorders>
            <w:shd w:val="clear" w:color="auto" w:fill="auto"/>
            <w:noWrap/>
            <w:vAlign w:val="center"/>
            <w:hideMark/>
          </w:tcPr>
          <w:p w14:paraId="51CE2B73" w14:textId="163AE36C" w:rsidR="00AE0B52" w:rsidRPr="00AE0B52" w:rsidRDefault="00AE0B52" w:rsidP="00F50223">
            <w:pPr>
              <w:jc w:val="center"/>
              <w:rPr>
                <w:rFonts w:ascii="Arial" w:eastAsia="Times New Roman" w:hAnsi="Arial" w:cs="Arial"/>
                <w:color w:val="000000"/>
                <w:sz w:val="16"/>
                <w:szCs w:val="16"/>
              </w:rPr>
            </w:pPr>
          </w:p>
        </w:tc>
        <w:tc>
          <w:tcPr>
            <w:tcW w:w="1068" w:type="dxa"/>
            <w:tcBorders>
              <w:top w:val="nil"/>
              <w:left w:val="nil"/>
              <w:bottom w:val="nil"/>
              <w:right w:val="nil"/>
            </w:tcBorders>
            <w:shd w:val="clear" w:color="auto" w:fill="auto"/>
            <w:noWrap/>
            <w:vAlign w:val="center"/>
            <w:hideMark/>
          </w:tcPr>
          <w:p w14:paraId="6D65A986"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0.8</w:t>
            </w:r>
          </w:p>
        </w:tc>
      </w:tr>
      <w:tr w:rsidR="00AE0B52" w:rsidRPr="00AE0B52" w14:paraId="212F94EE" w14:textId="77777777" w:rsidTr="00F50223">
        <w:trPr>
          <w:trHeight w:val="440"/>
        </w:trPr>
        <w:tc>
          <w:tcPr>
            <w:tcW w:w="2300" w:type="dxa"/>
            <w:tcBorders>
              <w:top w:val="nil"/>
              <w:left w:val="nil"/>
              <w:bottom w:val="nil"/>
              <w:right w:val="nil"/>
            </w:tcBorders>
            <w:shd w:val="clear" w:color="auto" w:fill="auto"/>
            <w:vAlign w:val="center"/>
            <w:hideMark/>
          </w:tcPr>
          <w:p w14:paraId="6834CB42" w14:textId="134A4277" w:rsidR="00AE0B52" w:rsidRPr="00AE0B52" w:rsidRDefault="00AE0B52" w:rsidP="00AE0B52">
            <w:pPr>
              <w:rPr>
                <w:rFonts w:ascii="Arial" w:eastAsia="Times New Roman" w:hAnsi="Arial" w:cs="Arial"/>
                <w:b/>
                <w:color w:val="000000"/>
                <w:sz w:val="16"/>
                <w:szCs w:val="16"/>
              </w:rPr>
            </w:pPr>
            <w:r w:rsidRPr="00AE0B52">
              <w:rPr>
                <w:rFonts w:ascii="Arial" w:eastAsia="Times New Roman" w:hAnsi="Arial" w:cs="Arial"/>
                <w:b/>
                <w:color w:val="000000"/>
                <w:sz w:val="16"/>
                <w:szCs w:val="16"/>
              </w:rPr>
              <w:t>Duration Untreated Psychosis (weeks)</w:t>
            </w:r>
            <w:r>
              <w:rPr>
                <w:rFonts w:ascii="Arial" w:eastAsia="Times New Roman" w:hAnsi="Arial" w:cs="Arial"/>
                <w:b/>
                <w:color w:val="000000"/>
                <w:sz w:val="16"/>
                <w:szCs w:val="16"/>
              </w:rPr>
              <w:t>*</w:t>
            </w:r>
          </w:p>
        </w:tc>
        <w:tc>
          <w:tcPr>
            <w:tcW w:w="1720" w:type="dxa"/>
            <w:tcBorders>
              <w:top w:val="nil"/>
              <w:left w:val="nil"/>
              <w:bottom w:val="nil"/>
              <w:right w:val="nil"/>
            </w:tcBorders>
            <w:shd w:val="clear" w:color="auto" w:fill="auto"/>
            <w:noWrap/>
            <w:vAlign w:val="center"/>
            <w:hideMark/>
          </w:tcPr>
          <w:p w14:paraId="4C66947E"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76.4 (142.0)</w:t>
            </w:r>
          </w:p>
        </w:tc>
        <w:tc>
          <w:tcPr>
            <w:tcW w:w="1780" w:type="dxa"/>
            <w:tcBorders>
              <w:top w:val="nil"/>
              <w:left w:val="nil"/>
              <w:bottom w:val="nil"/>
              <w:right w:val="nil"/>
            </w:tcBorders>
            <w:shd w:val="clear" w:color="auto" w:fill="auto"/>
            <w:vAlign w:val="center"/>
            <w:hideMark/>
          </w:tcPr>
          <w:p w14:paraId="165B86BC"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36.9 (64.1) [44]</w:t>
            </w:r>
          </w:p>
        </w:tc>
        <w:tc>
          <w:tcPr>
            <w:tcW w:w="1182" w:type="dxa"/>
            <w:tcBorders>
              <w:top w:val="nil"/>
              <w:left w:val="nil"/>
              <w:bottom w:val="nil"/>
              <w:right w:val="nil"/>
            </w:tcBorders>
            <w:shd w:val="clear" w:color="auto" w:fill="auto"/>
            <w:noWrap/>
            <w:vAlign w:val="center"/>
            <w:hideMark/>
          </w:tcPr>
          <w:p w14:paraId="504C8F6C" w14:textId="52787962" w:rsidR="00AE0B52" w:rsidRPr="00AE0B52" w:rsidRDefault="008237BF" w:rsidP="00F50223">
            <w:pPr>
              <w:jc w:val="center"/>
              <w:rPr>
                <w:rFonts w:ascii="Arial" w:eastAsia="Times New Roman" w:hAnsi="Arial" w:cs="Arial"/>
                <w:color w:val="000000"/>
                <w:sz w:val="16"/>
                <w:szCs w:val="16"/>
              </w:rPr>
            </w:pPr>
            <w:r>
              <w:rPr>
                <w:rFonts w:ascii="Arial" w:hAnsi="Arial" w:cs="Arial"/>
                <w:sz w:val="16"/>
                <w:szCs w:val="16"/>
                <w:lang w:val="en-CA"/>
              </w:rPr>
              <w:t>U=</w:t>
            </w:r>
            <w:r>
              <w:rPr>
                <w:rFonts w:ascii="Arial" w:eastAsia="Times New Roman" w:hAnsi="Arial" w:cs="Arial"/>
                <w:color w:val="000000"/>
                <w:sz w:val="16"/>
                <w:szCs w:val="16"/>
              </w:rPr>
              <w:t>1423.5</w:t>
            </w:r>
          </w:p>
        </w:tc>
        <w:tc>
          <w:tcPr>
            <w:tcW w:w="630" w:type="dxa"/>
            <w:tcBorders>
              <w:top w:val="nil"/>
              <w:left w:val="nil"/>
              <w:bottom w:val="nil"/>
              <w:right w:val="nil"/>
            </w:tcBorders>
            <w:shd w:val="clear" w:color="auto" w:fill="auto"/>
            <w:noWrap/>
            <w:vAlign w:val="center"/>
            <w:hideMark/>
          </w:tcPr>
          <w:p w14:paraId="2426F3C2" w14:textId="6C336519" w:rsidR="00AE0B52" w:rsidRPr="00AE0B52" w:rsidRDefault="00AE0B52" w:rsidP="00F50223">
            <w:pPr>
              <w:jc w:val="center"/>
              <w:rPr>
                <w:rFonts w:ascii="Arial" w:eastAsia="Times New Roman" w:hAnsi="Arial" w:cs="Arial"/>
                <w:color w:val="000000"/>
                <w:sz w:val="16"/>
                <w:szCs w:val="16"/>
              </w:rPr>
            </w:pPr>
          </w:p>
        </w:tc>
        <w:tc>
          <w:tcPr>
            <w:tcW w:w="1068" w:type="dxa"/>
            <w:tcBorders>
              <w:top w:val="nil"/>
              <w:left w:val="nil"/>
              <w:bottom w:val="nil"/>
              <w:right w:val="nil"/>
            </w:tcBorders>
            <w:shd w:val="clear" w:color="auto" w:fill="auto"/>
            <w:noWrap/>
            <w:vAlign w:val="center"/>
            <w:hideMark/>
          </w:tcPr>
          <w:p w14:paraId="056224EF"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0.05</w:t>
            </w:r>
          </w:p>
        </w:tc>
      </w:tr>
      <w:tr w:rsidR="00AE0B52" w:rsidRPr="00AE0B52" w14:paraId="0C960930" w14:textId="77777777" w:rsidTr="00F50223">
        <w:trPr>
          <w:trHeight w:val="440"/>
        </w:trPr>
        <w:tc>
          <w:tcPr>
            <w:tcW w:w="2300" w:type="dxa"/>
            <w:tcBorders>
              <w:top w:val="nil"/>
              <w:left w:val="nil"/>
              <w:bottom w:val="nil"/>
              <w:right w:val="nil"/>
            </w:tcBorders>
            <w:shd w:val="clear" w:color="auto" w:fill="auto"/>
            <w:vAlign w:val="center"/>
            <w:hideMark/>
          </w:tcPr>
          <w:p w14:paraId="39713977" w14:textId="36EBE8AF" w:rsidR="00AE0B52" w:rsidRPr="00AE0B52" w:rsidRDefault="00AE0B52" w:rsidP="00AE0B52">
            <w:pPr>
              <w:rPr>
                <w:rFonts w:ascii="Arial" w:eastAsia="Times New Roman" w:hAnsi="Arial" w:cs="Arial"/>
                <w:b/>
                <w:color w:val="000000"/>
                <w:sz w:val="16"/>
                <w:szCs w:val="16"/>
              </w:rPr>
            </w:pPr>
            <w:r w:rsidRPr="00AE0B52">
              <w:rPr>
                <w:rFonts w:ascii="Arial" w:eastAsia="Times New Roman" w:hAnsi="Arial" w:cs="Arial"/>
                <w:b/>
                <w:color w:val="000000"/>
                <w:sz w:val="16"/>
                <w:szCs w:val="16"/>
              </w:rPr>
              <w:t>Duration Untreated Illness (years)</w:t>
            </w:r>
            <w:r>
              <w:rPr>
                <w:rFonts w:ascii="Arial" w:eastAsia="Times New Roman" w:hAnsi="Arial" w:cs="Arial"/>
                <w:b/>
                <w:color w:val="000000"/>
                <w:sz w:val="16"/>
                <w:szCs w:val="16"/>
              </w:rPr>
              <w:t>*</w:t>
            </w:r>
          </w:p>
        </w:tc>
        <w:tc>
          <w:tcPr>
            <w:tcW w:w="1720" w:type="dxa"/>
            <w:tcBorders>
              <w:top w:val="nil"/>
              <w:left w:val="nil"/>
              <w:bottom w:val="nil"/>
              <w:right w:val="nil"/>
            </w:tcBorders>
            <w:shd w:val="clear" w:color="auto" w:fill="auto"/>
            <w:noWrap/>
            <w:vAlign w:val="center"/>
            <w:hideMark/>
          </w:tcPr>
          <w:p w14:paraId="47B65D40"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7.3 (6.5)</w:t>
            </w:r>
          </w:p>
        </w:tc>
        <w:tc>
          <w:tcPr>
            <w:tcW w:w="1780" w:type="dxa"/>
            <w:tcBorders>
              <w:top w:val="nil"/>
              <w:left w:val="nil"/>
              <w:bottom w:val="nil"/>
              <w:right w:val="nil"/>
            </w:tcBorders>
            <w:shd w:val="clear" w:color="auto" w:fill="auto"/>
            <w:vAlign w:val="center"/>
            <w:hideMark/>
          </w:tcPr>
          <w:p w14:paraId="3A2443FB"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4.4 (4.1) [44]</w:t>
            </w:r>
          </w:p>
        </w:tc>
        <w:tc>
          <w:tcPr>
            <w:tcW w:w="1182" w:type="dxa"/>
            <w:tcBorders>
              <w:top w:val="nil"/>
              <w:left w:val="nil"/>
              <w:bottom w:val="nil"/>
              <w:right w:val="nil"/>
            </w:tcBorders>
            <w:shd w:val="clear" w:color="auto" w:fill="auto"/>
            <w:noWrap/>
            <w:vAlign w:val="center"/>
            <w:hideMark/>
          </w:tcPr>
          <w:p w14:paraId="1C50C4F5" w14:textId="3053791B" w:rsidR="00AE0B52" w:rsidRPr="00AE0B52" w:rsidRDefault="008237BF" w:rsidP="00F50223">
            <w:pPr>
              <w:jc w:val="center"/>
              <w:rPr>
                <w:rFonts w:ascii="Arial" w:eastAsia="Times New Roman" w:hAnsi="Arial" w:cs="Arial"/>
                <w:color w:val="000000"/>
                <w:sz w:val="16"/>
                <w:szCs w:val="16"/>
              </w:rPr>
            </w:pPr>
            <w:r>
              <w:rPr>
                <w:rFonts w:ascii="Arial" w:hAnsi="Arial" w:cs="Arial"/>
                <w:sz w:val="16"/>
                <w:szCs w:val="16"/>
                <w:lang w:val="en-CA"/>
              </w:rPr>
              <w:t>U=</w:t>
            </w:r>
            <w:r>
              <w:rPr>
                <w:rFonts w:ascii="Arial" w:eastAsia="Times New Roman" w:hAnsi="Arial" w:cs="Arial"/>
                <w:color w:val="000000"/>
                <w:sz w:val="16"/>
                <w:szCs w:val="16"/>
              </w:rPr>
              <w:t>1346.0</w:t>
            </w:r>
          </w:p>
        </w:tc>
        <w:tc>
          <w:tcPr>
            <w:tcW w:w="630" w:type="dxa"/>
            <w:tcBorders>
              <w:top w:val="nil"/>
              <w:left w:val="nil"/>
              <w:bottom w:val="nil"/>
              <w:right w:val="nil"/>
            </w:tcBorders>
            <w:shd w:val="clear" w:color="auto" w:fill="auto"/>
            <w:noWrap/>
            <w:vAlign w:val="center"/>
            <w:hideMark/>
          </w:tcPr>
          <w:p w14:paraId="61A0BD80" w14:textId="0ABA5923" w:rsidR="00AE0B52" w:rsidRPr="00AE0B52" w:rsidRDefault="00AE0B52" w:rsidP="00F50223">
            <w:pPr>
              <w:jc w:val="center"/>
              <w:rPr>
                <w:rFonts w:ascii="Arial" w:eastAsia="Times New Roman" w:hAnsi="Arial" w:cs="Arial"/>
                <w:color w:val="000000"/>
                <w:sz w:val="16"/>
                <w:szCs w:val="16"/>
              </w:rPr>
            </w:pPr>
          </w:p>
        </w:tc>
        <w:tc>
          <w:tcPr>
            <w:tcW w:w="1068" w:type="dxa"/>
            <w:tcBorders>
              <w:top w:val="nil"/>
              <w:left w:val="nil"/>
              <w:bottom w:val="nil"/>
              <w:right w:val="nil"/>
            </w:tcBorders>
            <w:shd w:val="clear" w:color="auto" w:fill="auto"/>
            <w:noWrap/>
            <w:vAlign w:val="center"/>
            <w:hideMark/>
          </w:tcPr>
          <w:p w14:paraId="6E92B0D0"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0.012</w:t>
            </w:r>
          </w:p>
        </w:tc>
      </w:tr>
      <w:tr w:rsidR="00AE0B52" w:rsidRPr="00AE0B52" w14:paraId="4BF8DA72" w14:textId="77777777" w:rsidTr="00F50223">
        <w:trPr>
          <w:trHeight w:val="320"/>
        </w:trPr>
        <w:tc>
          <w:tcPr>
            <w:tcW w:w="2300" w:type="dxa"/>
            <w:tcBorders>
              <w:top w:val="nil"/>
              <w:left w:val="nil"/>
              <w:bottom w:val="nil"/>
              <w:right w:val="nil"/>
            </w:tcBorders>
            <w:shd w:val="clear" w:color="auto" w:fill="auto"/>
            <w:vAlign w:val="center"/>
            <w:hideMark/>
          </w:tcPr>
          <w:p w14:paraId="72EB2005"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Amotivation</w:t>
            </w:r>
          </w:p>
        </w:tc>
        <w:tc>
          <w:tcPr>
            <w:tcW w:w="1720" w:type="dxa"/>
            <w:tcBorders>
              <w:top w:val="nil"/>
              <w:left w:val="nil"/>
              <w:bottom w:val="nil"/>
              <w:right w:val="nil"/>
            </w:tcBorders>
            <w:shd w:val="clear" w:color="auto" w:fill="auto"/>
            <w:noWrap/>
            <w:vAlign w:val="center"/>
            <w:hideMark/>
          </w:tcPr>
          <w:p w14:paraId="413858C0"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11.3 (6.1)</w:t>
            </w:r>
          </w:p>
        </w:tc>
        <w:tc>
          <w:tcPr>
            <w:tcW w:w="1780" w:type="dxa"/>
            <w:tcBorders>
              <w:top w:val="nil"/>
              <w:left w:val="nil"/>
              <w:bottom w:val="nil"/>
              <w:right w:val="nil"/>
            </w:tcBorders>
            <w:shd w:val="clear" w:color="auto" w:fill="auto"/>
            <w:vAlign w:val="center"/>
            <w:hideMark/>
          </w:tcPr>
          <w:p w14:paraId="29B19E2F"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11.4 (7.8)</w:t>
            </w:r>
          </w:p>
        </w:tc>
        <w:tc>
          <w:tcPr>
            <w:tcW w:w="1182" w:type="dxa"/>
            <w:tcBorders>
              <w:top w:val="nil"/>
              <w:left w:val="nil"/>
              <w:bottom w:val="nil"/>
              <w:right w:val="nil"/>
            </w:tcBorders>
            <w:shd w:val="clear" w:color="auto" w:fill="auto"/>
            <w:noWrap/>
            <w:vAlign w:val="center"/>
            <w:hideMark/>
          </w:tcPr>
          <w:p w14:paraId="1E0E4226"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t=-0.09</w:t>
            </w:r>
          </w:p>
        </w:tc>
        <w:tc>
          <w:tcPr>
            <w:tcW w:w="630" w:type="dxa"/>
            <w:tcBorders>
              <w:top w:val="nil"/>
              <w:left w:val="nil"/>
              <w:bottom w:val="nil"/>
              <w:right w:val="nil"/>
            </w:tcBorders>
            <w:shd w:val="clear" w:color="auto" w:fill="auto"/>
            <w:noWrap/>
            <w:vAlign w:val="center"/>
            <w:hideMark/>
          </w:tcPr>
          <w:p w14:paraId="240C73D0"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133</w:t>
            </w:r>
          </w:p>
        </w:tc>
        <w:tc>
          <w:tcPr>
            <w:tcW w:w="1068" w:type="dxa"/>
            <w:tcBorders>
              <w:top w:val="nil"/>
              <w:left w:val="nil"/>
              <w:bottom w:val="nil"/>
              <w:right w:val="nil"/>
            </w:tcBorders>
            <w:shd w:val="clear" w:color="auto" w:fill="auto"/>
            <w:noWrap/>
            <w:vAlign w:val="center"/>
            <w:hideMark/>
          </w:tcPr>
          <w:p w14:paraId="0CC3BB65"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0.9</w:t>
            </w:r>
          </w:p>
        </w:tc>
      </w:tr>
      <w:tr w:rsidR="00AE0B52" w:rsidRPr="00AE0B52" w14:paraId="18147519" w14:textId="77777777" w:rsidTr="00F50223">
        <w:trPr>
          <w:trHeight w:val="320"/>
        </w:trPr>
        <w:tc>
          <w:tcPr>
            <w:tcW w:w="2300" w:type="dxa"/>
            <w:tcBorders>
              <w:top w:val="nil"/>
              <w:left w:val="nil"/>
              <w:bottom w:val="nil"/>
              <w:right w:val="nil"/>
            </w:tcBorders>
            <w:shd w:val="clear" w:color="auto" w:fill="auto"/>
            <w:vAlign w:val="center"/>
            <w:hideMark/>
          </w:tcPr>
          <w:p w14:paraId="24E12F91" w14:textId="77777777" w:rsidR="00AE0B52" w:rsidRPr="00AE0B52" w:rsidRDefault="00AE0B52" w:rsidP="00AE0B52">
            <w:pPr>
              <w:rPr>
                <w:rFonts w:ascii="Arial" w:eastAsia="Times New Roman" w:hAnsi="Arial" w:cs="Arial"/>
                <w:color w:val="000000"/>
                <w:sz w:val="16"/>
                <w:szCs w:val="16"/>
              </w:rPr>
            </w:pPr>
            <w:r w:rsidRPr="00AE0B52">
              <w:rPr>
                <w:rFonts w:ascii="Arial" w:eastAsia="Times New Roman" w:hAnsi="Arial" w:cs="Arial"/>
                <w:color w:val="000000"/>
                <w:sz w:val="16"/>
                <w:szCs w:val="16"/>
              </w:rPr>
              <w:t>Expressivity</w:t>
            </w:r>
          </w:p>
        </w:tc>
        <w:tc>
          <w:tcPr>
            <w:tcW w:w="1720" w:type="dxa"/>
            <w:tcBorders>
              <w:top w:val="nil"/>
              <w:left w:val="nil"/>
              <w:bottom w:val="nil"/>
              <w:right w:val="nil"/>
            </w:tcBorders>
            <w:shd w:val="clear" w:color="auto" w:fill="auto"/>
            <w:noWrap/>
            <w:vAlign w:val="center"/>
            <w:hideMark/>
          </w:tcPr>
          <w:p w14:paraId="6DEA9395"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7.1 (7.2)</w:t>
            </w:r>
          </w:p>
        </w:tc>
        <w:tc>
          <w:tcPr>
            <w:tcW w:w="1780" w:type="dxa"/>
            <w:tcBorders>
              <w:top w:val="nil"/>
              <w:left w:val="nil"/>
              <w:bottom w:val="nil"/>
              <w:right w:val="nil"/>
            </w:tcBorders>
            <w:shd w:val="clear" w:color="auto" w:fill="auto"/>
            <w:vAlign w:val="center"/>
            <w:hideMark/>
          </w:tcPr>
          <w:p w14:paraId="5B2CA706"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7.4 (7.5)</w:t>
            </w:r>
          </w:p>
        </w:tc>
        <w:tc>
          <w:tcPr>
            <w:tcW w:w="1182" w:type="dxa"/>
            <w:tcBorders>
              <w:top w:val="nil"/>
              <w:left w:val="nil"/>
              <w:bottom w:val="nil"/>
              <w:right w:val="nil"/>
            </w:tcBorders>
            <w:shd w:val="clear" w:color="auto" w:fill="auto"/>
            <w:noWrap/>
            <w:vAlign w:val="center"/>
            <w:hideMark/>
          </w:tcPr>
          <w:p w14:paraId="5B108099" w14:textId="1E70A98F" w:rsidR="00AE0B52" w:rsidRPr="00AE0B52" w:rsidRDefault="00F50223" w:rsidP="00F50223">
            <w:pPr>
              <w:jc w:val="center"/>
              <w:rPr>
                <w:rFonts w:ascii="Arial" w:eastAsia="Times New Roman" w:hAnsi="Arial" w:cs="Arial"/>
                <w:color w:val="000000"/>
                <w:sz w:val="16"/>
                <w:szCs w:val="16"/>
              </w:rPr>
            </w:pPr>
            <w:r>
              <w:rPr>
                <w:rFonts w:ascii="Arial" w:hAnsi="Arial" w:cs="Arial"/>
                <w:sz w:val="16"/>
                <w:szCs w:val="16"/>
                <w:lang w:val="en-CA"/>
              </w:rPr>
              <w:t>U=</w:t>
            </w:r>
            <w:r>
              <w:rPr>
                <w:rFonts w:ascii="Arial" w:eastAsia="Times New Roman" w:hAnsi="Arial" w:cs="Arial"/>
                <w:color w:val="000000"/>
                <w:sz w:val="16"/>
                <w:szCs w:val="16"/>
              </w:rPr>
              <w:t>2023.0</w:t>
            </w:r>
          </w:p>
        </w:tc>
        <w:tc>
          <w:tcPr>
            <w:tcW w:w="630" w:type="dxa"/>
            <w:tcBorders>
              <w:top w:val="nil"/>
              <w:left w:val="nil"/>
              <w:bottom w:val="nil"/>
              <w:right w:val="nil"/>
            </w:tcBorders>
            <w:shd w:val="clear" w:color="auto" w:fill="auto"/>
            <w:noWrap/>
            <w:vAlign w:val="center"/>
            <w:hideMark/>
          </w:tcPr>
          <w:p w14:paraId="23224B3F" w14:textId="29FA3A4E" w:rsidR="00AE0B52" w:rsidRPr="00AE0B52" w:rsidRDefault="00AE0B52" w:rsidP="00F50223">
            <w:pPr>
              <w:jc w:val="center"/>
              <w:rPr>
                <w:rFonts w:ascii="Arial" w:eastAsia="Times New Roman" w:hAnsi="Arial" w:cs="Arial"/>
                <w:color w:val="000000"/>
                <w:sz w:val="16"/>
                <w:szCs w:val="16"/>
              </w:rPr>
            </w:pPr>
          </w:p>
        </w:tc>
        <w:tc>
          <w:tcPr>
            <w:tcW w:w="1068" w:type="dxa"/>
            <w:tcBorders>
              <w:top w:val="nil"/>
              <w:left w:val="nil"/>
              <w:bottom w:val="nil"/>
              <w:right w:val="nil"/>
            </w:tcBorders>
            <w:shd w:val="clear" w:color="auto" w:fill="auto"/>
            <w:noWrap/>
            <w:vAlign w:val="center"/>
            <w:hideMark/>
          </w:tcPr>
          <w:p w14:paraId="75AD654F" w14:textId="77777777" w:rsidR="00AE0B52" w:rsidRPr="00AE0B52" w:rsidRDefault="00AE0B52" w:rsidP="00F50223">
            <w:pPr>
              <w:jc w:val="center"/>
              <w:rPr>
                <w:rFonts w:ascii="Arial" w:eastAsia="Times New Roman" w:hAnsi="Arial" w:cs="Arial"/>
                <w:color w:val="000000"/>
                <w:sz w:val="16"/>
                <w:szCs w:val="16"/>
              </w:rPr>
            </w:pPr>
            <w:r w:rsidRPr="00AE0B52">
              <w:rPr>
                <w:rFonts w:ascii="Arial" w:eastAsia="Times New Roman" w:hAnsi="Arial" w:cs="Arial"/>
                <w:color w:val="000000"/>
                <w:sz w:val="16"/>
                <w:szCs w:val="16"/>
              </w:rPr>
              <w:t>0.8</w:t>
            </w:r>
          </w:p>
        </w:tc>
      </w:tr>
    </w:tbl>
    <w:p w14:paraId="3846AD0C" w14:textId="0DD6EC44" w:rsidR="00AE0B52" w:rsidRDefault="00AE0B52" w:rsidP="00AE0B52">
      <w:pPr>
        <w:rPr>
          <w:sz w:val="16"/>
          <w:szCs w:val="16"/>
          <w:lang w:val="en-CA"/>
        </w:rPr>
      </w:pPr>
      <w:r>
        <w:rPr>
          <w:b/>
          <w:sz w:val="16"/>
          <w:szCs w:val="16"/>
          <w:lang w:val="en-CA"/>
        </w:rPr>
        <w:t>Supplementary Table 1.</w:t>
      </w:r>
      <w:r w:rsidRPr="00354D7B">
        <w:rPr>
          <w:b/>
          <w:sz w:val="16"/>
          <w:szCs w:val="16"/>
          <w:lang w:val="en-CA"/>
        </w:rPr>
        <w:t xml:space="preserve"> </w:t>
      </w:r>
      <w:r>
        <w:rPr>
          <w:rFonts w:eastAsia="Times New Roman"/>
          <w:sz w:val="16"/>
          <w:szCs w:val="16"/>
        </w:rPr>
        <w:t>Comparison of demographics for patients Included in the main manuscript (N=88) and patients excluded from the main manuscript (N=47), due to presence of cross-sectional data only, and exclusion on the basis of failed image quality control (QC).</w:t>
      </w:r>
      <w:r w:rsidRPr="00354D7B">
        <w:rPr>
          <w:rFonts w:eastAsia="Times New Roman"/>
          <w:sz w:val="16"/>
          <w:szCs w:val="16"/>
        </w:rPr>
        <w:t xml:space="preserve"> </w:t>
      </w:r>
      <w:r>
        <w:rPr>
          <w:rFonts w:eastAsia="Times New Roman"/>
          <w:sz w:val="16"/>
          <w:szCs w:val="16"/>
        </w:rPr>
        <w:t xml:space="preserve">All </w:t>
      </w:r>
      <w:r w:rsidRPr="00354D7B">
        <w:rPr>
          <w:rFonts w:eastAsia="Times New Roman"/>
          <w:sz w:val="16"/>
          <w:szCs w:val="16"/>
        </w:rPr>
        <w:t xml:space="preserve">data represented as Mean (SD), unless otherwise specified. Square brackets [] include adjusted sample size included in statistical analysis due to missing datapoints. </w:t>
      </w:r>
      <w:r w:rsidR="00F50223">
        <w:rPr>
          <w:rFonts w:eastAsia="Times New Roman"/>
          <w:sz w:val="16"/>
          <w:szCs w:val="16"/>
        </w:rPr>
        <w:t>A Mann Whitney U non-parametric test was used for variables that were not normally distributed.</w:t>
      </w:r>
    </w:p>
    <w:p w14:paraId="30161667" w14:textId="18073AE5" w:rsidR="00AE0B52" w:rsidRPr="003F483E" w:rsidRDefault="00AE0B52" w:rsidP="00AE0B52">
      <w:pPr>
        <w:outlineLvl w:val="0"/>
        <w:rPr>
          <w:rFonts w:eastAsia="Times New Roman"/>
          <w:sz w:val="16"/>
          <w:szCs w:val="16"/>
        </w:rPr>
      </w:pPr>
      <w:r>
        <w:rPr>
          <w:rFonts w:eastAsia="Times New Roman"/>
          <w:sz w:val="16"/>
          <w:szCs w:val="16"/>
        </w:rPr>
        <w:t>*</w:t>
      </w:r>
      <w:r w:rsidRPr="006305CF">
        <w:rPr>
          <w:rFonts w:eastAsia="Times New Roman"/>
          <w:b/>
          <w:sz w:val="16"/>
          <w:szCs w:val="16"/>
        </w:rPr>
        <w:t>Bolded variables</w:t>
      </w:r>
      <w:r>
        <w:rPr>
          <w:rFonts w:eastAsia="Times New Roman"/>
          <w:b/>
          <w:sz w:val="16"/>
          <w:szCs w:val="16"/>
        </w:rPr>
        <w:t xml:space="preserve"> with asterisk</w:t>
      </w:r>
      <w:r>
        <w:rPr>
          <w:rFonts w:eastAsia="Times New Roman"/>
          <w:sz w:val="16"/>
          <w:szCs w:val="16"/>
        </w:rPr>
        <w:t xml:space="preserve"> reflect significant differences between Included and excluded patients. Specifically, </w:t>
      </w:r>
      <w:r w:rsidR="002F55F9">
        <w:rPr>
          <w:rFonts w:eastAsia="Times New Roman"/>
          <w:sz w:val="16"/>
          <w:szCs w:val="16"/>
        </w:rPr>
        <w:t>included</w:t>
      </w:r>
      <w:r>
        <w:rPr>
          <w:rFonts w:eastAsia="Times New Roman"/>
          <w:sz w:val="16"/>
          <w:szCs w:val="16"/>
        </w:rPr>
        <w:t xml:space="preserve"> patients had longer duration of untreated psychosis </w:t>
      </w:r>
      <w:r w:rsidR="002F55F9">
        <w:rPr>
          <w:rFonts w:eastAsia="Times New Roman"/>
          <w:sz w:val="16"/>
          <w:szCs w:val="16"/>
        </w:rPr>
        <w:t>a</w:t>
      </w:r>
      <w:r>
        <w:rPr>
          <w:rFonts w:eastAsia="Times New Roman"/>
          <w:sz w:val="16"/>
          <w:szCs w:val="16"/>
        </w:rPr>
        <w:t xml:space="preserve">nd </w:t>
      </w:r>
      <w:r w:rsidR="002F55F9">
        <w:rPr>
          <w:rFonts w:eastAsia="Times New Roman"/>
          <w:sz w:val="16"/>
          <w:szCs w:val="16"/>
        </w:rPr>
        <w:t>untreated illness compared to ex</w:t>
      </w:r>
      <w:r>
        <w:rPr>
          <w:rFonts w:eastAsia="Times New Roman"/>
          <w:sz w:val="16"/>
          <w:szCs w:val="16"/>
        </w:rPr>
        <w:t xml:space="preserve">cluded patients. The two patient groups did not differ on any other variable. Age, socioeconomic status, chlorpromazine (CPZ) equivalents, duration of untreated psychosis/illness, and expressivity data were non-normally distributed, thus non-parametric tests were used to assess group differences. </w:t>
      </w:r>
    </w:p>
    <w:p w14:paraId="11CB4F49" w14:textId="11151DDE" w:rsidR="006174C3" w:rsidRDefault="006174C3" w:rsidP="00AE0B52">
      <w:pPr>
        <w:pStyle w:val="Normal1"/>
        <w:spacing w:line="240" w:lineRule="auto"/>
        <w:rPr>
          <w:rFonts w:ascii="Times New Roman" w:eastAsia="Times New Roman" w:hAnsi="Times New Roman" w:cs="Times New Roman"/>
          <w:sz w:val="16"/>
          <w:szCs w:val="16"/>
          <w:vertAlign w:val="superscript"/>
        </w:rPr>
      </w:pPr>
      <w:r>
        <w:rPr>
          <w:rFonts w:ascii="Times New Roman" w:eastAsia="Times New Roman" w:hAnsi="Times New Roman" w:cs="Times New Roman"/>
          <w:sz w:val="16"/>
          <w:szCs w:val="16"/>
          <w:vertAlign w:val="superscript"/>
        </w:rPr>
        <w:t>a</w:t>
      </w:r>
      <w:r>
        <w:rPr>
          <w:rFonts w:ascii="Times New Roman" w:eastAsia="Times New Roman" w:hAnsi="Times New Roman" w:cs="Times New Roman"/>
          <w:sz w:val="16"/>
          <w:szCs w:val="16"/>
        </w:rPr>
        <w:t>Diagnosis missing for one excluded patient.</w:t>
      </w:r>
    </w:p>
    <w:p w14:paraId="1FA90D95" w14:textId="71942EA8" w:rsidR="00AE0B52" w:rsidRPr="00E46DC3" w:rsidRDefault="006174C3" w:rsidP="00AE0B52">
      <w:pPr>
        <w:pStyle w:val="Normal1"/>
        <w:spacing w:line="240" w:lineRule="auto"/>
        <w:rPr>
          <w:rFonts w:ascii="Times New Roman" w:hAnsi="Times New Roman" w:cs="Times New Roman"/>
          <w:sz w:val="16"/>
          <w:szCs w:val="16"/>
        </w:rPr>
      </w:pPr>
      <w:r>
        <w:rPr>
          <w:rFonts w:ascii="Times New Roman" w:eastAsia="Times New Roman" w:hAnsi="Times New Roman" w:cs="Times New Roman"/>
          <w:sz w:val="16"/>
          <w:szCs w:val="16"/>
          <w:vertAlign w:val="superscript"/>
        </w:rPr>
        <w:t>b</w:t>
      </w:r>
      <w:r w:rsidR="00AE0B52" w:rsidRPr="00354D7B">
        <w:rPr>
          <w:rFonts w:ascii="Times New Roman" w:eastAsia="Times New Roman" w:hAnsi="Times New Roman" w:cs="Times New Roman"/>
          <w:sz w:val="16"/>
          <w:szCs w:val="16"/>
        </w:rPr>
        <w:t>Covaried by test version. Specifically, IQ was collected with WAIS-III</w:t>
      </w:r>
      <w:r w:rsidR="00AE0B52">
        <w:rPr>
          <w:rFonts w:ascii="Times New Roman" w:eastAsia="Times New Roman" w:hAnsi="Times New Roman" w:cs="Times New Roman"/>
          <w:sz w:val="16"/>
          <w:szCs w:val="16"/>
        </w:rPr>
        <w:t xml:space="preserve"> </w:t>
      </w:r>
      <w:r w:rsidR="00AE0B52" w:rsidRPr="00354D7B">
        <w:rPr>
          <w:rFonts w:ascii="Times New Roman" w:eastAsia="Times New Roman" w:hAnsi="Times New Roman" w:cs="Times New Roman"/>
          <w:sz w:val="16"/>
          <w:szCs w:val="16"/>
        </w:rPr>
        <w:fldChar w:fldCharType="begin" w:fldLock="1"/>
      </w:r>
      <w:r w:rsidR="00AE0B52">
        <w:rPr>
          <w:rFonts w:ascii="Times New Roman" w:eastAsia="Times New Roman" w:hAnsi="Times New Roman" w:cs="Times New Roman"/>
          <w:sz w:val="16"/>
          <w:szCs w:val="16"/>
        </w:rPr>
        <w:instrText>ADDIN CSL_CITATION { "citationItems" : [ { "id" : "ITEM-1", "itemData" : { "author" : [ { "dropping-particle" : "", "family" : "Weschler", "given" : "D", "non-dropping-particle" : "", "parse-names" : false, "suffix" : "" } ], "id" : "ITEM-1", "issued" : { "date-parts" : [ [ "1997" ] ] }, "publisher" : "The Psychological Corporation", "publisher-place" : "San Antonio, TX", "title" : "Weschler Adult Intelligence Scale - 3rd Edition", "type" : "book" }, "uris" : [ "http://www.mendeley.com/documents/?uuid=16cf8935-0fbb-4daf-85e0-146b0dee0102" ] } ], "mendeley" : { "formattedCitation" : "(Weschler 1997)", "plainTextFormattedCitation" : "(Weschler 1997)", "previouslyFormattedCitation" : "&lt;sup&gt;12&lt;/sup&gt;" }, "properties" : { "noteIndex" : 0 }, "schema" : "https://github.com/citation-style-language/schema/raw/master/csl-citation.json" }</w:instrText>
      </w:r>
      <w:r w:rsidR="00AE0B52" w:rsidRPr="00354D7B">
        <w:rPr>
          <w:rFonts w:ascii="Times New Roman" w:eastAsia="Times New Roman" w:hAnsi="Times New Roman" w:cs="Times New Roman"/>
          <w:sz w:val="16"/>
          <w:szCs w:val="16"/>
        </w:rPr>
        <w:fldChar w:fldCharType="separate"/>
      </w:r>
      <w:r w:rsidR="00AE0B52" w:rsidRPr="005464B0">
        <w:rPr>
          <w:rFonts w:ascii="Times New Roman" w:eastAsia="Times New Roman" w:hAnsi="Times New Roman" w:cs="Times New Roman"/>
          <w:noProof/>
          <w:sz w:val="16"/>
          <w:szCs w:val="16"/>
        </w:rPr>
        <w:t>(Weschler 1997)</w:t>
      </w:r>
      <w:r w:rsidR="00AE0B52" w:rsidRPr="00354D7B">
        <w:rPr>
          <w:rFonts w:ascii="Times New Roman" w:eastAsia="Times New Roman" w:hAnsi="Times New Roman" w:cs="Times New Roman"/>
          <w:sz w:val="16"/>
          <w:szCs w:val="16"/>
        </w:rPr>
        <w:fldChar w:fldCharType="end"/>
      </w:r>
      <w:r w:rsidR="00AE0B52" w:rsidRPr="00354D7B">
        <w:rPr>
          <w:rFonts w:ascii="Times New Roman" w:eastAsia="Times New Roman" w:hAnsi="Times New Roman" w:cs="Times New Roman"/>
          <w:sz w:val="16"/>
          <w:szCs w:val="16"/>
        </w:rPr>
        <w:t xml:space="preserve"> and WASI</w:t>
      </w:r>
      <w:r w:rsidR="00AE0B52">
        <w:rPr>
          <w:rFonts w:ascii="Times New Roman" w:eastAsia="Times New Roman" w:hAnsi="Times New Roman" w:cs="Times New Roman"/>
          <w:sz w:val="16"/>
          <w:szCs w:val="16"/>
        </w:rPr>
        <w:t xml:space="preserve"> </w:t>
      </w:r>
      <w:r w:rsidR="00AE0B52" w:rsidRPr="00354D7B">
        <w:rPr>
          <w:rFonts w:ascii="Times New Roman" w:eastAsia="Times New Roman" w:hAnsi="Times New Roman" w:cs="Times New Roman"/>
          <w:sz w:val="16"/>
          <w:szCs w:val="16"/>
        </w:rPr>
        <w:fldChar w:fldCharType="begin" w:fldLock="1"/>
      </w:r>
      <w:r w:rsidR="00AE0B52">
        <w:rPr>
          <w:rFonts w:ascii="Times New Roman" w:eastAsia="Times New Roman" w:hAnsi="Times New Roman" w:cs="Times New Roman"/>
          <w:sz w:val="16"/>
          <w:szCs w:val="16"/>
        </w:rPr>
        <w:instrText>ADDIN CSL_CITATION { "citationItems" : [ { "id" : "ITEM-1", "itemData" : { "author" : [ { "dropping-particle" : "", "family" : "Weschler", "given" : "D", "non-dropping-particle" : "", "parse-names" : false, "suffix" : "" } ], "id" : "ITEM-1", "issued" : { "date-parts" : [ [ "1999" ] ] }, "publisher" : "The Psychological Corporation", "publisher-place" : "San Antonio, TX", "title" : "Weschler Abbreviated Scale of Intelligence", "type" : "book" }, "uris" : [ "http://www.mendeley.com/documents/?uuid=befd28db-bad1-4ea6-a347-652174da6b95" ] } ], "mendeley" : { "formattedCitation" : "(Weschler 1999)", "plainTextFormattedCitation" : "(Weschler 1999)", "previouslyFormattedCitation" : "&lt;sup&gt;11&lt;/sup&gt;" }, "properties" : { "noteIndex" : 0 }, "schema" : "https://github.com/citation-style-language/schema/raw/master/csl-citation.json" }</w:instrText>
      </w:r>
      <w:r w:rsidR="00AE0B52" w:rsidRPr="00354D7B">
        <w:rPr>
          <w:rFonts w:ascii="Times New Roman" w:eastAsia="Times New Roman" w:hAnsi="Times New Roman" w:cs="Times New Roman"/>
          <w:sz w:val="16"/>
          <w:szCs w:val="16"/>
        </w:rPr>
        <w:fldChar w:fldCharType="separate"/>
      </w:r>
      <w:r w:rsidR="00AE0B52" w:rsidRPr="005464B0">
        <w:rPr>
          <w:rFonts w:ascii="Times New Roman" w:eastAsia="Times New Roman" w:hAnsi="Times New Roman" w:cs="Times New Roman"/>
          <w:noProof/>
          <w:sz w:val="16"/>
          <w:szCs w:val="16"/>
        </w:rPr>
        <w:t>(Weschler 1999)</w:t>
      </w:r>
      <w:r w:rsidR="00AE0B52" w:rsidRPr="00354D7B">
        <w:rPr>
          <w:rFonts w:ascii="Times New Roman" w:eastAsia="Times New Roman" w:hAnsi="Times New Roman" w:cs="Times New Roman"/>
          <w:sz w:val="16"/>
          <w:szCs w:val="16"/>
        </w:rPr>
        <w:fldChar w:fldCharType="end"/>
      </w:r>
      <w:r w:rsidR="00AE0B52" w:rsidRPr="00354D7B">
        <w:rPr>
          <w:rFonts w:ascii="Times New Roman" w:eastAsia="Times New Roman" w:hAnsi="Times New Roman" w:cs="Times New Roman"/>
          <w:sz w:val="16"/>
          <w:szCs w:val="16"/>
        </w:rPr>
        <w:t xml:space="preserve"> and verbal memory was collected with a Pen and Paper neuropsychological test battery, and CogState Research Battery</w:t>
      </w:r>
      <w:r w:rsidR="00AE0B52">
        <w:rPr>
          <w:rFonts w:ascii="Times New Roman" w:eastAsia="Times New Roman" w:hAnsi="Times New Roman" w:cs="Times New Roman"/>
          <w:sz w:val="16"/>
          <w:szCs w:val="16"/>
        </w:rPr>
        <w:t xml:space="preserve"> </w:t>
      </w:r>
      <w:r w:rsidR="00AE0B52">
        <w:rPr>
          <w:rFonts w:ascii="Times New Roman" w:eastAsia="Times New Roman" w:hAnsi="Times New Roman" w:cs="Times New Roman"/>
          <w:sz w:val="16"/>
          <w:szCs w:val="16"/>
        </w:rPr>
        <w:fldChar w:fldCharType="begin" w:fldLock="1"/>
      </w:r>
      <w:r w:rsidR="00AE0B52">
        <w:rPr>
          <w:rFonts w:ascii="Times New Roman" w:eastAsia="Times New Roman" w:hAnsi="Times New Roman" w:cs="Times New Roman"/>
          <w:sz w:val="16"/>
          <w:szCs w:val="16"/>
        </w:rPr>
        <w:instrText>ADDIN CSL_CITATION { "citationItems" : [ { "id" : "ITEM-1", "itemData" : { "DOI" : "10.1080/13803390802592458", "ISSN" : "1380-3395", "abstract" : "This study examined the criterion and construct validity of a brief computerized cognitive test battery (CogState Schizophrenia Battery) compared to a conventional cognitive test battery recommended by the Measurement and Treatment Research to Improve Cognition in Schizophrenia (MATRICS) consensus. The CogState and MATRICS batteries yielded comparable effect sizes in comparing patients with schizophrenia to healthy controls (Cohen's ds = -1.50 for both batteries). Moderate to large correlations were observed between CogState and MATRICS measures of processing speed, attention/vigilance, working memory, verbal and visual learning, reasoning/problem solving, and social cognition (rs =.56-.79). CogState and MATRICS composite scores also correlated strongly with scores on the University of California at San Diego (UCSD) Performance-Based Skills Assessment (UPSA; rs =.76 and.79, respectively) in patients with schizophrenia. Results of this study suggest that the CogState Schizophrenia Battery provides valid measurement of the cognitive domains nominated by the MATRICS consensus group as being important to consider in the context of pharmacological treatments for cognitive impairment in schizophrenia. \u00a9 2009 Psychology Press.", "author" : [ { "dropping-particle" : "", "family" : "Pietrzak", "given" : "Robert H.", "non-dropping-particle" : "", "parse-names" : false, "suffix" : "" }, { "dropping-particle" : "", "family" : "Olver", "given" : "James", "non-dropping-particle" : "", "parse-names" : false, "suffix" : "" }, { "dropping-particle" : "", "family" : "Norman", "given" : "Trevor", "non-dropping-particle" : "", "parse-names" : false, "suffix" : "" }, { "dropping-particle" : "", "family" : "Piskulic", "given" : "Danijela", "non-dropping-particle" : "", "parse-names" : false, "suffix" : "" }, { "dropping-particle" : "", "family" : "Maruff", "given" : "Paul", "non-dropping-particle" : "", "parse-names" : false, "suffix" : "" }, { "dropping-particle" : "", "family" : "Snyder", "given" : "Peter J.", "non-dropping-particle" : "", "parse-names" : false, "suffix" : "" } ], "container-title" : "Journal of Clinical and Experimental Neuropsychology", "id" : "ITEM-1", "issue" : "7", "issued" : { "date-parts" : [ [ "2009", "9", "18" ] ] }, "page" : "848-859", "title" : "A comparison of the CogState Schizophrenia Battery and the Measurement and Treatment Research to Improve Cognition in Schizophrenia (MATRICS) Battery in assessing cognitive impairment in chronic schizophrenia", "type" : "article-journal", "volume" : "31" }, "uris" : [ "http://www.mendeley.com/documents/?uuid=1d36753b-58a5-3d45-88ab-f1f5bdb6d1a2" ] } ], "mendeley" : { "formattedCitation" : "(Pietrzak &lt;i&gt;et al.&lt;/i&gt; 2009)", "plainTextFormattedCitation" : "(Pietrzak et al. 2009)", "previouslyFormattedCitation" : "&lt;sup&gt;20&lt;/sup&gt;" }, "properties" : { "noteIndex" : 0 }, "schema" : "https://github.com/citation-style-language/schema/raw/master/csl-citation.json" }</w:instrText>
      </w:r>
      <w:r w:rsidR="00AE0B52">
        <w:rPr>
          <w:rFonts w:ascii="Times New Roman" w:eastAsia="Times New Roman" w:hAnsi="Times New Roman" w:cs="Times New Roman"/>
          <w:sz w:val="16"/>
          <w:szCs w:val="16"/>
        </w:rPr>
        <w:fldChar w:fldCharType="separate"/>
      </w:r>
      <w:r w:rsidR="00AE0B52" w:rsidRPr="005464B0">
        <w:rPr>
          <w:rFonts w:ascii="Times New Roman" w:eastAsia="Times New Roman" w:hAnsi="Times New Roman" w:cs="Times New Roman"/>
          <w:noProof/>
          <w:sz w:val="16"/>
          <w:szCs w:val="16"/>
        </w:rPr>
        <w:t xml:space="preserve">(Pietrzak </w:t>
      </w:r>
      <w:r w:rsidR="00AE0B52" w:rsidRPr="005464B0">
        <w:rPr>
          <w:rFonts w:ascii="Times New Roman" w:eastAsia="Times New Roman" w:hAnsi="Times New Roman" w:cs="Times New Roman"/>
          <w:i/>
          <w:noProof/>
          <w:sz w:val="16"/>
          <w:szCs w:val="16"/>
        </w:rPr>
        <w:t>et al.</w:t>
      </w:r>
      <w:r w:rsidR="00AE0B52" w:rsidRPr="005464B0">
        <w:rPr>
          <w:rFonts w:ascii="Times New Roman" w:eastAsia="Times New Roman" w:hAnsi="Times New Roman" w:cs="Times New Roman"/>
          <w:noProof/>
          <w:sz w:val="16"/>
          <w:szCs w:val="16"/>
        </w:rPr>
        <w:t xml:space="preserve"> 2009)</w:t>
      </w:r>
      <w:r w:rsidR="00AE0B52">
        <w:rPr>
          <w:rFonts w:ascii="Times New Roman" w:eastAsia="Times New Roman" w:hAnsi="Times New Roman" w:cs="Times New Roman"/>
          <w:sz w:val="16"/>
          <w:szCs w:val="16"/>
        </w:rPr>
        <w:fldChar w:fldCharType="end"/>
      </w:r>
      <w:r w:rsidR="00AE0B52">
        <w:rPr>
          <w:rFonts w:ascii="Times New Roman" w:eastAsia="Times New Roman" w:hAnsi="Times New Roman" w:cs="Times New Roman"/>
          <w:sz w:val="16"/>
          <w:szCs w:val="16"/>
        </w:rPr>
        <w:t>.</w:t>
      </w:r>
    </w:p>
    <w:p w14:paraId="7BD4DC58" w14:textId="77777777" w:rsidR="00AE0B52" w:rsidRDefault="00AE0B52" w:rsidP="00AE0B52">
      <w:pPr>
        <w:rPr>
          <w:lang w:val="en-CA"/>
        </w:rPr>
      </w:pPr>
    </w:p>
    <w:p w14:paraId="51C47D0A" w14:textId="77777777" w:rsidR="000D7D09" w:rsidRDefault="000D7D09" w:rsidP="00AE0B52">
      <w:pPr>
        <w:rPr>
          <w:lang w:val="en-CA"/>
        </w:rPr>
      </w:pPr>
    </w:p>
    <w:p w14:paraId="79FDC252" w14:textId="77777777" w:rsidR="000D7D09" w:rsidRDefault="000D7D09" w:rsidP="00AE0B52">
      <w:pPr>
        <w:rPr>
          <w:lang w:val="en-CA"/>
        </w:rPr>
      </w:pPr>
    </w:p>
    <w:p w14:paraId="1714ADE4" w14:textId="77777777" w:rsidR="000D7D09" w:rsidRDefault="000D7D09" w:rsidP="00AE0B52">
      <w:pPr>
        <w:rPr>
          <w:lang w:val="en-CA"/>
        </w:rPr>
      </w:pPr>
    </w:p>
    <w:p w14:paraId="0F5FBF1A" w14:textId="77777777" w:rsidR="000D7D09" w:rsidRDefault="000D7D09" w:rsidP="00AE0B52">
      <w:pPr>
        <w:rPr>
          <w:lang w:val="en-CA"/>
        </w:rPr>
      </w:pPr>
    </w:p>
    <w:p w14:paraId="6732EF8E" w14:textId="77777777" w:rsidR="000D7D09" w:rsidRDefault="000D7D09" w:rsidP="00AE0B52">
      <w:pPr>
        <w:rPr>
          <w:lang w:val="en-CA"/>
        </w:rPr>
      </w:pPr>
    </w:p>
    <w:p w14:paraId="281D13BF" w14:textId="77777777" w:rsidR="000D7D09" w:rsidRDefault="000D7D09" w:rsidP="00AE0B52">
      <w:pPr>
        <w:rPr>
          <w:lang w:val="en-CA"/>
        </w:rPr>
      </w:pPr>
    </w:p>
    <w:p w14:paraId="7E8B5535" w14:textId="77777777" w:rsidR="000D7D09" w:rsidRDefault="000D7D09" w:rsidP="00AE0B52">
      <w:pPr>
        <w:rPr>
          <w:lang w:val="en-CA"/>
        </w:rPr>
      </w:pPr>
    </w:p>
    <w:p w14:paraId="4250D5C1" w14:textId="77777777" w:rsidR="000D7D09" w:rsidRDefault="000D7D09" w:rsidP="00AE0B52">
      <w:pPr>
        <w:rPr>
          <w:lang w:val="en-CA"/>
        </w:rPr>
      </w:pPr>
    </w:p>
    <w:p w14:paraId="32251E90" w14:textId="77777777" w:rsidR="000D7D09" w:rsidRDefault="000D7D09" w:rsidP="00AE0B52">
      <w:pPr>
        <w:rPr>
          <w:lang w:val="en-CA"/>
        </w:rPr>
      </w:pPr>
    </w:p>
    <w:p w14:paraId="0AEAE847" w14:textId="77777777" w:rsidR="006512A3" w:rsidRDefault="006512A3" w:rsidP="00AE0B52">
      <w:pPr>
        <w:rPr>
          <w:lang w:val="en-CA"/>
        </w:rPr>
      </w:pPr>
    </w:p>
    <w:tbl>
      <w:tblPr>
        <w:tblW w:w="9500" w:type="dxa"/>
        <w:tblInd w:w="108" w:type="dxa"/>
        <w:tblLook w:val="04A0" w:firstRow="1" w:lastRow="0" w:firstColumn="1" w:lastColumn="0" w:noHBand="0" w:noVBand="1"/>
      </w:tblPr>
      <w:tblGrid>
        <w:gridCol w:w="2560"/>
        <w:gridCol w:w="1580"/>
        <w:gridCol w:w="1460"/>
        <w:gridCol w:w="1638"/>
        <w:gridCol w:w="782"/>
        <w:gridCol w:w="1480"/>
      </w:tblGrid>
      <w:tr w:rsidR="000D7D09" w14:paraId="2CF06CEC" w14:textId="77777777" w:rsidTr="000D7D09">
        <w:trPr>
          <w:trHeight w:val="320"/>
        </w:trPr>
        <w:tc>
          <w:tcPr>
            <w:tcW w:w="2560" w:type="dxa"/>
            <w:tcBorders>
              <w:top w:val="nil"/>
              <w:left w:val="nil"/>
              <w:bottom w:val="nil"/>
              <w:right w:val="nil"/>
            </w:tcBorders>
            <w:shd w:val="clear" w:color="auto" w:fill="auto"/>
            <w:noWrap/>
            <w:vAlign w:val="bottom"/>
            <w:hideMark/>
          </w:tcPr>
          <w:p w14:paraId="0D8B17DD" w14:textId="77777777" w:rsidR="000D7D09" w:rsidRDefault="000D7D09">
            <w:pPr>
              <w:rPr>
                <w:sz w:val="20"/>
                <w:szCs w:val="20"/>
              </w:rPr>
            </w:pPr>
          </w:p>
        </w:tc>
        <w:tc>
          <w:tcPr>
            <w:tcW w:w="1580" w:type="dxa"/>
            <w:tcBorders>
              <w:top w:val="nil"/>
              <w:left w:val="nil"/>
              <w:bottom w:val="nil"/>
              <w:right w:val="nil"/>
            </w:tcBorders>
            <w:shd w:val="clear" w:color="auto" w:fill="auto"/>
            <w:vAlign w:val="bottom"/>
            <w:hideMark/>
          </w:tcPr>
          <w:p w14:paraId="2C1F2A5D" w14:textId="77777777" w:rsidR="000D7D09" w:rsidRDefault="000D7D09">
            <w:pPr>
              <w:jc w:val="center"/>
              <w:rPr>
                <w:rFonts w:ascii="Arial" w:eastAsia="Times New Roman" w:hAnsi="Arial" w:cs="Arial"/>
                <w:color w:val="000000"/>
                <w:sz w:val="20"/>
                <w:szCs w:val="20"/>
              </w:rPr>
            </w:pPr>
            <w:r>
              <w:rPr>
                <w:rFonts w:ascii="Arial" w:eastAsia="Times New Roman" w:hAnsi="Arial" w:cs="Arial"/>
                <w:color w:val="000000"/>
                <w:sz w:val="20"/>
                <w:szCs w:val="20"/>
              </w:rPr>
              <w:t>SSZ (N=64)</w:t>
            </w:r>
          </w:p>
        </w:tc>
        <w:tc>
          <w:tcPr>
            <w:tcW w:w="1460" w:type="dxa"/>
            <w:tcBorders>
              <w:top w:val="nil"/>
              <w:left w:val="nil"/>
              <w:bottom w:val="nil"/>
              <w:right w:val="nil"/>
            </w:tcBorders>
            <w:shd w:val="clear" w:color="auto" w:fill="auto"/>
            <w:vAlign w:val="bottom"/>
            <w:hideMark/>
          </w:tcPr>
          <w:p w14:paraId="42A90AA6" w14:textId="77777777" w:rsidR="000D7D09" w:rsidRDefault="000D7D09">
            <w:pPr>
              <w:jc w:val="center"/>
              <w:rPr>
                <w:rFonts w:ascii="Arial" w:eastAsia="Times New Roman" w:hAnsi="Arial" w:cs="Arial"/>
                <w:color w:val="000000"/>
                <w:sz w:val="20"/>
                <w:szCs w:val="20"/>
              </w:rPr>
            </w:pPr>
            <w:r>
              <w:rPr>
                <w:rFonts w:ascii="Arial" w:eastAsia="Times New Roman" w:hAnsi="Arial" w:cs="Arial"/>
                <w:color w:val="000000"/>
                <w:sz w:val="20"/>
                <w:szCs w:val="20"/>
              </w:rPr>
              <w:t>AFF (N=15)</w:t>
            </w:r>
          </w:p>
        </w:tc>
        <w:tc>
          <w:tcPr>
            <w:tcW w:w="3900" w:type="dxa"/>
            <w:gridSpan w:val="3"/>
            <w:tcBorders>
              <w:top w:val="nil"/>
              <w:left w:val="nil"/>
              <w:bottom w:val="nil"/>
              <w:right w:val="nil"/>
            </w:tcBorders>
            <w:shd w:val="clear" w:color="auto" w:fill="auto"/>
            <w:noWrap/>
            <w:vAlign w:val="bottom"/>
            <w:hideMark/>
          </w:tcPr>
          <w:p w14:paraId="6A0A6C7A" w14:textId="77777777" w:rsidR="000D7D09" w:rsidRDefault="000D7D09">
            <w:pPr>
              <w:jc w:val="center"/>
              <w:rPr>
                <w:rFonts w:ascii="Arial" w:eastAsia="Times New Roman" w:hAnsi="Arial" w:cs="Arial"/>
                <w:color w:val="000000"/>
                <w:sz w:val="20"/>
                <w:szCs w:val="20"/>
              </w:rPr>
            </w:pPr>
            <w:r>
              <w:rPr>
                <w:rFonts w:ascii="Arial" w:eastAsia="Times New Roman" w:hAnsi="Arial" w:cs="Arial"/>
                <w:color w:val="000000"/>
                <w:sz w:val="20"/>
                <w:szCs w:val="20"/>
              </w:rPr>
              <w:t>Statistics Comparing Groups</w:t>
            </w:r>
          </w:p>
        </w:tc>
      </w:tr>
      <w:tr w:rsidR="000D7D09" w14:paraId="1858D292" w14:textId="77777777" w:rsidTr="000D7D09">
        <w:trPr>
          <w:trHeight w:val="320"/>
        </w:trPr>
        <w:tc>
          <w:tcPr>
            <w:tcW w:w="2560" w:type="dxa"/>
            <w:tcBorders>
              <w:top w:val="nil"/>
              <w:left w:val="nil"/>
              <w:bottom w:val="nil"/>
              <w:right w:val="nil"/>
            </w:tcBorders>
            <w:shd w:val="clear" w:color="000000" w:fill="D0CECE"/>
            <w:vAlign w:val="center"/>
            <w:hideMark/>
          </w:tcPr>
          <w:p w14:paraId="1E8F6317" w14:textId="77777777" w:rsidR="000D7D09" w:rsidRDefault="000D7D09">
            <w:pPr>
              <w:rPr>
                <w:rFonts w:ascii="Arial" w:eastAsia="Times New Roman" w:hAnsi="Arial" w:cs="Arial"/>
                <w:color w:val="000000"/>
                <w:sz w:val="16"/>
                <w:szCs w:val="16"/>
              </w:rPr>
            </w:pPr>
            <w:r>
              <w:rPr>
                <w:rFonts w:ascii="Arial" w:eastAsia="Times New Roman" w:hAnsi="Arial" w:cs="Arial"/>
                <w:color w:val="000000"/>
                <w:sz w:val="16"/>
                <w:szCs w:val="16"/>
              </w:rPr>
              <w:t> </w:t>
            </w:r>
          </w:p>
        </w:tc>
        <w:tc>
          <w:tcPr>
            <w:tcW w:w="3040" w:type="dxa"/>
            <w:gridSpan w:val="2"/>
            <w:tcBorders>
              <w:top w:val="nil"/>
              <w:left w:val="nil"/>
              <w:bottom w:val="nil"/>
              <w:right w:val="nil"/>
            </w:tcBorders>
            <w:shd w:val="clear" w:color="000000" w:fill="D0CECE"/>
            <w:noWrap/>
            <w:vAlign w:val="center"/>
            <w:hideMark/>
          </w:tcPr>
          <w:p w14:paraId="7DD93C86" w14:textId="77777777" w:rsidR="000D7D09" w:rsidRDefault="000D7D09">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Mean (SD)</w:t>
            </w:r>
          </w:p>
        </w:tc>
        <w:tc>
          <w:tcPr>
            <w:tcW w:w="1638" w:type="dxa"/>
            <w:tcBorders>
              <w:top w:val="nil"/>
              <w:left w:val="nil"/>
              <w:bottom w:val="nil"/>
              <w:right w:val="nil"/>
            </w:tcBorders>
            <w:shd w:val="clear" w:color="000000" w:fill="D0CECE"/>
            <w:noWrap/>
            <w:vAlign w:val="bottom"/>
            <w:hideMark/>
          </w:tcPr>
          <w:p w14:paraId="11F3D259" w14:textId="77777777" w:rsidR="000D7D09" w:rsidRDefault="000D7D09">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Statistic</w:t>
            </w:r>
          </w:p>
        </w:tc>
        <w:tc>
          <w:tcPr>
            <w:tcW w:w="782" w:type="dxa"/>
            <w:tcBorders>
              <w:top w:val="nil"/>
              <w:left w:val="nil"/>
              <w:bottom w:val="nil"/>
              <w:right w:val="nil"/>
            </w:tcBorders>
            <w:shd w:val="clear" w:color="000000" w:fill="D0CECE"/>
            <w:noWrap/>
            <w:vAlign w:val="bottom"/>
            <w:hideMark/>
          </w:tcPr>
          <w:p w14:paraId="51D968F0" w14:textId="77777777" w:rsidR="000D7D09" w:rsidRDefault="000D7D09">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df</w:t>
            </w:r>
          </w:p>
        </w:tc>
        <w:tc>
          <w:tcPr>
            <w:tcW w:w="1480" w:type="dxa"/>
            <w:tcBorders>
              <w:top w:val="nil"/>
              <w:left w:val="nil"/>
              <w:bottom w:val="nil"/>
              <w:right w:val="nil"/>
            </w:tcBorders>
            <w:shd w:val="clear" w:color="000000" w:fill="D0CECE"/>
            <w:noWrap/>
            <w:vAlign w:val="bottom"/>
            <w:hideMark/>
          </w:tcPr>
          <w:p w14:paraId="1C9B9967" w14:textId="77777777" w:rsidR="000D7D09" w:rsidRDefault="000D7D09">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p-value</w:t>
            </w:r>
          </w:p>
        </w:tc>
      </w:tr>
      <w:tr w:rsidR="000D7D09" w14:paraId="3B4366D1" w14:textId="77777777" w:rsidTr="000D7D09">
        <w:trPr>
          <w:trHeight w:val="320"/>
        </w:trPr>
        <w:tc>
          <w:tcPr>
            <w:tcW w:w="2560" w:type="dxa"/>
            <w:tcBorders>
              <w:top w:val="nil"/>
              <w:left w:val="nil"/>
              <w:bottom w:val="nil"/>
              <w:right w:val="nil"/>
            </w:tcBorders>
            <w:shd w:val="clear" w:color="auto" w:fill="auto"/>
            <w:vAlign w:val="center"/>
            <w:hideMark/>
          </w:tcPr>
          <w:p w14:paraId="2292EFD3" w14:textId="77777777" w:rsidR="000D7D09" w:rsidRDefault="000D7D09">
            <w:pPr>
              <w:rPr>
                <w:rFonts w:ascii="Arial" w:eastAsia="Times New Roman" w:hAnsi="Arial" w:cs="Arial"/>
                <w:color w:val="000000"/>
                <w:sz w:val="16"/>
                <w:szCs w:val="16"/>
              </w:rPr>
            </w:pPr>
            <w:r>
              <w:rPr>
                <w:rFonts w:ascii="Arial" w:eastAsia="Times New Roman" w:hAnsi="Arial" w:cs="Arial"/>
                <w:color w:val="000000"/>
                <w:sz w:val="16"/>
                <w:szCs w:val="16"/>
              </w:rPr>
              <w:t>Verbal Memory - Immediate</w:t>
            </w:r>
            <w:r>
              <w:rPr>
                <w:rFonts w:ascii="Arial" w:eastAsia="Times New Roman" w:hAnsi="Arial" w:cs="Arial"/>
                <w:color w:val="000000"/>
                <w:sz w:val="16"/>
                <w:szCs w:val="16"/>
                <w:vertAlign w:val="superscript"/>
              </w:rPr>
              <w:t>a,b</w:t>
            </w:r>
          </w:p>
        </w:tc>
        <w:tc>
          <w:tcPr>
            <w:tcW w:w="1580" w:type="dxa"/>
            <w:tcBorders>
              <w:top w:val="nil"/>
              <w:left w:val="nil"/>
              <w:bottom w:val="nil"/>
              <w:right w:val="nil"/>
            </w:tcBorders>
            <w:shd w:val="clear" w:color="auto" w:fill="auto"/>
            <w:noWrap/>
            <w:vAlign w:val="bottom"/>
            <w:hideMark/>
          </w:tcPr>
          <w:p w14:paraId="7A0741BF"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-1.5 (1.3) [63]</w:t>
            </w:r>
          </w:p>
        </w:tc>
        <w:tc>
          <w:tcPr>
            <w:tcW w:w="1460" w:type="dxa"/>
            <w:tcBorders>
              <w:top w:val="nil"/>
              <w:left w:val="nil"/>
              <w:bottom w:val="nil"/>
              <w:right w:val="nil"/>
            </w:tcBorders>
            <w:shd w:val="clear" w:color="auto" w:fill="auto"/>
            <w:noWrap/>
            <w:vAlign w:val="bottom"/>
            <w:hideMark/>
          </w:tcPr>
          <w:p w14:paraId="03724343"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-0.9 (1.3)</w:t>
            </w:r>
          </w:p>
        </w:tc>
        <w:tc>
          <w:tcPr>
            <w:tcW w:w="1638" w:type="dxa"/>
            <w:tcBorders>
              <w:top w:val="nil"/>
              <w:left w:val="nil"/>
              <w:bottom w:val="nil"/>
              <w:right w:val="nil"/>
            </w:tcBorders>
            <w:shd w:val="clear" w:color="auto" w:fill="auto"/>
            <w:noWrap/>
            <w:vAlign w:val="bottom"/>
            <w:hideMark/>
          </w:tcPr>
          <w:p w14:paraId="518B1304"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F=2.6</w:t>
            </w:r>
          </w:p>
        </w:tc>
        <w:tc>
          <w:tcPr>
            <w:tcW w:w="782" w:type="dxa"/>
            <w:tcBorders>
              <w:top w:val="nil"/>
              <w:left w:val="nil"/>
              <w:bottom w:val="nil"/>
              <w:right w:val="nil"/>
            </w:tcBorders>
            <w:shd w:val="clear" w:color="auto" w:fill="auto"/>
            <w:noWrap/>
            <w:vAlign w:val="bottom"/>
            <w:hideMark/>
          </w:tcPr>
          <w:p w14:paraId="5F656AB3"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1, 74</w:t>
            </w:r>
          </w:p>
        </w:tc>
        <w:tc>
          <w:tcPr>
            <w:tcW w:w="1480" w:type="dxa"/>
            <w:tcBorders>
              <w:top w:val="nil"/>
              <w:left w:val="nil"/>
              <w:bottom w:val="nil"/>
              <w:right w:val="nil"/>
            </w:tcBorders>
            <w:shd w:val="clear" w:color="auto" w:fill="auto"/>
            <w:noWrap/>
            <w:vAlign w:val="bottom"/>
            <w:hideMark/>
          </w:tcPr>
          <w:p w14:paraId="50BB4498"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0.1</w:t>
            </w:r>
          </w:p>
        </w:tc>
      </w:tr>
      <w:tr w:rsidR="000D7D09" w14:paraId="5B4B9981" w14:textId="77777777" w:rsidTr="000D7D09">
        <w:trPr>
          <w:trHeight w:val="320"/>
        </w:trPr>
        <w:tc>
          <w:tcPr>
            <w:tcW w:w="2560" w:type="dxa"/>
            <w:tcBorders>
              <w:top w:val="nil"/>
              <w:left w:val="nil"/>
              <w:bottom w:val="nil"/>
              <w:right w:val="nil"/>
            </w:tcBorders>
            <w:shd w:val="clear" w:color="auto" w:fill="auto"/>
            <w:vAlign w:val="center"/>
            <w:hideMark/>
          </w:tcPr>
          <w:p w14:paraId="23CC3379" w14:textId="77777777" w:rsidR="000D7D09" w:rsidRDefault="000D7D09">
            <w:pPr>
              <w:rPr>
                <w:rFonts w:ascii="Arial" w:eastAsia="Times New Roman" w:hAnsi="Arial" w:cs="Arial"/>
                <w:color w:val="000000"/>
                <w:sz w:val="16"/>
                <w:szCs w:val="16"/>
              </w:rPr>
            </w:pPr>
            <w:r>
              <w:rPr>
                <w:rFonts w:ascii="Arial" w:eastAsia="Times New Roman" w:hAnsi="Arial" w:cs="Arial"/>
                <w:color w:val="000000"/>
                <w:sz w:val="16"/>
                <w:szCs w:val="16"/>
              </w:rPr>
              <w:t>Verbal Memory - Delayed</w:t>
            </w:r>
            <w:r>
              <w:rPr>
                <w:rFonts w:ascii="Arial" w:eastAsia="Times New Roman" w:hAnsi="Arial" w:cs="Arial"/>
                <w:color w:val="000000"/>
                <w:sz w:val="16"/>
                <w:szCs w:val="16"/>
                <w:vertAlign w:val="superscript"/>
              </w:rPr>
              <w:t>a,b</w:t>
            </w:r>
          </w:p>
        </w:tc>
        <w:tc>
          <w:tcPr>
            <w:tcW w:w="1580" w:type="dxa"/>
            <w:tcBorders>
              <w:top w:val="nil"/>
              <w:left w:val="nil"/>
              <w:bottom w:val="nil"/>
              <w:right w:val="nil"/>
            </w:tcBorders>
            <w:shd w:val="clear" w:color="auto" w:fill="auto"/>
            <w:noWrap/>
            <w:vAlign w:val="bottom"/>
            <w:hideMark/>
          </w:tcPr>
          <w:p w14:paraId="6BDF70BC"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-1.0 (0.9) [63]</w:t>
            </w:r>
          </w:p>
        </w:tc>
        <w:tc>
          <w:tcPr>
            <w:tcW w:w="1460" w:type="dxa"/>
            <w:tcBorders>
              <w:top w:val="nil"/>
              <w:left w:val="nil"/>
              <w:bottom w:val="nil"/>
              <w:right w:val="nil"/>
            </w:tcBorders>
            <w:shd w:val="clear" w:color="auto" w:fill="auto"/>
            <w:noWrap/>
            <w:vAlign w:val="bottom"/>
            <w:hideMark/>
          </w:tcPr>
          <w:p w14:paraId="75F4DCF2"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-0.5 (1.2)</w:t>
            </w:r>
          </w:p>
        </w:tc>
        <w:tc>
          <w:tcPr>
            <w:tcW w:w="1638" w:type="dxa"/>
            <w:tcBorders>
              <w:top w:val="nil"/>
              <w:left w:val="nil"/>
              <w:bottom w:val="nil"/>
              <w:right w:val="nil"/>
            </w:tcBorders>
            <w:shd w:val="clear" w:color="auto" w:fill="auto"/>
            <w:noWrap/>
            <w:vAlign w:val="bottom"/>
            <w:hideMark/>
          </w:tcPr>
          <w:p w14:paraId="4DCD2B78"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F=3.2</w:t>
            </w:r>
          </w:p>
        </w:tc>
        <w:tc>
          <w:tcPr>
            <w:tcW w:w="782" w:type="dxa"/>
            <w:tcBorders>
              <w:top w:val="nil"/>
              <w:left w:val="nil"/>
              <w:bottom w:val="nil"/>
              <w:right w:val="nil"/>
            </w:tcBorders>
            <w:shd w:val="clear" w:color="auto" w:fill="auto"/>
            <w:noWrap/>
            <w:vAlign w:val="bottom"/>
            <w:hideMark/>
          </w:tcPr>
          <w:p w14:paraId="530988AA"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1, 74</w:t>
            </w:r>
          </w:p>
        </w:tc>
        <w:tc>
          <w:tcPr>
            <w:tcW w:w="1480" w:type="dxa"/>
            <w:tcBorders>
              <w:top w:val="nil"/>
              <w:left w:val="nil"/>
              <w:bottom w:val="nil"/>
              <w:right w:val="nil"/>
            </w:tcBorders>
            <w:shd w:val="clear" w:color="auto" w:fill="auto"/>
            <w:noWrap/>
            <w:vAlign w:val="bottom"/>
            <w:hideMark/>
          </w:tcPr>
          <w:p w14:paraId="2FCCB514"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0.08</w:t>
            </w:r>
          </w:p>
        </w:tc>
      </w:tr>
      <w:tr w:rsidR="000D7D09" w14:paraId="3A55969B" w14:textId="77777777" w:rsidTr="000D7D09">
        <w:trPr>
          <w:trHeight w:val="320"/>
        </w:trPr>
        <w:tc>
          <w:tcPr>
            <w:tcW w:w="2560" w:type="dxa"/>
            <w:tcBorders>
              <w:top w:val="nil"/>
              <w:left w:val="nil"/>
              <w:bottom w:val="nil"/>
              <w:right w:val="nil"/>
            </w:tcBorders>
            <w:shd w:val="clear" w:color="auto" w:fill="auto"/>
            <w:vAlign w:val="center"/>
            <w:hideMark/>
          </w:tcPr>
          <w:p w14:paraId="7E4CD083" w14:textId="77777777" w:rsidR="000D7D09" w:rsidRDefault="000D7D09">
            <w:pPr>
              <w:rPr>
                <w:rFonts w:ascii="Arial" w:eastAsia="Times New Roman" w:hAnsi="Arial" w:cs="Arial"/>
                <w:color w:val="000000"/>
                <w:sz w:val="16"/>
                <w:szCs w:val="16"/>
              </w:rPr>
            </w:pPr>
            <w:r>
              <w:rPr>
                <w:rFonts w:ascii="Arial" w:eastAsia="Times New Roman" w:hAnsi="Arial" w:cs="Arial"/>
                <w:color w:val="000000"/>
                <w:sz w:val="16"/>
                <w:szCs w:val="16"/>
              </w:rPr>
              <w:t>Baseline Amotivation</w:t>
            </w:r>
          </w:p>
        </w:tc>
        <w:tc>
          <w:tcPr>
            <w:tcW w:w="1580" w:type="dxa"/>
            <w:tcBorders>
              <w:top w:val="nil"/>
              <w:left w:val="nil"/>
              <w:bottom w:val="nil"/>
              <w:right w:val="nil"/>
            </w:tcBorders>
            <w:shd w:val="clear" w:color="auto" w:fill="auto"/>
            <w:noWrap/>
            <w:vAlign w:val="bottom"/>
            <w:hideMark/>
          </w:tcPr>
          <w:p w14:paraId="63E82BF2"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11.8 (6.1)</w:t>
            </w:r>
          </w:p>
        </w:tc>
        <w:tc>
          <w:tcPr>
            <w:tcW w:w="1460" w:type="dxa"/>
            <w:tcBorders>
              <w:top w:val="nil"/>
              <w:left w:val="nil"/>
              <w:bottom w:val="nil"/>
              <w:right w:val="nil"/>
            </w:tcBorders>
            <w:shd w:val="clear" w:color="auto" w:fill="auto"/>
            <w:noWrap/>
            <w:vAlign w:val="bottom"/>
            <w:hideMark/>
          </w:tcPr>
          <w:p w14:paraId="5CEAD494"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9.5 (5.6)</w:t>
            </w:r>
          </w:p>
        </w:tc>
        <w:tc>
          <w:tcPr>
            <w:tcW w:w="1638" w:type="dxa"/>
            <w:tcBorders>
              <w:top w:val="nil"/>
              <w:left w:val="nil"/>
              <w:bottom w:val="nil"/>
              <w:right w:val="nil"/>
            </w:tcBorders>
            <w:shd w:val="clear" w:color="auto" w:fill="auto"/>
            <w:noWrap/>
            <w:vAlign w:val="bottom"/>
            <w:hideMark/>
          </w:tcPr>
          <w:p w14:paraId="37EA20A9"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t=1.3</w:t>
            </w:r>
          </w:p>
        </w:tc>
        <w:tc>
          <w:tcPr>
            <w:tcW w:w="782" w:type="dxa"/>
            <w:tcBorders>
              <w:top w:val="nil"/>
              <w:left w:val="nil"/>
              <w:bottom w:val="nil"/>
              <w:right w:val="nil"/>
            </w:tcBorders>
            <w:shd w:val="clear" w:color="auto" w:fill="auto"/>
            <w:noWrap/>
            <w:vAlign w:val="bottom"/>
            <w:hideMark/>
          </w:tcPr>
          <w:p w14:paraId="2BF3C6A4"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77</w:t>
            </w:r>
          </w:p>
        </w:tc>
        <w:tc>
          <w:tcPr>
            <w:tcW w:w="1480" w:type="dxa"/>
            <w:tcBorders>
              <w:top w:val="nil"/>
              <w:left w:val="nil"/>
              <w:bottom w:val="nil"/>
              <w:right w:val="nil"/>
            </w:tcBorders>
            <w:shd w:val="clear" w:color="auto" w:fill="auto"/>
            <w:noWrap/>
            <w:vAlign w:val="bottom"/>
            <w:hideMark/>
          </w:tcPr>
          <w:p w14:paraId="421853D9"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0.2</w:t>
            </w:r>
          </w:p>
        </w:tc>
      </w:tr>
      <w:tr w:rsidR="000D7D09" w14:paraId="0233A3F2" w14:textId="77777777" w:rsidTr="000D7D09">
        <w:trPr>
          <w:trHeight w:val="320"/>
        </w:trPr>
        <w:tc>
          <w:tcPr>
            <w:tcW w:w="2560" w:type="dxa"/>
            <w:tcBorders>
              <w:top w:val="nil"/>
              <w:left w:val="nil"/>
              <w:bottom w:val="nil"/>
              <w:right w:val="nil"/>
            </w:tcBorders>
            <w:shd w:val="clear" w:color="auto" w:fill="auto"/>
            <w:vAlign w:val="center"/>
            <w:hideMark/>
          </w:tcPr>
          <w:p w14:paraId="007F8BEF" w14:textId="77777777" w:rsidR="000D7D09" w:rsidRDefault="000D7D09">
            <w:pPr>
              <w:rPr>
                <w:rFonts w:ascii="Arial" w:eastAsia="Times New Roman" w:hAnsi="Arial" w:cs="Arial"/>
                <w:color w:val="000000"/>
                <w:sz w:val="16"/>
                <w:szCs w:val="16"/>
              </w:rPr>
            </w:pPr>
            <w:r>
              <w:rPr>
                <w:rFonts w:ascii="Arial" w:eastAsia="Times New Roman" w:hAnsi="Arial" w:cs="Arial"/>
                <w:color w:val="000000"/>
                <w:sz w:val="16"/>
                <w:szCs w:val="16"/>
              </w:rPr>
              <w:t>Baseline Expressivity</w:t>
            </w:r>
            <w:r>
              <w:rPr>
                <w:rFonts w:ascii="Arial" w:eastAsia="Times New Roman" w:hAnsi="Arial" w:cs="Arial"/>
                <w:color w:val="000000"/>
                <w:sz w:val="16"/>
                <w:szCs w:val="16"/>
                <w:vertAlign w:val="superscript"/>
              </w:rPr>
              <w:t>c</w:t>
            </w:r>
          </w:p>
        </w:tc>
        <w:tc>
          <w:tcPr>
            <w:tcW w:w="1580" w:type="dxa"/>
            <w:tcBorders>
              <w:top w:val="nil"/>
              <w:left w:val="nil"/>
              <w:bottom w:val="nil"/>
              <w:right w:val="nil"/>
            </w:tcBorders>
            <w:shd w:val="clear" w:color="auto" w:fill="auto"/>
            <w:noWrap/>
            <w:vAlign w:val="bottom"/>
            <w:hideMark/>
          </w:tcPr>
          <w:p w14:paraId="3827F836"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8.8 (8.2)</w:t>
            </w:r>
          </w:p>
        </w:tc>
        <w:tc>
          <w:tcPr>
            <w:tcW w:w="1460" w:type="dxa"/>
            <w:tcBorders>
              <w:top w:val="nil"/>
              <w:left w:val="nil"/>
              <w:bottom w:val="nil"/>
              <w:right w:val="nil"/>
            </w:tcBorders>
            <w:shd w:val="clear" w:color="auto" w:fill="auto"/>
            <w:noWrap/>
            <w:vAlign w:val="bottom"/>
            <w:hideMark/>
          </w:tcPr>
          <w:p w14:paraId="706A05C9"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4.4 (4.5)</w:t>
            </w:r>
          </w:p>
        </w:tc>
        <w:tc>
          <w:tcPr>
            <w:tcW w:w="1638" w:type="dxa"/>
            <w:tcBorders>
              <w:top w:val="nil"/>
              <w:left w:val="nil"/>
              <w:bottom w:val="nil"/>
              <w:right w:val="nil"/>
            </w:tcBorders>
            <w:shd w:val="clear" w:color="auto" w:fill="auto"/>
            <w:noWrap/>
            <w:vAlign w:val="bottom"/>
            <w:hideMark/>
          </w:tcPr>
          <w:p w14:paraId="2E6CD0FA"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U=335</w:t>
            </w:r>
          </w:p>
        </w:tc>
        <w:tc>
          <w:tcPr>
            <w:tcW w:w="782" w:type="dxa"/>
            <w:tcBorders>
              <w:top w:val="nil"/>
              <w:left w:val="nil"/>
              <w:bottom w:val="nil"/>
              <w:right w:val="nil"/>
            </w:tcBorders>
            <w:shd w:val="clear" w:color="auto" w:fill="auto"/>
            <w:noWrap/>
            <w:vAlign w:val="bottom"/>
            <w:hideMark/>
          </w:tcPr>
          <w:p w14:paraId="1F99E276" w14:textId="77777777" w:rsidR="000D7D09" w:rsidRDefault="000D7D09">
            <w:pPr>
              <w:jc w:val="center"/>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vAlign w:val="bottom"/>
            <w:hideMark/>
          </w:tcPr>
          <w:p w14:paraId="6D9181F6" w14:textId="0DDF77DA"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0.07</w:t>
            </w:r>
          </w:p>
        </w:tc>
      </w:tr>
      <w:tr w:rsidR="000D7D09" w14:paraId="7980FAEE" w14:textId="77777777" w:rsidTr="000D7D09">
        <w:trPr>
          <w:trHeight w:val="320"/>
        </w:trPr>
        <w:tc>
          <w:tcPr>
            <w:tcW w:w="2560" w:type="dxa"/>
            <w:tcBorders>
              <w:top w:val="nil"/>
              <w:left w:val="nil"/>
              <w:bottom w:val="nil"/>
              <w:right w:val="nil"/>
            </w:tcBorders>
            <w:shd w:val="clear" w:color="auto" w:fill="auto"/>
            <w:vAlign w:val="center"/>
            <w:hideMark/>
          </w:tcPr>
          <w:p w14:paraId="12252BD8" w14:textId="77777777" w:rsidR="000D7D09" w:rsidRDefault="000D7D09">
            <w:pPr>
              <w:rPr>
                <w:rFonts w:ascii="Arial" w:eastAsia="Times New Roman" w:hAnsi="Arial" w:cs="Arial"/>
                <w:color w:val="000000"/>
                <w:sz w:val="16"/>
                <w:szCs w:val="16"/>
              </w:rPr>
            </w:pPr>
            <w:r>
              <w:rPr>
                <w:rFonts w:ascii="Arial" w:eastAsia="Times New Roman" w:hAnsi="Arial" w:cs="Arial"/>
                <w:color w:val="000000"/>
                <w:sz w:val="16"/>
                <w:szCs w:val="16"/>
              </w:rPr>
              <w:t>Δ Amotivation</w:t>
            </w:r>
          </w:p>
        </w:tc>
        <w:tc>
          <w:tcPr>
            <w:tcW w:w="1580" w:type="dxa"/>
            <w:tcBorders>
              <w:top w:val="nil"/>
              <w:left w:val="nil"/>
              <w:bottom w:val="nil"/>
              <w:right w:val="nil"/>
            </w:tcBorders>
            <w:shd w:val="clear" w:color="auto" w:fill="auto"/>
            <w:noWrap/>
            <w:vAlign w:val="bottom"/>
            <w:hideMark/>
          </w:tcPr>
          <w:p w14:paraId="370FC866"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-1.6 (4.6)</w:t>
            </w:r>
          </w:p>
        </w:tc>
        <w:tc>
          <w:tcPr>
            <w:tcW w:w="1460" w:type="dxa"/>
            <w:tcBorders>
              <w:top w:val="nil"/>
              <w:left w:val="nil"/>
              <w:bottom w:val="nil"/>
              <w:right w:val="nil"/>
            </w:tcBorders>
            <w:shd w:val="clear" w:color="auto" w:fill="auto"/>
            <w:noWrap/>
            <w:vAlign w:val="bottom"/>
            <w:hideMark/>
          </w:tcPr>
          <w:p w14:paraId="7387D41B"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-2.3 (3.2)</w:t>
            </w:r>
          </w:p>
        </w:tc>
        <w:tc>
          <w:tcPr>
            <w:tcW w:w="1638" w:type="dxa"/>
            <w:tcBorders>
              <w:top w:val="nil"/>
              <w:left w:val="nil"/>
              <w:bottom w:val="nil"/>
              <w:right w:val="nil"/>
            </w:tcBorders>
            <w:shd w:val="clear" w:color="auto" w:fill="auto"/>
            <w:noWrap/>
            <w:vAlign w:val="bottom"/>
            <w:hideMark/>
          </w:tcPr>
          <w:p w14:paraId="3CE114F5"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t=0.6</w:t>
            </w:r>
          </w:p>
        </w:tc>
        <w:tc>
          <w:tcPr>
            <w:tcW w:w="782" w:type="dxa"/>
            <w:tcBorders>
              <w:top w:val="nil"/>
              <w:left w:val="nil"/>
              <w:bottom w:val="nil"/>
              <w:right w:val="nil"/>
            </w:tcBorders>
            <w:shd w:val="clear" w:color="auto" w:fill="auto"/>
            <w:noWrap/>
            <w:vAlign w:val="bottom"/>
            <w:hideMark/>
          </w:tcPr>
          <w:p w14:paraId="21EDCC4E"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77</w:t>
            </w:r>
          </w:p>
        </w:tc>
        <w:tc>
          <w:tcPr>
            <w:tcW w:w="1480" w:type="dxa"/>
            <w:tcBorders>
              <w:top w:val="nil"/>
              <w:left w:val="nil"/>
              <w:bottom w:val="nil"/>
              <w:right w:val="nil"/>
            </w:tcBorders>
            <w:shd w:val="clear" w:color="auto" w:fill="auto"/>
            <w:noWrap/>
            <w:vAlign w:val="bottom"/>
            <w:hideMark/>
          </w:tcPr>
          <w:p w14:paraId="3AC382E2"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0.6</w:t>
            </w:r>
          </w:p>
        </w:tc>
      </w:tr>
      <w:tr w:rsidR="000D7D09" w14:paraId="6DD2F9C2" w14:textId="77777777" w:rsidTr="000D7D09">
        <w:trPr>
          <w:trHeight w:val="320"/>
        </w:trPr>
        <w:tc>
          <w:tcPr>
            <w:tcW w:w="2560" w:type="dxa"/>
            <w:tcBorders>
              <w:top w:val="nil"/>
              <w:left w:val="nil"/>
              <w:bottom w:val="nil"/>
              <w:right w:val="nil"/>
            </w:tcBorders>
            <w:shd w:val="clear" w:color="auto" w:fill="auto"/>
            <w:noWrap/>
            <w:vAlign w:val="bottom"/>
            <w:hideMark/>
          </w:tcPr>
          <w:p w14:paraId="64276CB4" w14:textId="77777777" w:rsidR="000D7D09" w:rsidRDefault="000D7D09">
            <w:pPr>
              <w:rPr>
                <w:rFonts w:ascii="Arial" w:eastAsia="Times New Roman" w:hAnsi="Arial" w:cs="Arial"/>
                <w:color w:val="000000"/>
                <w:sz w:val="16"/>
                <w:szCs w:val="16"/>
              </w:rPr>
            </w:pPr>
            <w:r>
              <w:rPr>
                <w:rFonts w:ascii="Arial" w:eastAsia="Times New Roman" w:hAnsi="Arial" w:cs="Arial"/>
                <w:color w:val="000000"/>
                <w:sz w:val="16"/>
                <w:szCs w:val="16"/>
              </w:rPr>
              <w:t>Δ Expressivity</w:t>
            </w:r>
          </w:p>
        </w:tc>
        <w:tc>
          <w:tcPr>
            <w:tcW w:w="1580" w:type="dxa"/>
            <w:tcBorders>
              <w:top w:val="nil"/>
              <w:left w:val="nil"/>
              <w:bottom w:val="nil"/>
              <w:right w:val="nil"/>
            </w:tcBorders>
            <w:shd w:val="clear" w:color="auto" w:fill="auto"/>
            <w:noWrap/>
            <w:vAlign w:val="bottom"/>
            <w:hideMark/>
          </w:tcPr>
          <w:p w14:paraId="57821320"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-1.4 (5.9)</w:t>
            </w:r>
          </w:p>
        </w:tc>
        <w:tc>
          <w:tcPr>
            <w:tcW w:w="1460" w:type="dxa"/>
            <w:tcBorders>
              <w:top w:val="nil"/>
              <w:left w:val="nil"/>
              <w:bottom w:val="nil"/>
              <w:right w:val="nil"/>
            </w:tcBorders>
            <w:shd w:val="clear" w:color="auto" w:fill="auto"/>
            <w:noWrap/>
            <w:vAlign w:val="bottom"/>
            <w:hideMark/>
          </w:tcPr>
          <w:p w14:paraId="34249562"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-1.0 (2.5)</w:t>
            </w:r>
          </w:p>
        </w:tc>
        <w:tc>
          <w:tcPr>
            <w:tcW w:w="1638" w:type="dxa"/>
            <w:tcBorders>
              <w:top w:val="nil"/>
              <w:left w:val="nil"/>
              <w:bottom w:val="nil"/>
              <w:right w:val="nil"/>
            </w:tcBorders>
            <w:shd w:val="clear" w:color="auto" w:fill="auto"/>
            <w:noWrap/>
            <w:vAlign w:val="bottom"/>
            <w:hideMark/>
          </w:tcPr>
          <w:p w14:paraId="7A839382"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t=-0.3</w:t>
            </w:r>
          </w:p>
        </w:tc>
        <w:tc>
          <w:tcPr>
            <w:tcW w:w="782" w:type="dxa"/>
            <w:tcBorders>
              <w:top w:val="nil"/>
              <w:left w:val="nil"/>
              <w:bottom w:val="nil"/>
              <w:right w:val="nil"/>
            </w:tcBorders>
            <w:shd w:val="clear" w:color="auto" w:fill="auto"/>
            <w:noWrap/>
            <w:vAlign w:val="bottom"/>
            <w:hideMark/>
          </w:tcPr>
          <w:p w14:paraId="24BEEA4C"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77</w:t>
            </w:r>
          </w:p>
        </w:tc>
        <w:tc>
          <w:tcPr>
            <w:tcW w:w="1480" w:type="dxa"/>
            <w:tcBorders>
              <w:top w:val="nil"/>
              <w:left w:val="nil"/>
              <w:bottom w:val="nil"/>
              <w:right w:val="nil"/>
            </w:tcBorders>
            <w:shd w:val="clear" w:color="auto" w:fill="auto"/>
            <w:noWrap/>
            <w:vAlign w:val="bottom"/>
            <w:hideMark/>
          </w:tcPr>
          <w:p w14:paraId="4B2F3A0E" w14:textId="77777777" w:rsidR="000D7D09" w:rsidRDefault="000D7D09">
            <w:pPr>
              <w:jc w:val="center"/>
              <w:rPr>
                <w:rFonts w:ascii="Arial" w:eastAsia="Times New Roman" w:hAnsi="Arial" w:cs="Arial"/>
                <w:color w:val="000000"/>
                <w:sz w:val="16"/>
                <w:szCs w:val="16"/>
              </w:rPr>
            </w:pPr>
            <w:r>
              <w:rPr>
                <w:rFonts w:ascii="Arial" w:eastAsia="Times New Roman" w:hAnsi="Arial" w:cs="Arial"/>
                <w:color w:val="000000"/>
                <w:sz w:val="16"/>
                <w:szCs w:val="16"/>
              </w:rPr>
              <w:t>0.78</w:t>
            </w:r>
          </w:p>
        </w:tc>
      </w:tr>
    </w:tbl>
    <w:p w14:paraId="70DDA99B" w14:textId="77777777" w:rsidR="006512A3" w:rsidRDefault="006512A3" w:rsidP="00AE0B52">
      <w:pPr>
        <w:rPr>
          <w:lang w:val="en-CA"/>
        </w:rPr>
      </w:pPr>
    </w:p>
    <w:p w14:paraId="02C099E5" w14:textId="32191D13" w:rsidR="006512A3" w:rsidRDefault="006512A3" w:rsidP="00AE0B52">
      <w:pPr>
        <w:rPr>
          <w:sz w:val="16"/>
          <w:szCs w:val="16"/>
          <w:lang w:val="en-CA"/>
        </w:rPr>
      </w:pPr>
      <w:r>
        <w:rPr>
          <w:b/>
          <w:sz w:val="16"/>
          <w:szCs w:val="16"/>
          <w:lang w:val="en-CA"/>
        </w:rPr>
        <w:t>Supplementary T</w:t>
      </w:r>
      <w:r w:rsidRPr="00354D7B">
        <w:rPr>
          <w:b/>
          <w:sz w:val="16"/>
          <w:szCs w:val="16"/>
          <w:lang w:val="en-CA"/>
        </w:rPr>
        <w:t xml:space="preserve">able </w:t>
      </w:r>
      <w:r>
        <w:rPr>
          <w:b/>
          <w:sz w:val="16"/>
          <w:szCs w:val="16"/>
          <w:lang w:val="en-CA"/>
        </w:rPr>
        <w:t>2</w:t>
      </w:r>
      <w:r w:rsidRPr="00354D7B">
        <w:rPr>
          <w:sz w:val="16"/>
          <w:szCs w:val="16"/>
          <w:lang w:val="en-CA"/>
        </w:rPr>
        <w:t>.</w:t>
      </w:r>
      <w:r>
        <w:rPr>
          <w:sz w:val="16"/>
          <w:szCs w:val="16"/>
          <w:lang w:val="en-CA"/>
        </w:rPr>
        <w:t xml:space="preserve"> Comparing negative symptoms and verbal memory performance between FEP patients with a schizophrenia spectrum (SSZ) diagnosis (e.g. schizophrenia, schizoaffective) and patients with an affective (AFF) diagnosis (e</w:t>
      </w:r>
      <w:r w:rsidR="001137FF">
        <w:rPr>
          <w:sz w:val="16"/>
          <w:szCs w:val="16"/>
          <w:lang w:val="en-CA"/>
        </w:rPr>
        <w:t>.g. bipolar</w:t>
      </w:r>
      <w:r>
        <w:rPr>
          <w:sz w:val="16"/>
          <w:szCs w:val="16"/>
          <w:lang w:val="en-CA"/>
        </w:rPr>
        <w:t>,</w:t>
      </w:r>
      <w:r w:rsidR="001137FF">
        <w:rPr>
          <w:sz w:val="16"/>
          <w:szCs w:val="16"/>
          <w:lang w:val="en-CA"/>
        </w:rPr>
        <w:t xml:space="preserve"> </w:t>
      </w:r>
      <w:r>
        <w:rPr>
          <w:sz w:val="16"/>
          <w:szCs w:val="16"/>
          <w:lang w:val="en-CA"/>
        </w:rPr>
        <w:t xml:space="preserve">major depression with psychotic features). </w:t>
      </w:r>
      <w:r w:rsidR="001137FF">
        <w:rPr>
          <w:sz w:val="16"/>
          <w:szCs w:val="16"/>
          <w:lang w:val="en-CA"/>
        </w:rPr>
        <w:t>No significant differences emerged between diagnoses, although there was a trend-like difference for delaed recall and baseline expressivity scores, where SSZ patients tended to have worse delayed recall performance and a higher level of expressivity deficits.</w:t>
      </w:r>
    </w:p>
    <w:p w14:paraId="47569BF0" w14:textId="4CEE093A" w:rsidR="001137FF" w:rsidRDefault="001137FF" w:rsidP="001137FF">
      <w:pPr>
        <w:pStyle w:val="Normal1"/>
        <w:spacing w:line="240" w:lineRule="auto"/>
        <w:rPr>
          <w:rFonts w:ascii="Times New Roman" w:eastAsia="Times New Roman" w:hAnsi="Times New Roman" w:cs="Times New Roman"/>
          <w:sz w:val="16"/>
          <w:szCs w:val="16"/>
          <w:vertAlign w:val="superscript"/>
        </w:rPr>
      </w:pPr>
      <w:r>
        <w:rPr>
          <w:rFonts w:ascii="Times New Roman" w:eastAsia="Times New Roman" w:hAnsi="Times New Roman" w:cs="Times New Roman"/>
          <w:sz w:val="16"/>
          <w:szCs w:val="16"/>
          <w:vertAlign w:val="superscript"/>
        </w:rPr>
        <w:t>a</w:t>
      </w:r>
      <w:r>
        <w:rPr>
          <w:rFonts w:ascii="Times New Roman" w:eastAsia="Times New Roman" w:hAnsi="Times New Roman" w:cs="Times New Roman"/>
          <w:sz w:val="16"/>
          <w:szCs w:val="16"/>
        </w:rPr>
        <w:t>Verbal memory missing for one SSZ patient</w:t>
      </w:r>
      <w:r w:rsidR="00337437">
        <w:rPr>
          <w:rFonts w:ascii="Times New Roman" w:eastAsia="Times New Roman" w:hAnsi="Times New Roman" w:cs="Times New Roman"/>
          <w:sz w:val="16"/>
          <w:szCs w:val="16"/>
        </w:rPr>
        <w:t>. Adjusted sample size is included in square brackets</w:t>
      </w:r>
      <w:r>
        <w:rPr>
          <w:rFonts w:ascii="Times New Roman" w:eastAsia="Times New Roman" w:hAnsi="Times New Roman" w:cs="Times New Roman"/>
          <w:sz w:val="16"/>
          <w:szCs w:val="16"/>
        </w:rPr>
        <w:t>.</w:t>
      </w:r>
    </w:p>
    <w:p w14:paraId="60A93322" w14:textId="087D2352" w:rsidR="001137FF" w:rsidRPr="00E46DC3" w:rsidRDefault="001137FF" w:rsidP="001137FF">
      <w:pPr>
        <w:pStyle w:val="Normal1"/>
        <w:spacing w:line="240" w:lineRule="auto"/>
        <w:rPr>
          <w:rFonts w:ascii="Times New Roman" w:hAnsi="Times New Roman" w:cs="Times New Roman"/>
          <w:sz w:val="16"/>
          <w:szCs w:val="16"/>
        </w:rPr>
      </w:pPr>
      <w:r>
        <w:rPr>
          <w:rFonts w:ascii="Times New Roman" w:eastAsia="Times New Roman" w:hAnsi="Times New Roman" w:cs="Times New Roman"/>
          <w:sz w:val="16"/>
          <w:szCs w:val="16"/>
          <w:vertAlign w:val="superscript"/>
        </w:rPr>
        <w:t>b</w:t>
      </w:r>
      <w:r w:rsidRPr="00354D7B">
        <w:rPr>
          <w:rFonts w:ascii="Times New Roman" w:eastAsia="Times New Roman" w:hAnsi="Times New Roman" w:cs="Times New Roman"/>
          <w:sz w:val="16"/>
          <w:szCs w:val="16"/>
        </w:rPr>
        <w:t>Covaried by test version</w:t>
      </w:r>
      <w:r>
        <w:rPr>
          <w:rFonts w:ascii="Times New Roman" w:eastAsia="Times New Roman" w:hAnsi="Times New Roman" w:cs="Times New Roman"/>
          <w:sz w:val="16"/>
          <w:szCs w:val="16"/>
        </w:rPr>
        <w:t xml:space="preserve"> (</w:t>
      </w:r>
      <w:r w:rsidRPr="00354D7B">
        <w:rPr>
          <w:rFonts w:ascii="Times New Roman" w:eastAsia="Times New Roman" w:hAnsi="Times New Roman" w:cs="Times New Roman"/>
          <w:sz w:val="16"/>
          <w:szCs w:val="16"/>
        </w:rPr>
        <w:t xml:space="preserve">Pen and Paper </w:t>
      </w:r>
      <w:r>
        <w:rPr>
          <w:rFonts w:ascii="Times New Roman" w:eastAsia="Times New Roman" w:hAnsi="Times New Roman" w:cs="Times New Roman"/>
          <w:sz w:val="16"/>
          <w:szCs w:val="16"/>
        </w:rPr>
        <w:t>neuropsychological test battery vs.</w:t>
      </w:r>
      <w:r w:rsidRPr="00354D7B">
        <w:rPr>
          <w:rFonts w:ascii="Times New Roman" w:eastAsia="Times New Roman" w:hAnsi="Times New Roman" w:cs="Times New Roman"/>
          <w:sz w:val="16"/>
          <w:szCs w:val="16"/>
        </w:rPr>
        <w:t xml:space="preserve"> and CogState Research Battery</w:t>
      </w:r>
      <w:r>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fldChar w:fldCharType="begin" w:fldLock="1"/>
      </w:r>
      <w:r>
        <w:rPr>
          <w:rFonts w:ascii="Times New Roman" w:eastAsia="Times New Roman" w:hAnsi="Times New Roman" w:cs="Times New Roman"/>
          <w:sz w:val="16"/>
          <w:szCs w:val="16"/>
        </w:rPr>
        <w:instrText>ADDIN CSL_CITATION { "citationItems" : [ { "id" : "ITEM-1", "itemData" : { "DOI" : "10.1080/13803390802592458", "ISSN" : "1380-3395", "abstract" : "This study examined the criterion and construct validity of a brief computerized cognitive test battery (CogState Schizophrenia Battery) compared to a conventional cognitive test battery recommended by the Measurement and Treatment Research to Improve Cognition in Schizophrenia (MATRICS) consensus. The CogState and MATRICS batteries yielded comparable effect sizes in comparing patients with schizophrenia to healthy controls (Cohen's ds = -1.50 for both batteries). Moderate to large correlations were observed between CogState and MATRICS measures of processing speed, attention/vigilance, working memory, verbal and visual learning, reasoning/problem solving, and social cognition (rs =.56-.79). CogState and MATRICS composite scores also correlated strongly with scores on the University of California at San Diego (UCSD) Performance-Based Skills Assessment (UPSA; rs =.76 and.79, respectively) in patients with schizophrenia. Results of this study suggest that the CogState Schizophrenia Battery provides valid measurement of the cognitive domains nominated by the MATRICS consensus group as being important to consider in the context of pharmacological treatments for cognitive impairment in schizophrenia. \u00a9 2009 Psychology Press.", "author" : [ { "dropping-particle" : "", "family" : "Pietrzak", "given" : "Robert H.", "non-dropping-particle" : "", "parse-names" : false, "suffix" : "" }, { "dropping-particle" : "", "family" : "Olver", "given" : "James", "non-dropping-particle" : "", "parse-names" : false, "suffix" : "" }, { "dropping-particle" : "", "family" : "Norman", "given" : "Trevor", "non-dropping-particle" : "", "parse-names" : false, "suffix" : "" }, { "dropping-particle" : "", "family" : "Piskulic", "given" : "Danijela", "non-dropping-particle" : "", "parse-names" : false, "suffix" : "" }, { "dropping-particle" : "", "family" : "Maruff", "given" : "Paul", "non-dropping-particle" : "", "parse-names" : false, "suffix" : "" }, { "dropping-particle" : "", "family" : "Snyder", "given" : "Peter J.", "non-dropping-particle" : "", "parse-names" : false, "suffix" : "" } ], "container-title" : "Journal of Clinical and Experimental Neuropsychology", "id" : "ITEM-1", "issue" : "7", "issued" : { "date-parts" : [ [ "2009", "9", "18" ] ] }, "page" : "848-859", "title" : "A comparison of the CogState Schizophrenia Battery and the Measurement and Treatment Research to Improve Cognition in Schizophrenia (MATRICS) Battery in assessing cognitive impairment in chronic schizophrenia", "type" : "article-journal", "volume" : "31" }, "uris" : [ "http://www.mendeley.com/documents/?uuid=1d36753b-58a5-3d45-88ab-f1f5bdb6d1a2" ] } ], "mendeley" : { "formattedCitation" : "(Pietrzak &lt;i&gt;et al.&lt;/i&gt; 2009)", "plainTextFormattedCitation" : "(Pietrzak et al. 2009)", "previouslyFormattedCitation" : "&lt;sup&gt;20&lt;/sup&gt;" }, "properties" : { "noteIndex" : 0 }, "schema" : "https://github.com/citation-style-language/schema/raw/master/csl-citation.json" }</w:instrText>
      </w:r>
      <w:r>
        <w:rPr>
          <w:rFonts w:ascii="Times New Roman" w:eastAsia="Times New Roman" w:hAnsi="Times New Roman" w:cs="Times New Roman"/>
          <w:sz w:val="16"/>
          <w:szCs w:val="16"/>
        </w:rPr>
        <w:fldChar w:fldCharType="separate"/>
      </w:r>
      <w:r w:rsidRPr="005464B0">
        <w:rPr>
          <w:rFonts w:ascii="Times New Roman" w:eastAsia="Times New Roman" w:hAnsi="Times New Roman" w:cs="Times New Roman"/>
          <w:noProof/>
          <w:sz w:val="16"/>
          <w:szCs w:val="16"/>
        </w:rPr>
        <w:t xml:space="preserve">(Pietrzak </w:t>
      </w:r>
      <w:r w:rsidRPr="005464B0">
        <w:rPr>
          <w:rFonts w:ascii="Times New Roman" w:eastAsia="Times New Roman" w:hAnsi="Times New Roman" w:cs="Times New Roman"/>
          <w:i/>
          <w:noProof/>
          <w:sz w:val="16"/>
          <w:szCs w:val="16"/>
        </w:rPr>
        <w:t>et al.</w:t>
      </w:r>
      <w:r w:rsidRPr="005464B0">
        <w:rPr>
          <w:rFonts w:ascii="Times New Roman" w:eastAsia="Times New Roman" w:hAnsi="Times New Roman" w:cs="Times New Roman"/>
          <w:noProof/>
          <w:sz w:val="16"/>
          <w:szCs w:val="16"/>
        </w:rPr>
        <w:t xml:space="preserve"> 2009)</w:t>
      </w:r>
      <w:r>
        <w:rPr>
          <w:rFonts w:ascii="Times New Roman" w:eastAsia="Times New Roman" w:hAnsi="Times New Roman" w:cs="Times New Roman"/>
          <w:sz w:val="16"/>
          <w:szCs w:val="16"/>
        </w:rPr>
        <w:fldChar w:fldCharType="end"/>
      </w:r>
      <w:r>
        <w:rPr>
          <w:rFonts w:ascii="Times New Roman" w:eastAsia="Times New Roman" w:hAnsi="Times New Roman" w:cs="Times New Roman"/>
          <w:sz w:val="16"/>
          <w:szCs w:val="16"/>
        </w:rPr>
        <w:t>).</w:t>
      </w:r>
    </w:p>
    <w:p w14:paraId="41C1EAB9" w14:textId="40811D5E" w:rsidR="001137FF" w:rsidRDefault="001137FF" w:rsidP="00AE0B52">
      <w:pPr>
        <w:rPr>
          <w:lang w:val="en-CA"/>
        </w:rPr>
      </w:pPr>
      <w:r>
        <w:rPr>
          <w:rFonts w:eastAsia="Times New Roman"/>
          <w:sz w:val="16"/>
          <w:szCs w:val="16"/>
          <w:vertAlign w:val="superscript"/>
        </w:rPr>
        <w:t>c</w:t>
      </w:r>
      <w:r>
        <w:rPr>
          <w:rFonts w:eastAsia="Times New Roman"/>
          <w:sz w:val="16"/>
          <w:szCs w:val="16"/>
        </w:rPr>
        <w:t>Non-normally distributed, thus a Mann White U non-parametric test was used to test for group differences.</w:t>
      </w:r>
    </w:p>
    <w:p w14:paraId="0A6976BC" w14:textId="77777777" w:rsidR="00AE0B52" w:rsidRDefault="00AE0B52" w:rsidP="00AE0B52">
      <w:pPr>
        <w:rPr>
          <w:lang w:val="en-CA"/>
        </w:rPr>
      </w:pPr>
    </w:p>
    <w:p w14:paraId="435CA69E" w14:textId="77777777" w:rsidR="00AE0B52" w:rsidRDefault="00AE0B52" w:rsidP="00AE0B52">
      <w:pPr>
        <w:rPr>
          <w:lang w:val="en-CA"/>
        </w:rPr>
      </w:pPr>
    </w:p>
    <w:p w14:paraId="096F2A2A" w14:textId="77777777" w:rsidR="00AE0B52" w:rsidRDefault="00AE0B52" w:rsidP="00AE0B52">
      <w:pPr>
        <w:rPr>
          <w:lang w:val="en-CA"/>
        </w:rPr>
      </w:pPr>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tblCellMar>
        <w:tblLook w:val="04A0" w:firstRow="1" w:lastRow="0" w:firstColumn="1" w:lastColumn="0" w:noHBand="0" w:noVBand="1"/>
      </w:tblPr>
      <w:tblGrid>
        <w:gridCol w:w="2185"/>
        <w:gridCol w:w="2343"/>
        <w:gridCol w:w="912"/>
        <w:gridCol w:w="1317"/>
        <w:gridCol w:w="810"/>
        <w:gridCol w:w="1257"/>
      </w:tblGrid>
      <w:tr w:rsidR="00AE0B52" w:rsidRPr="00033175" w14:paraId="55486E26" w14:textId="77777777" w:rsidTr="000D7D09">
        <w:tc>
          <w:tcPr>
            <w:tcW w:w="2185" w:type="dxa"/>
            <w:vMerge w:val="restart"/>
            <w:tcBorders>
              <w:top w:val="single" w:sz="6" w:space="0" w:color="00000A"/>
              <w:left w:val="single" w:sz="6" w:space="0" w:color="00000A"/>
              <w:right w:val="single" w:sz="6" w:space="0" w:color="00000A"/>
            </w:tcBorders>
            <w:shd w:val="clear" w:color="auto" w:fill="auto"/>
            <w:tcMar>
              <w:left w:w="105" w:type="dxa"/>
            </w:tcMar>
            <w:vAlign w:val="center"/>
          </w:tcPr>
          <w:p w14:paraId="7FEB03DB" w14:textId="77777777" w:rsidR="00AE0B52" w:rsidRPr="00033175" w:rsidRDefault="00AE0B52" w:rsidP="000D7D09">
            <w:pPr>
              <w:jc w:val="center"/>
              <w:rPr>
                <w:rFonts w:ascii="Arial" w:hAnsi="Arial" w:cs="Arial"/>
                <w:b/>
                <w:sz w:val="20"/>
                <w:szCs w:val="20"/>
                <w:lang w:val="en-CA"/>
              </w:rPr>
            </w:pPr>
            <w:r w:rsidRPr="00033175">
              <w:rPr>
                <w:rFonts w:ascii="Arial" w:hAnsi="Arial" w:cs="Arial"/>
                <w:b/>
                <w:sz w:val="20"/>
                <w:szCs w:val="20"/>
                <w:lang w:val="en-CA"/>
              </w:rPr>
              <w:t>Test Battery Version</w:t>
            </w:r>
          </w:p>
        </w:tc>
        <w:tc>
          <w:tcPr>
            <w:tcW w:w="2343" w:type="dxa"/>
            <w:vMerge w:val="restart"/>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75FFF665" w14:textId="77777777" w:rsidR="00AE0B52" w:rsidRPr="00033175" w:rsidRDefault="00AE0B52" w:rsidP="000D7D09">
            <w:pPr>
              <w:jc w:val="center"/>
              <w:rPr>
                <w:rFonts w:ascii="Arial" w:hAnsi="Arial" w:cs="Arial"/>
                <w:b/>
                <w:sz w:val="20"/>
                <w:szCs w:val="20"/>
                <w:lang w:val="en-CA"/>
              </w:rPr>
            </w:pPr>
            <w:r w:rsidRPr="00033175">
              <w:rPr>
                <w:rFonts w:ascii="Arial" w:hAnsi="Arial" w:cs="Arial"/>
                <w:b/>
                <w:sz w:val="20"/>
                <w:szCs w:val="20"/>
                <w:lang w:val="en-CA"/>
              </w:rPr>
              <w:t>Verbal Memory Metric</w:t>
            </w:r>
          </w:p>
        </w:tc>
        <w:tc>
          <w:tcPr>
            <w:tcW w:w="2229" w:type="dxa"/>
            <w:gridSpan w:val="2"/>
            <w:tcBorders>
              <w:left w:val="single" w:sz="6" w:space="0" w:color="00000A"/>
            </w:tcBorders>
            <w:shd w:val="clear" w:color="auto" w:fill="auto"/>
            <w:tcMar>
              <w:left w:w="105" w:type="dxa"/>
            </w:tcMar>
          </w:tcPr>
          <w:p w14:paraId="779C7B0C" w14:textId="77777777" w:rsidR="00AE0B52" w:rsidRPr="00033175" w:rsidRDefault="00AE0B52" w:rsidP="000D7D09">
            <w:pPr>
              <w:jc w:val="center"/>
              <w:rPr>
                <w:rFonts w:ascii="Arial" w:hAnsi="Arial" w:cs="Arial"/>
                <w:b/>
                <w:sz w:val="20"/>
                <w:szCs w:val="20"/>
                <w:lang w:val="en-CA"/>
              </w:rPr>
            </w:pPr>
            <w:r w:rsidRPr="00033175">
              <w:rPr>
                <w:rFonts w:ascii="Arial" w:hAnsi="Arial" w:cs="Arial"/>
                <w:b/>
                <w:sz w:val="20"/>
                <w:szCs w:val="20"/>
                <w:lang w:val="en-CA"/>
              </w:rPr>
              <w:t>FEP</w:t>
            </w:r>
          </w:p>
        </w:tc>
        <w:tc>
          <w:tcPr>
            <w:tcW w:w="2067" w:type="dxa"/>
            <w:gridSpan w:val="2"/>
            <w:shd w:val="clear" w:color="auto" w:fill="auto"/>
            <w:tcMar>
              <w:left w:w="108" w:type="dxa"/>
            </w:tcMar>
          </w:tcPr>
          <w:p w14:paraId="49296D06" w14:textId="77777777" w:rsidR="00AE0B52" w:rsidRPr="00033175" w:rsidRDefault="00AE0B52" w:rsidP="000D7D09">
            <w:pPr>
              <w:jc w:val="center"/>
              <w:rPr>
                <w:rFonts w:ascii="Arial" w:hAnsi="Arial" w:cs="Arial"/>
                <w:b/>
                <w:sz w:val="20"/>
                <w:szCs w:val="20"/>
                <w:lang w:val="en-CA"/>
              </w:rPr>
            </w:pPr>
            <w:r w:rsidRPr="00033175">
              <w:rPr>
                <w:rFonts w:ascii="Arial" w:hAnsi="Arial" w:cs="Arial"/>
                <w:b/>
                <w:sz w:val="20"/>
                <w:szCs w:val="20"/>
                <w:lang w:val="en-CA"/>
              </w:rPr>
              <w:t>Control</w:t>
            </w:r>
          </w:p>
        </w:tc>
      </w:tr>
      <w:tr w:rsidR="00AE0B52" w:rsidRPr="00033175" w14:paraId="2B1C8235" w14:textId="77777777" w:rsidTr="000D7D09">
        <w:tc>
          <w:tcPr>
            <w:tcW w:w="2185" w:type="dxa"/>
            <w:vMerge/>
            <w:tcBorders>
              <w:left w:val="single" w:sz="6" w:space="0" w:color="00000A"/>
              <w:bottom w:val="single" w:sz="6" w:space="0" w:color="00000A"/>
              <w:right w:val="single" w:sz="6" w:space="0" w:color="00000A"/>
            </w:tcBorders>
            <w:shd w:val="clear" w:color="auto" w:fill="auto"/>
            <w:tcMar>
              <w:left w:w="105" w:type="dxa"/>
            </w:tcMar>
          </w:tcPr>
          <w:p w14:paraId="56B68204" w14:textId="77777777" w:rsidR="00AE0B52" w:rsidRPr="00033175" w:rsidRDefault="00AE0B52" w:rsidP="000D7D09">
            <w:pPr>
              <w:rPr>
                <w:rFonts w:ascii="Arial" w:hAnsi="Arial" w:cs="Arial"/>
                <w:b/>
                <w:sz w:val="20"/>
                <w:szCs w:val="20"/>
                <w:lang w:val="en-CA"/>
              </w:rPr>
            </w:pPr>
          </w:p>
        </w:tc>
        <w:tc>
          <w:tcPr>
            <w:tcW w:w="2343" w:type="dxa"/>
            <w:vMerge/>
            <w:tcBorders>
              <w:top w:val="single" w:sz="6" w:space="0" w:color="00000A"/>
              <w:left w:val="single" w:sz="6" w:space="0" w:color="00000A"/>
              <w:bottom w:val="single" w:sz="6" w:space="0" w:color="00000A"/>
              <w:right w:val="single" w:sz="6" w:space="0" w:color="00000A"/>
            </w:tcBorders>
            <w:shd w:val="clear" w:color="auto" w:fill="auto"/>
            <w:tcMar>
              <w:left w:w="105" w:type="dxa"/>
            </w:tcMar>
          </w:tcPr>
          <w:p w14:paraId="32A6C7F8" w14:textId="77777777" w:rsidR="00AE0B52" w:rsidRPr="00033175" w:rsidRDefault="00AE0B52" w:rsidP="000D7D09">
            <w:pPr>
              <w:jc w:val="center"/>
              <w:rPr>
                <w:rFonts w:ascii="Arial" w:hAnsi="Arial" w:cs="Arial"/>
                <w:b/>
                <w:sz w:val="20"/>
                <w:szCs w:val="20"/>
                <w:lang w:val="en-CA"/>
              </w:rPr>
            </w:pPr>
          </w:p>
        </w:tc>
        <w:tc>
          <w:tcPr>
            <w:tcW w:w="912" w:type="dxa"/>
            <w:tcBorders>
              <w:left w:val="single" w:sz="6" w:space="0" w:color="00000A"/>
            </w:tcBorders>
            <w:shd w:val="clear" w:color="auto" w:fill="auto"/>
            <w:tcMar>
              <w:left w:w="105" w:type="dxa"/>
            </w:tcMar>
          </w:tcPr>
          <w:p w14:paraId="435239E1" w14:textId="77777777" w:rsidR="00AE0B52" w:rsidRPr="00033175" w:rsidRDefault="00AE0B52" w:rsidP="000D7D09">
            <w:pPr>
              <w:jc w:val="center"/>
              <w:rPr>
                <w:rFonts w:ascii="Arial" w:hAnsi="Arial" w:cs="Arial"/>
                <w:b/>
                <w:sz w:val="20"/>
                <w:szCs w:val="20"/>
                <w:lang w:val="en-CA"/>
              </w:rPr>
            </w:pPr>
            <w:r w:rsidRPr="00033175">
              <w:rPr>
                <w:rFonts w:ascii="Arial" w:hAnsi="Arial" w:cs="Arial"/>
                <w:b/>
                <w:sz w:val="20"/>
                <w:szCs w:val="20"/>
                <w:lang w:val="en-CA"/>
              </w:rPr>
              <w:t>N</w:t>
            </w:r>
          </w:p>
        </w:tc>
        <w:tc>
          <w:tcPr>
            <w:tcW w:w="1317" w:type="dxa"/>
            <w:shd w:val="clear" w:color="auto" w:fill="auto"/>
            <w:tcMar>
              <w:left w:w="108" w:type="dxa"/>
            </w:tcMar>
          </w:tcPr>
          <w:p w14:paraId="44833CD6" w14:textId="77777777" w:rsidR="00AE0B52" w:rsidRPr="00033175" w:rsidRDefault="00AE0B52" w:rsidP="000D7D09">
            <w:pPr>
              <w:jc w:val="center"/>
              <w:rPr>
                <w:rFonts w:ascii="Arial" w:hAnsi="Arial" w:cs="Arial"/>
                <w:b/>
                <w:sz w:val="20"/>
                <w:szCs w:val="20"/>
                <w:lang w:val="en-CA"/>
              </w:rPr>
            </w:pPr>
            <w:r w:rsidRPr="00033175">
              <w:rPr>
                <w:rFonts w:ascii="Arial" w:hAnsi="Arial" w:cs="Arial"/>
                <w:b/>
                <w:sz w:val="20"/>
                <w:szCs w:val="20"/>
                <w:lang w:val="en-CA"/>
              </w:rPr>
              <w:t>Mean (SD)</w:t>
            </w:r>
          </w:p>
        </w:tc>
        <w:tc>
          <w:tcPr>
            <w:tcW w:w="810" w:type="dxa"/>
            <w:shd w:val="clear" w:color="auto" w:fill="auto"/>
            <w:tcMar>
              <w:left w:w="108" w:type="dxa"/>
            </w:tcMar>
          </w:tcPr>
          <w:p w14:paraId="79C1BE3F" w14:textId="77777777" w:rsidR="00AE0B52" w:rsidRPr="00033175" w:rsidRDefault="00AE0B52" w:rsidP="000D7D09">
            <w:pPr>
              <w:jc w:val="center"/>
              <w:rPr>
                <w:rFonts w:ascii="Arial" w:hAnsi="Arial" w:cs="Arial"/>
                <w:b/>
                <w:sz w:val="20"/>
                <w:szCs w:val="20"/>
                <w:lang w:val="en-CA"/>
              </w:rPr>
            </w:pPr>
            <w:r w:rsidRPr="00033175">
              <w:rPr>
                <w:rFonts w:ascii="Arial" w:hAnsi="Arial" w:cs="Arial"/>
                <w:b/>
                <w:sz w:val="20"/>
                <w:szCs w:val="20"/>
                <w:lang w:val="en-CA"/>
              </w:rPr>
              <w:t>N</w:t>
            </w:r>
          </w:p>
        </w:tc>
        <w:tc>
          <w:tcPr>
            <w:tcW w:w="1257" w:type="dxa"/>
            <w:shd w:val="clear" w:color="auto" w:fill="auto"/>
            <w:tcMar>
              <w:left w:w="108" w:type="dxa"/>
            </w:tcMar>
          </w:tcPr>
          <w:p w14:paraId="18AC754B" w14:textId="77777777" w:rsidR="00AE0B52" w:rsidRPr="00033175" w:rsidRDefault="00AE0B52" w:rsidP="000D7D09">
            <w:pPr>
              <w:jc w:val="center"/>
              <w:rPr>
                <w:rFonts w:ascii="Arial" w:hAnsi="Arial" w:cs="Arial"/>
                <w:b/>
                <w:sz w:val="20"/>
                <w:szCs w:val="20"/>
                <w:lang w:val="en-CA"/>
              </w:rPr>
            </w:pPr>
            <w:r w:rsidRPr="00033175">
              <w:rPr>
                <w:rFonts w:ascii="Arial" w:hAnsi="Arial" w:cs="Arial"/>
                <w:b/>
                <w:sz w:val="20"/>
                <w:szCs w:val="20"/>
                <w:lang w:val="en-CA"/>
              </w:rPr>
              <w:t>Mean (SD)</w:t>
            </w:r>
          </w:p>
        </w:tc>
      </w:tr>
      <w:tr w:rsidR="00AE0B52" w:rsidRPr="00033175" w14:paraId="2FF70B09" w14:textId="77777777" w:rsidTr="000D7D09">
        <w:tc>
          <w:tcPr>
            <w:tcW w:w="2185" w:type="dxa"/>
            <w:vMerge w:val="restart"/>
            <w:tcBorders>
              <w:top w:val="single" w:sz="6" w:space="0" w:color="00000A"/>
            </w:tcBorders>
            <w:shd w:val="clear" w:color="auto" w:fill="auto"/>
            <w:tcMar>
              <w:left w:w="108" w:type="dxa"/>
            </w:tcMar>
            <w:vAlign w:val="center"/>
          </w:tcPr>
          <w:p w14:paraId="7FBBFB6C"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Pen and Paper</w:t>
            </w:r>
          </w:p>
        </w:tc>
        <w:tc>
          <w:tcPr>
            <w:tcW w:w="2343" w:type="dxa"/>
            <w:tcBorders>
              <w:top w:val="single" w:sz="6" w:space="0" w:color="00000A"/>
            </w:tcBorders>
            <w:shd w:val="clear" w:color="auto" w:fill="auto"/>
            <w:tcMar>
              <w:left w:w="108" w:type="dxa"/>
            </w:tcMar>
          </w:tcPr>
          <w:p w14:paraId="69A96C12" w14:textId="77777777" w:rsidR="00AE0B52" w:rsidRPr="00033175" w:rsidRDefault="00AE0B52" w:rsidP="000D7D09">
            <w:pPr>
              <w:rPr>
                <w:rFonts w:ascii="Arial" w:hAnsi="Arial" w:cs="Arial"/>
                <w:sz w:val="20"/>
                <w:szCs w:val="20"/>
                <w:lang w:val="en-CA"/>
              </w:rPr>
            </w:pPr>
            <w:r w:rsidRPr="00033175">
              <w:rPr>
                <w:rFonts w:ascii="Arial" w:hAnsi="Arial" w:cs="Arial"/>
                <w:sz w:val="20"/>
                <w:szCs w:val="20"/>
                <w:lang w:val="en-CA"/>
              </w:rPr>
              <w:t>Immediate</w:t>
            </w:r>
          </w:p>
        </w:tc>
        <w:tc>
          <w:tcPr>
            <w:tcW w:w="912" w:type="dxa"/>
            <w:vMerge w:val="restart"/>
            <w:shd w:val="clear" w:color="auto" w:fill="auto"/>
            <w:tcMar>
              <w:left w:w="108" w:type="dxa"/>
            </w:tcMar>
            <w:vAlign w:val="center"/>
          </w:tcPr>
          <w:p w14:paraId="23A3E8E6"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76</w:t>
            </w:r>
          </w:p>
        </w:tc>
        <w:tc>
          <w:tcPr>
            <w:tcW w:w="1317" w:type="dxa"/>
            <w:shd w:val="clear" w:color="auto" w:fill="auto"/>
            <w:tcMar>
              <w:left w:w="108" w:type="dxa"/>
            </w:tcMar>
          </w:tcPr>
          <w:p w14:paraId="622A8AC8"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-1.2 (1.2)</w:t>
            </w:r>
          </w:p>
        </w:tc>
        <w:tc>
          <w:tcPr>
            <w:tcW w:w="810" w:type="dxa"/>
            <w:vMerge w:val="restart"/>
            <w:shd w:val="clear" w:color="auto" w:fill="auto"/>
            <w:tcMar>
              <w:left w:w="108" w:type="dxa"/>
            </w:tcMar>
            <w:vAlign w:val="center"/>
          </w:tcPr>
          <w:p w14:paraId="151B0296"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65</w:t>
            </w:r>
          </w:p>
        </w:tc>
        <w:tc>
          <w:tcPr>
            <w:tcW w:w="1257" w:type="dxa"/>
            <w:shd w:val="clear" w:color="auto" w:fill="auto"/>
            <w:tcMar>
              <w:left w:w="108" w:type="dxa"/>
            </w:tcMar>
          </w:tcPr>
          <w:p w14:paraId="483EE57F"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0.04 (1.0)</w:t>
            </w:r>
          </w:p>
        </w:tc>
      </w:tr>
      <w:tr w:rsidR="00AE0B52" w:rsidRPr="00033175" w14:paraId="7A924810" w14:textId="77777777" w:rsidTr="000D7D09">
        <w:tc>
          <w:tcPr>
            <w:tcW w:w="2185" w:type="dxa"/>
            <w:vMerge/>
            <w:shd w:val="clear" w:color="auto" w:fill="auto"/>
            <w:tcMar>
              <w:left w:w="108" w:type="dxa"/>
            </w:tcMar>
          </w:tcPr>
          <w:p w14:paraId="336F2034" w14:textId="77777777" w:rsidR="00AE0B52" w:rsidRPr="00033175" w:rsidRDefault="00AE0B52" w:rsidP="000D7D09">
            <w:pPr>
              <w:rPr>
                <w:rFonts w:ascii="Arial" w:hAnsi="Arial" w:cs="Arial"/>
                <w:sz w:val="20"/>
                <w:szCs w:val="20"/>
                <w:lang w:val="en-CA"/>
              </w:rPr>
            </w:pPr>
          </w:p>
        </w:tc>
        <w:tc>
          <w:tcPr>
            <w:tcW w:w="2343" w:type="dxa"/>
            <w:shd w:val="clear" w:color="auto" w:fill="auto"/>
            <w:tcMar>
              <w:left w:w="108" w:type="dxa"/>
            </w:tcMar>
          </w:tcPr>
          <w:p w14:paraId="49332CC1" w14:textId="77777777" w:rsidR="00AE0B52" w:rsidRPr="00033175" w:rsidRDefault="00AE0B52" w:rsidP="000D7D09">
            <w:pPr>
              <w:rPr>
                <w:rFonts w:ascii="Arial" w:hAnsi="Arial" w:cs="Arial"/>
                <w:sz w:val="20"/>
                <w:szCs w:val="20"/>
                <w:lang w:val="en-CA"/>
              </w:rPr>
            </w:pPr>
            <w:r w:rsidRPr="00033175">
              <w:rPr>
                <w:rFonts w:ascii="Arial" w:hAnsi="Arial" w:cs="Arial"/>
                <w:sz w:val="20"/>
                <w:szCs w:val="20"/>
                <w:lang w:val="en-CA"/>
              </w:rPr>
              <w:t xml:space="preserve">Delayed </w:t>
            </w:r>
          </w:p>
        </w:tc>
        <w:tc>
          <w:tcPr>
            <w:tcW w:w="912" w:type="dxa"/>
            <w:vMerge/>
            <w:shd w:val="clear" w:color="auto" w:fill="auto"/>
            <w:tcMar>
              <w:left w:w="108" w:type="dxa"/>
            </w:tcMar>
          </w:tcPr>
          <w:p w14:paraId="4B48B4FD" w14:textId="77777777" w:rsidR="00AE0B52" w:rsidRPr="00033175" w:rsidRDefault="00AE0B52" w:rsidP="000D7D09">
            <w:pPr>
              <w:rPr>
                <w:rFonts w:ascii="Arial" w:hAnsi="Arial" w:cs="Arial"/>
                <w:sz w:val="20"/>
                <w:szCs w:val="20"/>
                <w:lang w:val="en-CA"/>
              </w:rPr>
            </w:pPr>
          </w:p>
        </w:tc>
        <w:tc>
          <w:tcPr>
            <w:tcW w:w="1317" w:type="dxa"/>
            <w:shd w:val="clear" w:color="auto" w:fill="auto"/>
            <w:tcMar>
              <w:left w:w="108" w:type="dxa"/>
            </w:tcMar>
          </w:tcPr>
          <w:p w14:paraId="3F5435B0"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-0.8 (0.9)</w:t>
            </w:r>
          </w:p>
        </w:tc>
        <w:tc>
          <w:tcPr>
            <w:tcW w:w="810" w:type="dxa"/>
            <w:vMerge/>
            <w:shd w:val="clear" w:color="auto" w:fill="auto"/>
            <w:tcMar>
              <w:left w:w="108" w:type="dxa"/>
            </w:tcMar>
          </w:tcPr>
          <w:p w14:paraId="1C9C6A5F" w14:textId="77777777" w:rsidR="00AE0B52" w:rsidRPr="00033175" w:rsidRDefault="00AE0B52" w:rsidP="000D7D09">
            <w:pPr>
              <w:jc w:val="center"/>
              <w:rPr>
                <w:rFonts w:ascii="Arial" w:hAnsi="Arial" w:cs="Arial"/>
                <w:sz w:val="20"/>
                <w:szCs w:val="20"/>
                <w:lang w:val="en-CA"/>
              </w:rPr>
            </w:pPr>
          </w:p>
        </w:tc>
        <w:tc>
          <w:tcPr>
            <w:tcW w:w="1257" w:type="dxa"/>
            <w:shd w:val="clear" w:color="auto" w:fill="auto"/>
            <w:tcMar>
              <w:left w:w="108" w:type="dxa"/>
            </w:tcMar>
          </w:tcPr>
          <w:p w14:paraId="37A9724A"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0.02 (0.8)</w:t>
            </w:r>
          </w:p>
        </w:tc>
      </w:tr>
      <w:tr w:rsidR="00AE0B52" w:rsidRPr="00033175" w14:paraId="5597C6A2" w14:textId="77777777" w:rsidTr="000D7D09">
        <w:tc>
          <w:tcPr>
            <w:tcW w:w="2185" w:type="dxa"/>
            <w:vMerge w:val="restart"/>
            <w:shd w:val="clear" w:color="auto" w:fill="auto"/>
            <w:tcMar>
              <w:left w:w="108" w:type="dxa"/>
            </w:tcMar>
            <w:vAlign w:val="center"/>
          </w:tcPr>
          <w:p w14:paraId="58E37D14"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CogState</w:t>
            </w:r>
          </w:p>
        </w:tc>
        <w:tc>
          <w:tcPr>
            <w:tcW w:w="2343" w:type="dxa"/>
            <w:shd w:val="clear" w:color="auto" w:fill="auto"/>
            <w:tcMar>
              <w:left w:w="108" w:type="dxa"/>
            </w:tcMar>
          </w:tcPr>
          <w:p w14:paraId="2A425E6E" w14:textId="77777777" w:rsidR="00AE0B52" w:rsidRPr="00033175" w:rsidRDefault="00AE0B52" w:rsidP="000D7D09">
            <w:pPr>
              <w:rPr>
                <w:rFonts w:ascii="Arial" w:hAnsi="Arial" w:cs="Arial"/>
                <w:sz w:val="20"/>
                <w:szCs w:val="20"/>
                <w:lang w:val="en-CA"/>
              </w:rPr>
            </w:pPr>
            <w:r w:rsidRPr="00033175">
              <w:rPr>
                <w:rFonts w:ascii="Arial" w:hAnsi="Arial" w:cs="Arial"/>
                <w:sz w:val="20"/>
                <w:szCs w:val="20"/>
                <w:lang w:val="en-CA"/>
              </w:rPr>
              <w:t>Immediate</w:t>
            </w:r>
          </w:p>
        </w:tc>
        <w:tc>
          <w:tcPr>
            <w:tcW w:w="912" w:type="dxa"/>
            <w:vMerge w:val="restart"/>
            <w:shd w:val="clear" w:color="auto" w:fill="auto"/>
            <w:tcMar>
              <w:left w:w="108" w:type="dxa"/>
            </w:tcMar>
            <w:vAlign w:val="center"/>
          </w:tcPr>
          <w:p w14:paraId="4F2D6698"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39</w:t>
            </w:r>
          </w:p>
        </w:tc>
        <w:tc>
          <w:tcPr>
            <w:tcW w:w="1317" w:type="dxa"/>
            <w:shd w:val="clear" w:color="auto" w:fill="auto"/>
            <w:tcMar>
              <w:left w:w="108" w:type="dxa"/>
            </w:tcMar>
          </w:tcPr>
          <w:p w14:paraId="1BC5BDBF"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-1.4 (1.7)</w:t>
            </w:r>
          </w:p>
        </w:tc>
        <w:tc>
          <w:tcPr>
            <w:tcW w:w="810" w:type="dxa"/>
            <w:vMerge w:val="restart"/>
            <w:shd w:val="clear" w:color="auto" w:fill="auto"/>
            <w:tcMar>
              <w:left w:w="108" w:type="dxa"/>
            </w:tcMar>
            <w:vAlign w:val="center"/>
          </w:tcPr>
          <w:p w14:paraId="0C0D0AC7"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15</w:t>
            </w:r>
          </w:p>
        </w:tc>
        <w:tc>
          <w:tcPr>
            <w:tcW w:w="1257" w:type="dxa"/>
            <w:shd w:val="clear" w:color="auto" w:fill="auto"/>
            <w:tcMar>
              <w:left w:w="108" w:type="dxa"/>
            </w:tcMar>
          </w:tcPr>
          <w:p w14:paraId="6B632538"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0.0 (1.0)</w:t>
            </w:r>
          </w:p>
        </w:tc>
      </w:tr>
      <w:tr w:rsidR="00AE0B52" w:rsidRPr="00033175" w14:paraId="1667CA66" w14:textId="77777777" w:rsidTr="000D7D09">
        <w:trPr>
          <w:trHeight w:val="214"/>
        </w:trPr>
        <w:tc>
          <w:tcPr>
            <w:tcW w:w="2185" w:type="dxa"/>
            <w:vMerge/>
            <w:shd w:val="clear" w:color="auto" w:fill="auto"/>
            <w:tcMar>
              <w:left w:w="108" w:type="dxa"/>
            </w:tcMar>
          </w:tcPr>
          <w:p w14:paraId="3AAC2745" w14:textId="77777777" w:rsidR="00AE0B52" w:rsidRPr="00033175" w:rsidRDefault="00AE0B52" w:rsidP="000D7D09">
            <w:pPr>
              <w:rPr>
                <w:rFonts w:ascii="Arial" w:hAnsi="Arial" w:cs="Arial"/>
                <w:b/>
                <w:sz w:val="20"/>
                <w:szCs w:val="20"/>
                <w:lang w:val="en-CA"/>
              </w:rPr>
            </w:pPr>
          </w:p>
        </w:tc>
        <w:tc>
          <w:tcPr>
            <w:tcW w:w="2343" w:type="dxa"/>
            <w:shd w:val="clear" w:color="auto" w:fill="auto"/>
            <w:tcMar>
              <w:left w:w="108" w:type="dxa"/>
            </w:tcMar>
          </w:tcPr>
          <w:p w14:paraId="796B438D" w14:textId="77777777" w:rsidR="00AE0B52" w:rsidRPr="00033175" w:rsidRDefault="00AE0B52" w:rsidP="000D7D09">
            <w:pPr>
              <w:rPr>
                <w:rFonts w:ascii="Arial" w:hAnsi="Arial" w:cs="Arial"/>
                <w:sz w:val="20"/>
                <w:szCs w:val="20"/>
                <w:lang w:val="en-CA"/>
              </w:rPr>
            </w:pPr>
            <w:r w:rsidRPr="00033175">
              <w:rPr>
                <w:rFonts w:ascii="Arial" w:hAnsi="Arial" w:cs="Arial"/>
                <w:sz w:val="20"/>
                <w:szCs w:val="20"/>
                <w:lang w:val="en-CA"/>
              </w:rPr>
              <w:t>Delayed</w:t>
            </w:r>
          </w:p>
        </w:tc>
        <w:tc>
          <w:tcPr>
            <w:tcW w:w="912" w:type="dxa"/>
            <w:vMerge/>
            <w:shd w:val="clear" w:color="auto" w:fill="auto"/>
            <w:tcMar>
              <w:left w:w="108" w:type="dxa"/>
            </w:tcMar>
          </w:tcPr>
          <w:p w14:paraId="230B6EFC" w14:textId="77777777" w:rsidR="00AE0B52" w:rsidRPr="00033175" w:rsidRDefault="00AE0B52" w:rsidP="000D7D09">
            <w:pPr>
              <w:rPr>
                <w:rFonts w:ascii="Arial" w:hAnsi="Arial" w:cs="Arial"/>
                <w:sz w:val="20"/>
                <w:szCs w:val="20"/>
                <w:lang w:val="en-CA"/>
              </w:rPr>
            </w:pPr>
          </w:p>
        </w:tc>
        <w:tc>
          <w:tcPr>
            <w:tcW w:w="1317" w:type="dxa"/>
            <w:shd w:val="clear" w:color="auto" w:fill="auto"/>
            <w:tcMar>
              <w:left w:w="108" w:type="dxa"/>
            </w:tcMar>
          </w:tcPr>
          <w:p w14:paraId="08AD8FA5"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-1.0 (1.3)</w:t>
            </w:r>
          </w:p>
        </w:tc>
        <w:tc>
          <w:tcPr>
            <w:tcW w:w="810" w:type="dxa"/>
            <w:vMerge/>
            <w:shd w:val="clear" w:color="auto" w:fill="auto"/>
            <w:tcMar>
              <w:left w:w="108" w:type="dxa"/>
            </w:tcMar>
          </w:tcPr>
          <w:p w14:paraId="056C551B" w14:textId="77777777" w:rsidR="00AE0B52" w:rsidRPr="00033175" w:rsidRDefault="00AE0B52" w:rsidP="000D7D09">
            <w:pPr>
              <w:jc w:val="center"/>
              <w:rPr>
                <w:rFonts w:ascii="Arial" w:hAnsi="Arial" w:cs="Arial"/>
                <w:sz w:val="20"/>
                <w:szCs w:val="20"/>
                <w:lang w:val="en-CA"/>
              </w:rPr>
            </w:pPr>
          </w:p>
        </w:tc>
        <w:tc>
          <w:tcPr>
            <w:tcW w:w="1257" w:type="dxa"/>
            <w:shd w:val="clear" w:color="auto" w:fill="auto"/>
            <w:tcMar>
              <w:left w:w="108" w:type="dxa"/>
            </w:tcMar>
          </w:tcPr>
          <w:p w14:paraId="2809AE13" w14:textId="77777777" w:rsidR="00AE0B52" w:rsidRPr="00033175" w:rsidRDefault="00AE0B52" w:rsidP="000D7D09">
            <w:pPr>
              <w:jc w:val="center"/>
              <w:rPr>
                <w:rFonts w:ascii="Arial" w:hAnsi="Arial" w:cs="Arial"/>
                <w:sz w:val="20"/>
                <w:szCs w:val="20"/>
                <w:lang w:val="en-CA"/>
              </w:rPr>
            </w:pPr>
            <w:r w:rsidRPr="00033175">
              <w:rPr>
                <w:rFonts w:ascii="Arial" w:hAnsi="Arial" w:cs="Arial"/>
                <w:sz w:val="20"/>
                <w:szCs w:val="20"/>
                <w:lang w:val="en-CA"/>
              </w:rPr>
              <w:t>0.0 (1.0)</w:t>
            </w:r>
          </w:p>
        </w:tc>
      </w:tr>
    </w:tbl>
    <w:p w14:paraId="26CC6713" w14:textId="77777777" w:rsidR="00AE0B52" w:rsidRDefault="00AE0B52" w:rsidP="00AE0B52">
      <w:pPr>
        <w:jc w:val="both"/>
        <w:rPr>
          <w:b/>
          <w:lang w:val="en-CA"/>
        </w:rPr>
      </w:pPr>
    </w:p>
    <w:p w14:paraId="0A9B0A57" w14:textId="043E3051" w:rsidR="00AE0B52" w:rsidRDefault="00AE0B52" w:rsidP="00AE0B52">
      <w:pPr>
        <w:jc w:val="both"/>
        <w:rPr>
          <w:sz w:val="16"/>
          <w:szCs w:val="16"/>
          <w:lang w:val="en-CA"/>
        </w:rPr>
      </w:pPr>
      <w:r>
        <w:rPr>
          <w:b/>
          <w:sz w:val="16"/>
          <w:szCs w:val="16"/>
          <w:lang w:val="en-CA"/>
        </w:rPr>
        <w:t>Supplementary T</w:t>
      </w:r>
      <w:r w:rsidRPr="00354D7B">
        <w:rPr>
          <w:b/>
          <w:sz w:val="16"/>
          <w:szCs w:val="16"/>
          <w:lang w:val="en-CA"/>
        </w:rPr>
        <w:t xml:space="preserve">able </w:t>
      </w:r>
      <w:r w:rsidR="00724DAE">
        <w:rPr>
          <w:b/>
          <w:sz w:val="16"/>
          <w:szCs w:val="16"/>
          <w:lang w:val="en-CA"/>
        </w:rPr>
        <w:t>3</w:t>
      </w:r>
      <w:r w:rsidRPr="00354D7B">
        <w:rPr>
          <w:sz w:val="16"/>
          <w:szCs w:val="16"/>
          <w:lang w:val="en-CA"/>
        </w:rPr>
        <w:t xml:space="preserve">. Baseline verbal memory performance characteristics by neuropsychological test battery and by group, using larger cross-sectional sample of 116 patients </w:t>
      </w:r>
      <w:r>
        <w:rPr>
          <w:sz w:val="16"/>
          <w:szCs w:val="16"/>
          <w:lang w:val="en-CA"/>
        </w:rPr>
        <w:t>that passed quality control</w:t>
      </w:r>
      <w:r w:rsidRPr="00354D7B">
        <w:rPr>
          <w:sz w:val="16"/>
          <w:szCs w:val="16"/>
          <w:lang w:val="en-CA"/>
        </w:rPr>
        <w:t xml:space="preserve"> and 80 controls</w:t>
      </w:r>
      <w:r>
        <w:rPr>
          <w:sz w:val="16"/>
          <w:szCs w:val="16"/>
          <w:lang w:val="en-CA"/>
        </w:rPr>
        <w:t xml:space="preserve"> (see </w:t>
      </w:r>
      <w:r>
        <w:rPr>
          <w:b/>
          <w:sz w:val="16"/>
          <w:szCs w:val="16"/>
          <w:lang w:val="en-CA"/>
        </w:rPr>
        <w:t>Supplementary Table 3</w:t>
      </w:r>
      <w:r>
        <w:rPr>
          <w:sz w:val="16"/>
          <w:szCs w:val="16"/>
          <w:lang w:val="en-CA"/>
        </w:rPr>
        <w:t xml:space="preserve"> for demographic/clinical characterization of this sample)</w:t>
      </w:r>
      <w:r w:rsidRPr="00354D7B">
        <w:rPr>
          <w:sz w:val="16"/>
          <w:szCs w:val="16"/>
          <w:lang w:val="en-CA"/>
        </w:rPr>
        <w:t>. One-way ANOVAs were used to test an interaction effect between group and test version on verbal memory performance. There were no significant interaction effects of group by test version on either immediate (F</w:t>
      </w:r>
      <w:r w:rsidRPr="00354D7B">
        <w:rPr>
          <w:sz w:val="16"/>
          <w:szCs w:val="16"/>
          <w:vertAlign w:val="subscript"/>
          <w:lang w:val="en-CA"/>
        </w:rPr>
        <w:t>1,191</w:t>
      </w:r>
      <w:r w:rsidRPr="00354D7B">
        <w:rPr>
          <w:sz w:val="16"/>
          <w:szCs w:val="16"/>
          <w:lang w:val="en-CA"/>
        </w:rPr>
        <w:t>=0.179, p=0.67) or delayed (F</w:t>
      </w:r>
      <w:r w:rsidRPr="00354D7B">
        <w:rPr>
          <w:sz w:val="16"/>
          <w:szCs w:val="16"/>
          <w:vertAlign w:val="subscript"/>
          <w:lang w:val="en-CA"/>
        </w:rPr>
        <w:t>1,191</w:t>
      </w:r>
      <w:r w:rsidRPr="00354D7B">
        <w:rPr>
          <w:sz w:val="16"/>
          <w:szCs w:val="16"/>
          <w:lang w:val="en-CA"/>
        </w:rPr>
        <w:t>=0.50, p=0.48) recall. Further, there was no significant main effect of version on either immediate (F</w:t>
      </w:r>
      <w:r w:rsidRPr="00354D7B">
        <w:rPr>
          <w:sz w:val="16"/>
          <w:szCs w:val="16"/>
          <w:vertAlign w:val="subscript"/>
          <w:lang w:val="en-CA"/>
        </w:rPr>
        <w:t>1,191</w:t>
      </w:r>
      <w:r w:rsidRPr="00354D7B">
        <w:rPr>
          <w:sz w:val="16"/>
          <w:szCs w:val="16"/>
          <w:lang w:val="en-CA"/>
        </w:rPr>
        <w:t>=0.38, p=0.54) or delayed (F</w:t>
      </w:r>
      <w:r w:rsidRPr="00354D7B">
        <w:rPr>
          <w:sz w:val="16"/>
          <w:szCs w:val="16"/>
          <w:vertAlign w:val="subscript"/>
          <w:lang w:val="en-CA"/>
        </w:rPr>
        <w:t>1,191</w:t>
      </w:r>
      <w:r w:rsidRPr="00354D7B">
        <w:rPr>
          <w:sz w:val="16"/>
          <w:szCs w:val="16"/>
          <w:lang w:val="en-CA"/>
        </w:rPr>
        <w:t>=0.72, p=0.40) recall. As reported in the main manuscript, there is a significant main effect of group for both verbal memory metrics (F</w:t>
      </w:r>
      <w:r w:rsidRPr="00354D7B">
        <w:rPr>
          <w:sz w:val="16"/>
          <w:szCs w:val="16"/>
          <w:vertAlign w:val="subscript"/>
          <w:lang w:val="en-CA"/>
        </w:rPr>
        <w:t>1,191</w:t>
      </w:r>
      <w:r w:rsidRPr="00354D7B">
        <w:rPr>
          <w:sz w:val="16"/>
          <w:szCs w:val="16"/>
          <w:u w:val="single"/>
          <w:lang w:val="en-CA"/>
        </w:rPr>
        <w:t>&gt;</w:t>
      </w:r>
      <w:r w:rsidRPr="00354D7B">
        <w:rPr>
          <w:sz w:val="16"/>
          <w:szCs w:val="16"/>
          <w:lang w:val="en-CA"/>
        </w:rPr>
        <w:t>28.71, p&lt;0.001). Note, the F-statistics reported in the main manuscript are slightly different as the main effect of group is controlling for test version, and only included FEP patients with longitudinal data included in the main manuscript. Finally, independent t-tests found no significant differences in verbal memory performance within the FEP group when comparing data from pen and paper vs. computerized test battery versions (t</w:t>
      </w:r>
      <w:r w:rsidRPr="00354D7B">
        <w:rPr>
          <w:sz w:val="16"/>
          <w:szCs w:val="16"/>
          <w:vertAlign w:val="subscript"/>
          <w:lang w:val="en-CA"/>
        </w:rPr>
        <w:t>58.9</w:t>
      </w:r>
      <w:r w:rsidRPr="00354D7B">
        <w:rPr>
          <w:sz w:val="16"/>
          <w:szCs w:val="16"/>
          <w:lang w:val="en-CA"/>
        </w:rPr>
        <w:t>=0.75, p=0.46 and t</w:t>
      </w:r>
      <w:r w:rsidRPr="00354D7B">
        <w:rPr>
          <w:sz w:val="16"/>
          <w:szCs w:val="16"/>
          <w:vertAlign w:val="subscript"/>
          <w:lang w:val="en-CA"/>
        </w:rPr>
        <w:t>57.9</w:t>
      </w:r>
      <w:r w:rsidRPr="00354D7B">
        <w:rPr>
          <w:sz w:val="16"/>
          <w:szCs w:val="16"/>
          <w:lang w:val="en-CA"/>
        </w:rPr>
        <w:t>=1.15, p=0.25 for immediate and delayed recall, respectively; degrees of freedom adjusted for unequal variance, as assessed by Levene’s test for Equality of Variances).</w:t>
      </w:r>
    </w:p>
    <w:p w14:paraId="78E85530" w14:textId="77777777" w:rsidR="00AE0B52" w:rsidRDefault="00AE0B52" w:rsidP="00AE0B52">
      <w:pPr>
        <w:jc w:val="both"/>
        <w:rPr>
          <w:sz w:val="16"/>
          <w:szCs w:val="16"/>
          <w:lang w:val="en-CA"/>
        </w:rPr>
      </w:pPr>
      <w:r>
        <w:rPr>
          <w:sz w:val="16"/>
          <w:szCs w:val="16"/>
          <w:lang w:val="en-CA"/>
        </w:rPr>
        <w:t>Abbreviations: FEP, first episode of psychosis. SD, standard deviation.</w:t>
      </w:r>
    </w:p>
    <w:p w14:paraId="2B0928EB" w14:textId="77777777" w:rsidR="00AE0B52" w:rsidRDefault="00AE0B52" w:rsidP="00AE0B52">
      <w:pPr>
        <w:jc w:val="both"/>
        <w:rPr>
          <w:sz w:val="16"/>
          <w:szCs w:val="16"/>
          <w:lang w:val="en-CA"/>
        </w:rPr>
      </w:pPr>
    </w:p>
    <w:p w14:paraId="19738834" w14:textId="77777777" w:rsidR="00AE0B52" w:rsidRDefault="00AE0B52" w:rsidP="00AE0B52">
      <w:pPr>
        <w:jc w:val="both"/>
        <w:rPr>
          <w:sz w:val="16"/>
          <w:szCs w:val="16"/>
          <w:lang w:val="en-CA"/>
        </w:rPr>
      </w:pPr>
    </w:p>
    <w:p w14:paraId="003CFBA6" w14:textId="77777777" w:rsidR="00AE0B52" w:rsidRDefault="00AE0B52" w:rsidP="00AE0B52">
      <w:pPr>
        <w:jc w:val="both"/>
        <w:rPr>
          <w:sz w:val="16"/>
          <w:szCs w:val="16"/>
          <w:lang w:val="en-CA"/>
        </w:rPr>
      </w:pPr>
    </w:p>
    <w:p w14:paraId="3E8ED118" w14:textId="77777777" w:rsidR="00AE0B52" w:rsidRDefault="00AE0B52" w:rsidP="00AE0B52">
      <w:pPr>
        <w:jc w:val="both"/>
        <w:rPr>
          <w:sz w:val="16"/>
          <w:szCs w:val="16"/>
          <w:lang w:val="en-CA"/>
        </w:rPr>
      </w:pPr>
    </w:p>
    <w:p w14:paraId="07F84BA2" w14:textId="77777777" w:rsidR="00AE0B52" w:rsidRDefault="00AE0B52" w:rsidP="00AE0B52">
      <w:pPr>
        <w:jc w:val="both"/>
        <w:rPr>
          <w:sz w:val="16"/>
          <w:szCs w:val="16"/>
          <w:lang w:val="en-CA"/>
        </w:rPr>
      </w:pPr>
    </w:p>
    <w:p w14:paraId="5B7A3368" w14:textId="77777777" w:rsidR="00AE0B52" w:rsidRDefault="00AE0B52" w:rsidP="00AE0B52">
      <w:pPr>
        <w:jc w:val="both"/>
        <w:rPr>
          <w:sz w:val="16"/>
          <w:szCs w:val="16"/>
          <w:lang w:val="en-CA"/>
        </w:rPr>
      </w:pPr>
    </w:p>
    <w:p w14:paraId="7A130767" w14:textId="77777777" w:rsidR="00AE0B52" w:rsidRDefault="00AE0B52" w:rsidP="00AE0B52">
      <w:pPr>
        <w:jc w:val="both"/>
        <w:rPr>
          <w:sz w:val="16"/>
          <w:szCs w:val="16"/>
          <w:lang w:val="en-CA"/>
        </w:rPr>
      </w:pPr>
    </w:p>
    <w:p w14:paraId="470FE677" w14:textId="77777777" w:rsidR="00AE0B52" w:rsidRDefault="00AE0B52" w:rsidP="00AE0B52">
      <w:pPr>
        <w:jc w:val="both"/>
        <w:rPr>
          <w:sz w:val="16"/>
          <w:szCs w:val="16"/>
          <w:lang w:val="en-CA"/>
        </w:rPr>
      </w:pPr>
    </w:p>
    <w:p w14:paraId="48093A5F" w14:textId="77777777" w:rsidR="00AE0B52" w:rsidRDefault="00AE0B52" w:rsidP="00AE0B52">
      <w:pPr>
        <w:jc w:val="both"/>
        <w:rPr>
          <w:sz w:val="16"/>
          <w:szCs w:val="16"/>
          <w:lang w:val="en-CA"/>
        </w:rPr>
      </w:pPr>
    </w:p>
    <w:p w14:paraId="251131DE" w14:textId="77777777" w:rsidR="00AE0B52" w:rsidRDefault="00AE0B52" w:rsidP="00AE0B52">
      <w:pPr>
        <w:jc w:val="both"/>
        <w:rPr>
          <w:sz w:val="16"/>
          <w:szCs w:val="16"/>
          <w:lang w:val="en-CA"/>
        </w:rPr>
      </w:pPr>
    </w:p>
    <w:p w14:paraId="1FB2E5F2" w14:textId="77777777" w:rsidR="00AE0B52" w:rsidRDefault="00AE0B52" w:rsidP="00AE0B52">
      <w:pPr>
        <w:jc w:val="both"/>
        <w:rPr>
          <w:sz w:val="16"/>
          <w:szCs w:val="16"/>
          <w:lang w:val="en-CA"/>
        </w:rPr>
      </w:pPr>
    </w:p>
    <w:p w14:paraId="2D2C35A7" w14:textId="77777777" w:rsidR="00AE0B52" w:rsidRDefault="00AE0B52" w:rsidP="00AE0B52">
      <w:pPr>
        <w:jc w:val="both"/>
        <w:rPr>
          <w:sz w:val="16"/>
          <w:szCs w:val="16"/>
          <w:lang w:val="en-CA"/>
        </w:rPr>
      </w:pPr>
    </w:p>
    <w:p w14:paraId="14131F1D" w14:textId="77777777" w:rsidR="00AE0B52" w:rsidRDefault="00AE0B52" w:rsidP="00AE0B52">
      <w:pPr>
        <w:jc w:val="both"/>
        <w:rPr>
          <w:sz w:val="16"/>
          <w:szCs w:val="16"/>
          <w:lang w:val="en-CA"/>
        </w:rPr>
      </w:pPr>
    </w:p>
    <w:p w14:paraId="3C9D4E0A" w14:textId="77777777" w:rsidR="00AE0B52" w:rsidRDefault="00AE0B52" w:rsidP="00AE0B52">
      <w:pPr>
        <w:jc w:val="both"/>
        <w:rPr>
          <w:sz w:val="16"/>
          <w:szCs w:val="16"/>
          <w:lang w:val="en-CA"/>
        </w:rPr>
      </w:pPr>
    </w:p>
    <w:p w14:paraId="79C79971" w14:textId="77777777" w:rsidR="00AE0B52" w:rsidRDefault="00AE0B52" w:rsidP="00AE0B52">
      <w:pPr>
        <w:jc w:val="both"/>
        <w:rPr>
          <w:sz w:val="16"/>
          <w:szCs w:val="16"/>
          <w:lang w:val="en-CA"/>
        </w:rPr>
      </w:pPr>
    </w:p>
    <w:p w14:paraId="79566CA6" w14:textId="77777777" w:rsidR="00AE0B52" w:rsidRDefault="00AE0B52" w:rsidP="00AE0B52">
      <w:pPr>
        <w:jc w:val="both"/>
        <w:rPr>
          <w:sz w:val="16"/>
          <w:szCs w:val="16"/>
          <w:lang w:val="en-CA"/>
        </w:rPr>
      </w:pPr>
    </w:p>
    <w:p w14:paraId="03930C07" w14:textId="77777777" w:rsidR="00AE0B52" w:rsidRDefault="00AE0B52" w:rsidP="00AE0B52">
      <w:pPr>
        <w:jc w:val="both"/>
        <w:rPr>
          <w:sz w:val="16"/>
          <w:szCs w:val="16"/>
          <w:lang w:val="en-CA"/>
        </w:rPr>
      </w:pPr>
    </w:p>
    <w:p w14:paraId="3B41156D" w14:textId="77777777" w:rsidR="00AE0B52" w:rsidRDefault="00AE0B52" w:rsidP="00AE0B52">
      <w:pPr>
        <w:jc w:val="both"/>
        <w:rPr>
          <w:sz w:val="16"/>
          <w:szCs w:val="16"/>
          <w:lang w:val="en-CA"/>
        </w:rPr>
      </w:pPr>
    </w:p>
    <w:p w14:paraId="4ADFC8DE" w14:textId="77777777" w:rsidR="00AE0B52" w:rsidRDefault="00AE0B52" w:rsidP="00AE0B52">
      <w:pPr>
        <w:jc w:val="both"/>
        <w:rPr>
          <w:sz w:val="16"/>
          <w:szCs w:val="16"/>
          <w:lang w:val="en-CA"/>
        </w:rPr>
      </w:pPr>
    </w:p>
    <w:p w14:paraId="0629D76D" w14:textId="77777777" w:rsidR="00AE0B52" w:rsidRDefault="00AE0B52" w:rsidP="00AE0B52">
      <w:pPr>
        <w:jc w:val="both"/>
        <w:rPr>
          <w:sz w:val="16"/>
          <w:szCs w:val="16"/>
          <w:lang w:val="en-CA"/>
        </w:rPr>
      </w:pPr>
    </w:p>
    <w:p w14:paraId="0E3A1DDC" w14:textId="77777777" w:rsidR="00AE0B52" w:rsidRDefault="00AE0B52" w:rsidP="00AE0B52">
      <w:pPr>
        <w:jc w:val="both"/>
        <w:rPr>
          <w:sz w:val="16"/>
          <w:szCs w:val="16"/>
          <w:lang w:val="en-CA"/>
        </w:rPr>
      </w:pPr>
    </w:p>
    <w:p w14:paraId="6698294E" w14:textId="77777777" w:rsidR="00AE0B52" w:rsidRDefault="00AE0B52" w:rsidP="00AE0B52">
      <w:pPr>
        <w:jc w:val="both"/>
        <w:rPr>
          <w:sz w:val="16"/>
          <w:szCs w:val="16"/>
          <w:lang w:val="en-CA"/>
        </w:rPr>
      </w:pPr>
    </w:p>
    <w:p w14:paraId="767591DD" w14:textId="77777777" w:rsidR="00AE0B52" w:rsidRDefault="00AE0B52" w:rsidP="00AE0B52">
      <w:pPr>
        <w:jc w:val="both"/>
        <w:rPr>
          <w:sz w:val="16"/>
          <w:szCs w:val="16"/>
          <w:lang w:val="en-CA"/>
        </w:rPr>
      </w:pPr>
    </w:p>
    <w:p w14:paraId="165AF38C" w14:textId="77777777" w:rsidR="00AE0B52" w:rsidRDefault="00AE0B52" w:rsidP="00C014F0">
      <w:pPr>
        <w:widowControl w:val="0"/>
        <w:rPr>
          <w:b/>
          <w:lang w:val="en-CA"/>
        </w:rPr>
      </w:pPr>
    </w:p>
    <w:p w14:paraId="3A3DF9D5" w14:textId="77777777" w:rsidR="00AE0B52" w:rsidRDefault="00AE0B52" w:rsidP="00C014F0">
      <w:pPr>
        <w:widowControl w:val="0"/>
        <w:rPr>
          <w:b/>
          <w:lang w:val="en-CA"/>
        </w:rPr>
      </w:pPr>
    </w:p>
    <w:tbl>
      <w:tblPr>
        <w:tblW w:w="6240" w:type="dxa"/>
        <w:tblLook w:val="04A0" w:firstRow="1" w:lastRow="0" w:firstColumn="1" w:lastColumn="0" w:noHBand="0" w:noVBand="1"/>
      </w:tblPr>
      <w:tblGrid>
        <w:gridCol w:w="3140"/>
        <w:gridCol w:w="1680"/>
        <w:gridCol w:w="1420"/>
      </w:tblGrid>
      <w:tr w:rsidR="00683E7A" w:rsidRPr="00033175" w14:paraId="77EC446C" w14:textId="77777777" w:rsidTr="00683E7A">
        <w:trPr>
          <w:trHeight w:val="260"/>
        </w:trPr>
        <w:tc>
          <w:tcPr>
            <w:tcW w:w="3140" w:type="dxa"/>
            <w:tcBorders>
              <w:top w:val="nil"/>
              <w:left w:val="nil"/>
              <w:bottom w:val="nil"/>
              <w:right w:val="nil"/>
            </w:tcBorders>
            <w:shd w:val="clear" w:color="auto" w:fill="auto"/>
            <w:vAlign w:val="bottom"/>
            <w:hideMark/>
          </w:tcPr>
          <w:p w14:paraId="6761E9FE" w14:textId="77777777" w:rsidR="00683E7A" w:rsidRPr="00033175" w:rsidRDefault="00683E7A" w:rsidP="00683E7A">
            <w:pPr>
              <w:rPr>
                <w:sz w:val="20"/>
                <w:szCs w:val="20"/>
              </w:rPr>
            </w:pPr>
          </w:p>
        </w:tc>
        <w:tc>
          <w:tcPr>
            <w:tcW w:w="1680" w:type="dxa"/>
            <w:vMerge w:val="restart"/>
            <w:tcBorders>
              <w:top w:val="nil"/>
              <w:left w:val="nil"/>
              <w:bottom w:val="nil"/>
              <w:right w:val="nil"/>
            </w:tcBorders>
            <w:shd w:val="clear" w:color="auto" w:fill="auto"/>
            <w:vAlign w:val="center"/>
            <w:hideMark/>
          </w:tcPr>
          <w:p w14:paraId="325AAB5D" w14:textId="77777777" w:rsidR="00683E7A" w:rsidRPr="00683E7A" w:rsidRDefault="00683E7A" w:rsidP="00683E7A">
            <w:pPr>
              <w:jc w:val="center"/>
              <w:rPr>
                <w:rFonts w:ascii="Arial" w:eastAsia="Times New Roman" w:hAnsi="Arial" w:cs="Arial"/>
                <w:b/>
                <w:bCs/>
                <w:sz w:val="20"/>
                <w:szCs w:val="20"/>
              </w:rPr>
            </w:pPr>
            <w:r w:rsidRPr="00683E7A">
              <w:rPr>
                <w:rFonts w:ascii="Arial" w:eastAsia="Times New Roman" w:hAnsi="Arial" w:cs="Arial"/>
                <w:b/>
                <w:bCs/>
                <w:sz w:val="20"/>
                <w:szCs w:val="20"/>
              </w:rPr>
              <w:t>FEP</w:t>
            </w:r>
            <w:r w:rsidRPr="00683E7A">
              <w:rPr>
                <w:rFonts w:ascii="Arial" w:eastAsia="Times New Roman" w:hAnsi="Arial" w:cs="Arial"/>
                <w:b/>
                <w:bCs/>
                <w:sz w:val="20"/>
                <w:szCs w:val="20"/>
              </w:rPr>
              <w:br/>
              <w:t>N=115</w:t>
            </w:r>
          </w:p>
        </w:tc>
        <w:tc>
          <w:tcPr>
            <w:tcW w:w="1420" w:type="dxa"/>
            <w:vMerge w:val="restart"/>
            <w:tcBorders>
              <w:top w:val="nil"/>
              <w:left w:val="nil"/>
              <w:bottom w:val="nil"/>
              <w:right w:val="nil"/>
            </w:tcBorders>
            <w:shd w:val="clear" w:color="auto" w:fill="auto"/>
            <w:vAlign w:val="center"/>
            <w:hideMark/>
          </w:tcPr>
          <w:p w14:paraId="5B6CCC73" w14:textId="77777777" w:rsidR="00683E7A" w:rsidRPr="00683E7A" w:rsidRDefault="00683E7A" w:rsidP="00683E7A">
            <w:pPr>
              <w:jc w:val="center"/>
              <w:rPr>
                <w:rFonts w:ascii="Arial" w:eastAsia="Times New Roman" w:hAnsi="Arial" w:cs="Arial"/>
                <w:b/>
                <w:bCs/>
                <w:sz w:val="20"/>
                <w:szCs w:val="20"/>
              </w:rPr>
            </w:pPr>
            <w:r w:rsidRPr="00683E7A">
              <w:rPr>
                <w:rFonts w:ascii="Arial" w:eastAsia="Times New Roman" w:hAnsi="Arial" w:cs="Arial"/>
                <w:b/>
                <w:bCs/>
                <w:sz w:val="20"/>
                <w:szCs w:val="20"/>
              </w:rPr>
              <w:t>Controls</w:t>
            </w:r>
            <w:r w:rsidRPr="00683E7A">
              <w:rPr>
                <w:rFonts w:ascii="Arial" w:eastAsia="Times New Roman" w:hAnsi="Arial" w:cs="Arial"/>
                <w:b/>
                <w:bCs/>
                <w:sz w:val="20"/>
                <w:szCs w:val="20"/>
              </w:rPr>
              <w:br/>
              <w:t>N=80</w:t>
            </w:r>
          </w:p>
        </w:tc>
      </w:tr>
      <w:tr w:rsidR="00683E7A" w:rsidRPr="00033175" w14:paraId="50D8F633" w14:textId="77777777" w:rsidTr="00683E7A">
        <w:trPr>
          <w:trHeight w:val="260"/>
        </w:trPr>
        <w:tc>
          <w:tcPr>
            <w:tcW w:w="3140" w:type="dxa"/>
            <w:tcBorders>
              <w:top w:val="nil"/>
              <w:left w:val="nil"/>
              <w:bottom w:val="nil"/>
              <w:right w:val="nil"/>
            </w:tcBorders>
            <w:shd w:val="clear" w:color="auto" w:fill="auto"/>
            <w:vAlign w:val="bottom"/>
            <w:hideMark/>
          </w:tcPr>
          <w:p w14:paraId="3E09CB9C" w14:textId="77777777" w:rsidR="00683E7A" w:rsidRPr="00683E7A" w:rsidRDefault="00683E7A" w:rsidP="00683E7A">
            <w:pPr>
              <w:jc w:val="center"/>
              <w:rPr>
                <w:rFonts w:ascii="Arial" w:eastAsia="Times New Roman" w:hAnsi="Arial" w:cs="Arial"/>
                <w:b/>
                <w:bCs/>
                <w:sz w:val="20"/>
                <w:szCs w:val="20"/>
              </w:rPr>
            </w:pPr>
          </w:p>
        </w:tc>
        <w:tc>
          <w:tcPr>
            <w:tcW w:w="1680" w:type="dxa"/>
            <w:vMerge/>
            <w:tcBorders>
              <w:top w:val="nil"/>
              <w:left w:val="nil"/>
              <w:bottom w:val="nil"/>
              <w:right w:val="nil"/>
            </w:tcBorders>
            <w:vAlign w:val="center"/>
            <w:hideMark/>
          </w:tcPr>
          <w:p w14:paraId="18D4FA90" w14:textId="77777777" w:rsidR="00683E7A" w:rsidRPr="00683E7A" w:rsidRDefault="00683E7A" w:rsidP="00683E7A">
            <w:pPr>
              <w:rPr>
                <w:rFonts w:ascii="Arial" w:eastAsia="Times New Roman" w:hAnsi="Arial" w:cs="Arial"/>
                <w:b/>
                <w:bCs/>
                <w:sz w:val="20"/>
                <w:szCs w:val="20"/>
              </w:rPr>
            </w:pPr>
          </w:p>
        </w:tc>
        <w:tc>
          <w:tcPr>
            <w:tcW w:w="1420" w:type="dxa"/>
            <w:vMerge/>
            <w:tcBorders>
              <w:top w:val="nil"/>
              <w:left w:val="nil"/>
              <w:bottom w:val="nil"/>
              <w:right w:val="nil"/>
            </w:tcBorders>
            <w:vAlign w:val="center"/>
            <w:hideMark/>
          </w:tcPr>
          <w:p w14:paraId="3D9D2674" w14:textId="77777777" w:rsidR="00683E7A" w:rsidRPr="00683E7A" w:rsidRDefault="00683E7A" w:rsidP="00683E7A">
            <w:pPr>
              <w:rPr>
                <w:rFonts w:ascii="Arial" w:eastAsia="Times New Roman" w:hAnsi="Arial" w:cs="Arial"/>
                <w:b/>
                <w:bCs/>
                <w:sz w:val="20"/>
                <w:szCs w:val="20"/>
              </w:rPr>
            </w:pPr>
          </w:p>
        </w:tc>
      </w:tr>
      <w:tr w:rsidR="00683E7A" w:rsidRPr="00033175" w14:paraId="638B5833" w14:textId="77777777" w:rsidTr="00AE0B52">
        <w:trPr>
          <w:trHeight w:val="60"/>
        </w:trPr>
        <w:tc>
          <w:tcPr>
            <w:tcW w:w="3140" w:type="dxa"/>
            <w:tcBorders>
              <w:top w:val="nil"/>
              <w:left w:val="nil"/>
              <w:bottom w:val="nil"/>
              <w:right w:val="nil"/>
            </w:tcBorders>
            <w:shd w:val="clear" w:color="auto" w:fill="auto"/>
            <w:vAlign w:val="bottom"/>
            <w:hideMark/>
          </w:tcPr>
          <w:p w14:paraId="2E69D600" w14:textId="77777777" w:rsidR="00AE0B52" w:rsidRPr="00683E7A" w:rsidRDefault="00AE0B52" w:rsidP="00683E7A">
            <w:pPr>
              <w:rPr>
                <w:rFonts w:eastAsia="Times New Roman"/>
                <w:sz w:val="20"/>
                <w:szCs w:val="20"/>
              </w:rPr>
            </w:pPr>
          </w:p>
        </w:tc>
        <w:tc>
          <w:tcPr>
            <w:tcW w:w="1680" w:type="dxa"/>
            <w:vMerge/>
            <w:tcBorders>
              <w:top w:val="nil"/>
              <w:left w:val="nil"/>
              <w:bottom w:val="nil"/>
              <w:right w:val="nil"/>
            </w:tcBorders>
            <w:vAlign w:val="center"/>
            <w:hideMark/>
          </w:tcPr>
          <w:p w14:paraId="2D437ED0" w14:textId="77777777" w:rsidR="00683E7A" w:rsidRPr="00683E7A" w:rsidRDefault="00683E7A" w:rsidP="00683E7A">
            <w:pPr>
              <w:rPr>
                <w:rFonts w:ascii="Arial" w:eastAsia="Times New Roman" w:hAnsi="Arial" w:cs="Arial"/>
                <w:b/>
                <w:bCs/>
                <w:sz w:val="20"/>
                <w:szCs w:val="20"/>
              </w:rPr>
            </w:pPr>
          </w:p>
        </w:tc>
        <w:tc>
          <w:tcPr>
            <w:tcW w:w="1420" w:type="dxa"/>
            <w:vMerge/>
            <w:tcBorders>
              <w:top w:val="nil"/>
              <w:left w:val="nil"/>
              <w:bottom w:val="nil"/>
              <w:right w:val="nil"/>
            </w:tcBorders>
            <w:vAlign w:val="center"/>
            <w:hideMark/>
          </w:tcPr>
          <w:p w14:paraId="1164CFFA" w14:textId="77777777" w:rsidR="00683E7A" w:rsidRPr="00683E7A" w:rsidRDefault="00683E7A" w:rsidP="00683E7A">
            <w:pPr>
              <w:rPr>
                <w:rFonts w:ascii="Arial" w:eastAsia="Times New Roman" w:hAnsi="Arial" w:cs="Arial"/>
                <w:b/>
                <w:bCs/>
                <w:sz w:val="20"/>
                <w:szCs w:val="20"/>
              </w:rPr>
            </w:pPr>
          </w:p>
        </w:tc>
      </w:tr>
      <w:tr w:rsidR="00683E7A" w:rsidRPr="00033175" w14:paraId="3E28205F" w14:textId="77777777" w:rsidTr="00683E7A">
        <w:trPr>
          <w:trHeight w:val="260"/>
        </w:trPr>
        <w:tc>
          <w:tcPr>
            <w:tcW w:w="3140" w:type="dxa"/>
            <w:tcBorders>
              <w:top w:val="nil"/>
              <w:left w:val="nil"/>
              <w:bottom w:val="nil"/>
              <w:right w:val="nil"/>
            </w:tcBorders>
            <w:shd w:val="clear" w:color="000000" w:fill="BFBFBF"/>
            <w:vAlign w:val="bottom"/>
            <w:hideMark/>
          </w:tcPr>
          <w:p w14:paraId="73C38713"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 </w:t>
            </w:r>
          </w:p>
        </w:tc>
        <w:tc>
          <w:tcPr>
            <w:tcW w:w="3100" w:type="dxa"/>
            <w:gridSpan w:val="2"/>
            <w:tcBorders>
              <w:top w:val="nil"/>
              <w:left w:val="nil"/>
              <w:bottom w:val="nil"/>
              <w:right w:val="nil"/>
            </w:tcBorders>
            <w:shd w:val="clear" w:color="000000" w:fill="BFBFBF"/>
            <w:noWrap/>
            <w:vAlign w:val="center"/>
            <w:hideMark/>
          </w:tcPr>
          <w:p w14:paraId="2F21C8FB" w14:textId="77777777" w:rsidR="00683E7A" w:rsidRPr="00683E7A" w:rsidRDefault="00683E7A" w:rsidP="00683E7A">
            <w:pPr>
              <w:jc w:val="center"/>
              <w:rPr>
                <w:rFonts w:ascii="Arial" w:eastAsia="Times New Roman" w:hAnsi="Arial" w:cs="Arial"/>
                <w:b/>
                <w:bCs/>
                <w:sz w:val="20"/>
                <w:szCs w:val="20"/>
              </w:rPr>
            </w:pPr>
            <w:r w:rsidRPr="00683E7A">
              <w:rPr>
                <w:rFonts w:ascii="Arial" w:eastAsia="Times New Roman" w:hAnsi="Arial" w:cs="Arial"/>
                <w:b/>
                <w:bCs/>
                <w:sz w:val="20"/>
                <w:szCs w:val="20"/>
              </w:rPr>
              <w:t>N (%)</w:t>
            </w:r>
          </w:p>
        </w:tc>
      </w:tr>
      <w:tr w:rsidR="00683E7A" w:rsidRPr="00033175" w14:paraId="6EA0313C" w14:textId="77777777" w:rsidTr="00683E7A">
        <w:trPr>
          <w:trHeight w:val="240"/>
        </w:trPr>
        <w:tc>
          <w:tcPr>
            <w:tcW w:w="3140" w:type="dxa"/>
            <w:tcBorders>
              <w:top w:val="nil"/>
              <w:left w:val="nil"/>
              <w:bottom w:val="nil"/>
              <w:right w:val="nil"/>
            </w:tcBorders>
            <w:shd w:val="clear" w:color="auto" w:fill="auto"/>
            <w:vAlign w:val="center"/>
            <w:hideMark/>
          </w:tcPr>
          <w:p w14:paraId="246EB887"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Male</w:t>
            </w:r>
          </w:p>
        </w:tc>
        <w:tc>
          <w:tcPr>
            <w:tcW w:w="1680" w:type="dxa"/>
            <w:tcBorders>
              <w:top w:val="nil"/>
              <w:left w:val="nil"/>
              <w:bottom w:val="nil"/>
              <w:right w:val="nil"/>
            </w:tcBorders>
            <w:shd w:val="clear" w:color="auto" w:fill="auto"/>
            <w:noWrap/>
            <w:vAlign w:val="center"/>
            <w:hideMark/>
          </w:tcPr>
          <w:p w14:paraId="46A9C89E"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82 (71)</w:t>
            </w:r>
          </w:p>
        </w:tc>
        <w:tc>
          <w:tcPr>
            <w:tcW w:w="1420" w:type="dxa"/>
            <w:tcBorders>
              <w:top w:val="nil"/>
              <w:left w:val="nil"/>
              <w:bottom w:val="nil"/>
              <w:right w:val="nil"/>
            </w:tcBorders>
            <w:shd w:val="clear" w:color="auto" w:fill="auto"/>
            <w:noWrap/>
            <w:vAlign w:val="center"/>
            <w:hideMark/>
          </w:tcPr>
          <w:p w14:paraId="7A822A5D"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52 (65)</w:t>
            </w:r>
          </w:p>
        </w:tc>
      </w:tr>
      <w:tr w:rsidR="00683E7A" w:rsidRPr="00033175" w14:paraId="0AA439A8" w14:textId="77777777" w:rsidTr="00683E7A">
        <w:trPr>
          <w:trHeight w:val="240"/>
        </w:trPr>
        <w:tc>
          <w:tcPr>
            <w:tcW w:w="3140" w:type="dxa"/>
            <w:tcBorders>
              <w:top w:val="nil"/>
              <w:left w:val="nil"/>
              <w:bottom w:val="nil"/>
              <w:right w:val="nil"/>
            </w:tcBorders>
            <w:shd w:val="clear" w:color="auto" w:fill="auto"/>
            <w:vAlign w:val="center"/>
            <w:hideMark/>
          </w:tcPr>
          <w:p w14:paraId="128DC9F4"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Right Handed</w:t>
            </w:r>
          </w:p>
        </w:tc>
        <w:tc>
          <w:tcPr>
            <w:tcW w:w="1680" w:type="dxa"/>
            <w:tcBorders>
              <w:top w:val="nil"/>
              <w:left w:val="nil"/>
              <w:bottom w:val="nil"/>
              <w:right w:val="nil"/>
            </w:tcBorders>
            <w:shd w:val="clear" w:color="auto" w:fill="auto"/>
            <w:noWrap/>
            <w:vAlign w:val="center"/>
            <w:hideMark/>
          </w:tcPr>
          <w:p w14:paraId="6489528E"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95 (83)</w:t>
            </w:r>
          </w:p>
        </w:tc>
        <w:tc>
          <w:tcPr>
            <w:tcW w:w="1420" w:type="dxa"/>
            <w:tcBorders>
              <w:top w:val="nil"/>
              <w:left w:val="nil"/>
              <w:bottom w:val="nil"/>
              <w:right w:val="nil"/>
            </w:tcBorders>
            <w:shd w:val="clear" w:color="auto" w:fill="auto"/>
            <w:noWrap/>
            <w:vAlign w:val="center"/>
            <w:hideMark/>
          </w:tcPr>
          <w:p w14:paraId="03310547"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73 (91)</w:t>
            </w:r>
          </w:p>
        </w:tc>
      </w:tr>
      <w:tr w:rsidR="00683E7A" w:rsidRPr="00033175" w14:paraId="3851B847" w14:textId="77777777" w:rsidTr="00683E7A">
        <w:trPr>
          <w:trHeight w:val="240"/>
        </w:trPr>
        <w:tc>
          <w:tcPr>
            <w:tcW w:w="4820" w:type="dxa"/>
            <w:gridSpan w:val="2"/>
            <w:tcBorders>
              <w:top w:val="nil"/>
              <w:left w:val="nil"/>
              <w:bottom w:val="nil"/>
              <w:right w:val="nil"/>
            </w:tcBorders>
            <w:shd w:val="clear" w:color="auto" w:fill="auto"/>
            <w:vAlign w:val="center"/>
            <w:hideMark/>
          </w:tcPr>
          <w:p w14:paraId="594492BC" w14:textId="77777777" w:rsidR="00683E7A" w:rsidRPr="00683E7A" w:rsidRDefault="00683E7A" w:rsidP="00683E7A">
            <w:pPr>
              <w:rPr>
                <w:rFonts w:ascii="Arial" w:eastAsia="Times New Roman" w:hAnsi="Arial" w:cs="Arial"/>
                <w:i/>
                <w:iCs/>
                <w:sz w:val="16"/>
                <w:szCs w:val="16"/>
              </w:rPr>
            </w:pPr>
            <w:r w:rsidRPr="00683E7A">
              <w:rPr>
                <w:rFonts w:ascii="Arial" w:eastAsia="Times New Roman" w:hAnsi="Arial" w:cs="Arial"/>
                <w:i/>
                <w:iCs/>
                <w:sz w:val="16"/>
                <w:szCs w:val="16"/>
              </w:rPr>
              <w:t>Diagnosis</w:t>
            </w:r>
            <w:r w:rsidRPr="00683E7A">
              <w:rPr>
                <w:rFonts w:ascii="Arial" w:eastAsia="Times New Roman" w:hAnsi="Arial" w:cs="Arial"/>
                <w:i/>
                <w:iCs/>
                <w:sz w:val="16"/>
                <w:szCs w:val="16"/>
                <w:vertAlign w:val="superscript"/>
              </w:rPr>
              <w:t>a</w:t>
            </w:r>
          </w:p>
        </w:tc>
        <w:tc>
          <w:tcPr>
            <w:tcW w:w="1420" w:type="dxa"/>
            <w:tcBorders>
              <w:top w:val="nil"/>
              <w:left w:val="nil"/>
              <w:bottom w:val="nil"/>
              <w:right w:val="nil"/>
            </w:tcBorders>
            <w:shd w:val="clear" w:color="auto" w:fill="auto"/>
            <w:noWrap/>
            <w:vAlign w:val="center"/>
            <w:hideMark/>
          </w:tcPr>
          <w:p w14:paraId="36BE29AE" w14:textId="77777777" w:rsidR="00683E7A" w:rsidRPr="00683E7A" w:rsidRDefault="00683E7A" w:rsidP="00683E7A">
            <w:pPr>
              <w:rPr>
                <w:rFonts w:ascii="Arial" w:eastAsia="Times New Roman" w:hAnsi="Arial" w:cs="Arial"/>
                <w:i/>
                <w:iCs/>
                <w:sz w:val="16"/>
                <w:szCs w:val="16"/>
              </w:rPr>
            </w:pPr>
          </w:p>
        </w:tc>
      </w:tr>
      <w:tr w:rsidR="00683E7A" w:rsidRPr="00033175" w14:paraId="1EA29F61" w14:textId="77777777" w:rsidTr="00683E7A">
        <w:trPr>
          <w:trHeight w:val="240"/>
        </w:trPr>
        <w:tc>
          <w:tcPr>
            <w:tcW w:w="3140" w:type="dxa"/>
            <w:tcBorders>
              <w:top w:val="nil"/>
              <w:left w:val="nil"/>
              <w:bottom w:val="nil"/>
              <w:right w:val="nil"/>
            </w:tcBorders>
            <w:shd w:val="clear" w:color="auto" w:fill="auto"/>
            <w:vAlign w:val="center"/>
            <w:hideMark/>
          </w:tcPr>
          <w:p w14:paraId="32173AE2"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Schizophrenia/ Schizophreniform</w:t>
            </w:r>
          </w:p>
        </w:tc>
        <w:tc>
          <w:tcPr>
            <w:tcW w:w="1680" w:type="dxa"/>
            <w:tcBorders>
              <w:top w:val="nil"/>
              <w:left w:val="nil"/>
              <w:bottom w:val="nil"/>
              <w:right w:val="nil"/>
            </w:tcBorders>
            <w:shd w:val="clear" w:color="auto" w:fill="auto"/>
            <w:noWrap/>
            <w:vAlign w:val="center"/>
            <w:hideMark/>
          </w:tcPr>
          <w:p w14:paraId="403AC7B1"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79 (69)</w:t>
            </w:r>
          </w:p>
        </w:tc>
        <w:tc>
          <w:tcPr>
            <w:tcW w:w="1420" w:type="dxa"/>
            <w:tcBorders>
              <w:top w:val="nil"/>
              <w:left w:val="nil"/>
              <w:bottom w:val="nil"/>
              <w:right w:val="nil"/>
            </w:tcBorders>
            <w:shd w:val="clear" w:color="auto" w:fill="auto"/>
            <w:noWrap/>
            <w:vAlign w:val="center"/>
            <w:hideMark/>
          </w:tcPr>
          <w:p w14:paraId="2A0BB81B" w14:textId="77777777" w:rsidR="00683E7A" w:rsidRPr="00683E7A" w:rsidRDefault="00683E7A" w:rsidP="00683E7A">
            <w:pPr>
              <w:jc w:val="center"/>
              <w:rPr>
                <w:rFonts w:ascii="Arial" w:eastAsia="Times New Roman" w:hAnsi="Arial" w:cs="Arial"/>
                <w:sz w:val="16"/>
                <w:szCs w:val="16"/>
              </w:rPr>
            </w:pPr>
          </w:p>
        </w:tc>
      </w:tr>
      <w:tr w:rsidR="00683E7A" w:rsidRPr="00033175" w14:paraId="3F6B0C26" w14:textId="77777777" w:rsidTr="00683E7A">
        <w:trPr>
          <w:trHeight w:val="240"/>
        </w:trPr>
        <w:tc>
          <w:tcPr>
            <w:tcW w:w="3140" w:type="dxa"/>
            <w:tcBorders>
              <w:top w:val="nil"/>
              <w:left w:val="nil"/>
              <w:bottom w:val="nil"/>
              <w:right w:val="nil"/>
            </w:tcBorders>
            <w:shd w:val="clear" w:color="auto" w:fill="auto"/>
            <w:vAlign w:val="center"/>
            <w:hideMark/>
          </w:tcPr>
          <w:p w14:paraId="5FC90F39"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Affective Disorder</w:t>
            </w:r>
          </w:p>
        </w:tc>
        <w:tc>
          <w:tcPr>
            <w:tcW w:w="1680" w:type="dxa"/>
            <w:tcBorders>
              <w:top w:val="nil"/>
              <w:left w:val="nil"/>
              <w:bottom w:val="nil"/>
              <w:right w:val="nil"/>
            </w:tcBorders>
            <w:shd w:val="clear" w:color="auto" w:fill="auto"/>
            <w:noWrap/>
            <w:vAlign w:val="center"/>
            <w:hideMark/>
          </w:tcPr>
          <w:p w14:paraId="3F59E662"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22 (19)</w:t>
            </w:r>
          </w:p>
        </w:tc>
        <w:tc>
          <w:tcPr>
            <w:tcW w:w="1420" w:type="dxa"/>
            <w:tcBorders>
              <w:top w:val="nil"/>
              <w:left w:val="nil"/>
              <w:bottom w:val="nil"/>
              <w:right w:val="nil"/>
            </w:tcBorders>
            <w:shd w:val="clear" w:color="auto" w:fill="auto"/>
            <w:noWrap/>
            <w:vAlign w:val="center"/>
            <w:hideMark/>
          </w:tcPr>
          <w:p w14:paraId="76E80DEC" w14:textId="77777777" w:rsidR="00683E7A" w:rsidRPr="00683E7A" w:rsidRDefault="00683E7A" w:rsidP="00683E7A">
            <w:pPr>
              <w:jc w:val="center"/>
              <w:rPr>
                <w:rFonts w:ascii="Arial" w:eastAsia="Times New Roman" w:hAnsi="Arial" w:cs="Arial"/>
                <w:sz w:val="16"/>
                <w:szCs w:val="16"/>
              </w:rPr>
            </w:pPr>
          </w:p>
        </w:tc>
      </w:tr>
      <w:tr w:rsidR="00683E7A" w:rsidRPr="00033175" w14:paraId="1BCFC3C8" w14:textId="77777777" w:rsidTr="00683E7A">
        <w:trPr>
          <w:trHeight w:val="240"/>
        </w:trPr>
        <w:tc>
          <w:tcPr>
            <w:tcW w:w="3140" w:type="dxa"/>
            <w:tcBorders>
              <w:top w:val="nil"/>
              <w:left w:val="nil"/>
              <w:bottom w:val="nil"/>
              <w:right w:val="nil"/>
            </w:tcBorders>
            <w:shd w:val="clear" w:color="auto" w:fill="auto"/>
            <w:vAlign w:val="center"/>
            <w:hideMark/>
          </w:tcPr>
          <w:p w14:paraId="08BDD990"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Delusional Disorder</w:t>
            </w:r>
          </w:p>
        </w:tc>
        <w:tc>
          <w:tcPr>
            <w:tcW w:w="1680" w:type="dxa"/>
            <w:tcBorders>
              <w:top w:val="nil"/>
              <w:left w:val="nil"/>
              <w:bottom w:val="nil"/>
              <w:right w:val="nil"/>
            </w:tcBorders>
            <w:shd w:val="clear" w:color="auto" w:fill="auto"/>
            <w:noWrap/>
            <w:vAlign w:val="center"/>
            <w:hideMark/>
          </w:tcPr>
          <w:p w14:paraId="76500EEC"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3 (3)</w:t>
            </w:r>
          </w:p>
        </w:tc>
        <w:tc>
          <w:tcPr>
            <w:tcW w:w="1420" w:type="dxa"/>
            <w:tcBorders>
              <w:top w:val="nil"/>
              <w:left w:val="nil"/>
              <w:bottom w:val="nil"/>
              <w:right w:val="nil"/>
            </w:tcBorders>
            <w:shd w:val="clear" w:color="auto" w:fill="auto"/>
            <w:noWrap/>
            <w:vAlign w:val="center"/>
            <w:hideMark/>
          </w:tcPr>
          <w:p w14:paraId="78597AFA" w14:textId="77777777" w:rsidR="00683E7A" w:rsidRPr="00683E7A" w:rsidRDefault="00683E7A" w:rsidP="00683E7A">
            <w:pPr>
              <w:jc w:val="center"/>
              <w:rPr>
                <w:rFonts w:ascii="Arial" w:eastAsia="Times New Roman" w:hAnsi="Arial" w:cs="Arial"/>
                <w:sz w:val="16"/>
                <w:szCs w:val="16"/>
              </w:rPr>
            </w:pPr>
          </w:p>
        </w:tc>
      </w:tr>
      <w:tr w:rsidR="00683E7A" w:rsidRPr="00033175" w14:paraId="55EA42F8" w14:textId="77777777" w:rsidTr="00683E7A">
        <w:trPr>
          <w:trHeight w:val="240"/>
        </w:trPr>
        <w:tc>
          <w:tcPr>
            <w:tcW w:w="3140" w:type="dxa"/>
            <w:tcBorders>
              <w:top w:val="nil"/>
              <w:left w:val="nil"/>
              <w:bottom w:val="nil"/>
              <w:right w:val="nil"/>
            </w:tcBorders>
            <w:shd w:val="clear" w:color="auto" w:fill="auto"/>
            <w:vAlign w:val="center"/>
            <w:hideMark/>
          </w:tcPr>
          <w:p w14:paraId="0C9685FC"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Psychosis Not Otherwise Specified</w:t>
            </w:r>
          </w:p>
        </w:tc>
        <w:tc>
          <w:tcPr>
            <w:tcW w:w="1680" w:type="dxa"/>
            <w:tcBorders>
              <w:top w:val="nil"/>
              <w:left w:val="nil"/>
              <w:bottom w:val="nil"/>
              <w:right w:val="nil"/>
            </w:tcBorders>
            <w:shd w:val="clear" w:color="auto" w:fill="auto"/>
            <w:noWrap/>
            <w:vAlign w:val="center"/>
            <w:hideMark/>
          </w:tcPr>
          <w:p w14:paraId="059EBC1D"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10 (9)</w:t>
            </w:r>
          </w:p>
        </w:tc>
        <w:tc>
          <w:tcPr>
            <w:tcW w:w="1420" w:type="dxa"/>
            <w:tcBorders>
              <w:top w:val="nil"/>
              <w:left w:val="nil"/>
              <w:bottom w:val="nil"/>
              <w:right w:val="nil"/>
            </w:tcBorders>
            <w:shd w:val="clear" w:color="auto" w:fill="auto"/>
            <w:noWrap/>
            <w:vAlign w:val="center"/>
            <w:hideMark/>
          </w:tcPr>
          <w:p w14:paraId="35A3546A" w14:textId="77777777" w:rsidR="00683E7A" w:rsidRPr="00683E7A" w:rsidRDefault="00683E7A" w:rsidP="00683E7A">
            <w:pPr>
              <w:jc w:val="center"/>
              <w:rPr>
                <w:rFonts w:ascii="Arial" w:eastAsia="Times New Roman" w:hAnsi="Arial" w:cs="Arial"/>
                <w:sz w:val="16"/>
                <w:szCs w:val="16"/>
              </w:rPr>
            </w:pPr>
          </w:p>
        </w:tc>
      </w:tr>
      <w:tr w:rsidR="00683E7A" w:rsidRPr="00033175" w14:paraId="2ECFFC70" w14:textId="77777777" w:rsidTr="00683E7A">
        <w:trPr>
          <w:trHeight w:val="240"/>
        </w:trPr>
        <w:tc>
          <w:tcPr>
            <w:tcW w:w="3140" w:type="dxa"/>
            <w:tcBorders>
              <w:top w:val="nil"/>
              <w:left w:val="nil"/>
              <w:bottom w:val="nil"/>
              <w:right w:val="nil"/>
            </w:tcBorders>
            <w:shd w:val="clear" w:color="000000" w:fill="BFBFBF"/>
            <w:vAlign w:val="bottom"/>
            <w:hideMark/>
          </w:tcPr>
          <w:p w14:paraId="1718037B"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 </w:t>
            </w:r>
          </w:p>
        </w:tc>
        <w:tc>
          <w:tcPr>
            <w:tcW w:w="3100" w:type="dxa"/>
            <w:gridSpan w:val="2"/>
            <w:tcBorders>
              <w:top w:val="nil"/>
              <w:left w:val="nil"/>
              <w:bottom w:val="nil"/>
              <w:right w:val="nil"/>
            </w:tcBorders>
            <w:shd w:val="clear" w:color="000000" w:fill="BFBFBF"/>
            <w:noWrap/>
            <w:vAlign w:val="center"/>
            <w:hideMark/>
          </w:tcPr>
          <w:p w14:paraId="0F4A41EE" w14:textId="77777777" w:rsidR="00683E7A" w:rsidRPr="00683E7A" w:rsidRDefault="00683E7A" w:rsidP="00683E7A">
            <w:pPr>
              <w:jc w:val="center"/>
              <w:rPr>
                <w:rFonts w:ascii="Arial" w:eastAsia="Times New Roman" w:hAnsi="Arial" w:cs="Arial"/>
                <w:b/>
                <w:bCs/>
                <w:sz w:val="20"/>
                <w:szCs w:val="20"/>
              </w:rPr>
            </w:pPr>
            <w:r w:rsidRPr="00683E7A">
              <w:rPr>
                <w:rFonts w:ascii="Arial" w:eastAsia="Times New Roman" w:hAnsi="Arial" w:cs="Arial"/>
                <w:b/>
                <w:bCs/>
                <w:sz w:val="20"/>
                <w:szCs w:val="20"/>
              </w:rPr>
              <w:t>Mean (SD)</w:t>
            </w:r>
          </w:p>
        </w:tc>
      </w:tr>
      <w:tr w:rsidR="00683E7A" w:rsidRPr="00033175" w14:paraId="60AA6FE2" w14:textId="77777777" w:rsidTr="00683E7A">
        <w:trPr>
          <w:trHeight w:val="240"/>
        </w:trPr>
        <w:tc>
          <w:tcPr>
            <w:tcW w:w="3140" w:type="dxa"/>
            <w:tcBorders>
              <w:top w:val="nil"/>
              <w:left w:val="nil"/>
              <w:bottom w:val="nil"/>
              <w:right w:val="nil"/>
            </w:tcBorders>
            <w:shd w:val="clear" w:color="auto" w:fill="auto"/>
            <w:vAlign w:val="center"/>
            <w:hideMark/>
          </w:tcPr>
          <w:p w14:paraId="7C141845"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Age at Baseline</w:t>
            </w:r>
          </w:p>
        </w:tc>
        <w:tc>
          <w:tcPr>
            <w:tcW w:w="1680" w:type="dxa"/>
            <w:tcBorders>
              <w:top w:val="nil"/>
              <w:left w:val="nil"/>
              <w:bottom w:val="nil"/>
              <w:right w:val="nil"/>
            </w:tcBorders>
            <w:shd w:val="clear" w:color="auto" w:fill="auto"/>
            <w:noWrap/>
            <w:vAlign w:val="center"/>
            <w:hideMark/>
          </w:tcPr>
          <w:p w14:paraId="29F40920"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24.1 (3.9)</w:t>
            </w:r>
          </w:p>
        </w:tc>
        <w:tc>
          <w:tcPr>
            <w:tcW w:w="1420" w:type="dxa"/>
            <w:tcBorders>
              <w:top w:val="nil"/>
              <w:left w:val="nil"/>
              <w:bottom w:val="nil"/>
              <w:right w:val="nil"/>
            </w:tcBorders>
            <w:shd w:val="clear" w:color="auto" w:fill="auto"/>
            <w:noWrap/>
            <w:vAlign w:val="center"/>
            <w:hideMark/>
          </w:tcPr>
          <w:p w14:paraId="120EE66C"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24.3 (3.3)</w:t>
            </w:r>
          </w:p>
        </w:tc>
      </w:tr>
      <w:tr w:rsidR="00683E7A" w:rsidRPr="00033175" w14:paraId="57AA4C4C" w14:textId="77777777" w:rsidTr="00683E7A">
        <w:trPr>
          <w:trHeight w:val="240"/>
        </w:trPr>
        <w:tc>
          <w:tcPr>
            <w:tcW w:w="3140" w:type="dxa"/>
            <w:tcBorders>
              <w:top w:val="nil"/>
              <w:left w:val="nil"/>
              <w:bottom w:val="nil"/>
              <w:right w:val="nil"/>
            </w:tcBorders>
            <w:shd w:val="clear" w:color="auto" w:fill="auto"/>
            <w:vAlign w:val="center"/>
            <w:hideMark/>
          </w:tcPr>
          <w:p w14:paraId="05932937" w14:textId="77777777" w:rsidR="00683E7A" w:rsidRPr="00683E7A" w:rsidRDefault="00683E7A" w:rsidP="00683E7A">
            <w:pPr>
              <w:rPr>
                <w:rFonts w:ascii="Arial" w:eastAsia="Times New Roman" w:hAnsi="Arial" w:cs="Arial"/>
                <w:b/>
                <w:bCs/>
                <w:sz w:val="16"/>
                <w:szCs w:val="16"/>
              </w:rPr>
            </w:pPr>
            <w:r w:rsidRPr="00683E7A">
              <w:rPr>
                <w:rFonts w:ascii="Arial" w:eastAsia="Times New Roman" w:hAnsi="Arial" w:cs="Arial"/>
                <w:b/>
                <w:bCs/>
                <w:sz w:val="16"/>
                <w:szCs w:val="16"/>
              </w:rPr>
              <w:t>Education in Years*</w:t>
            </w:r>
          </w:p>
        </w:tc>
        <w:tc>
          <w:tcPr>
            <w:tcW w:w="1680" w:type="dxa"/>
            <w:tcBorders>
              <w:top w:val="nil"/>
              <w:left w:val="nil"/>
              <w:bottom w:val="nil"/>
              <w:right w:val="nil"/>
            </w:tcBorders>
            <w:shd w:val="clear" w:color="auto" w:fill="auto"/>
            <w:noWrap/>
            <w:vAlign w:val="center"/>
            <w:hideMark/>
          </w:tcPr>
          <w:p w14:paraId="79A0DCF9"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11.8 (2.6)</w:t>
            </w:r>
          </w:p>
        </w:tc>
        <w:tc>
          <w:tcPr>
            <w:tcW w:w="1420" w:type="dxa"/>
            <w:tcBorders>
              <w:top w:val="nil"/>
              <w:left w:val="nil"/>
              <w:bottom w:val="nil"/>
              <w:right w:val="nil"/>
            </w:tcBorders>
            <w:shd w:val="clear" w:color="auto" w:fill="auto"/>
            <w:noWrap/>
            <w:vAlign w:val="center"/>
            <w:hideMark/>
          </w:tcPr>
          <w:p w14:paraId="2B4A2CED"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14.3 (2.4)</w:t>
            </w:r>
          </w:p>
        </w:tc>
      </w:tr>
      <w:tr w:rsidR="00683E7A" w:rsidRPr="00033175" w14:paraId="3C3E2E7B" w14:textId="77777777" w:rsidTr="00683E7A">
        <w:trPr>
          <w:trHeight w:val="240"/>
        </w:trPr>
        <w:tc>
          <w:tcPr>
            <w:tcW w:w="3140" w:type="dxa"/>
            <w:tcBorders>
              <w:top w:val="nil"/>
              <w:left w:val="nil"/>
              <w:bottom w:val="nil"/>
              <w:right w:val="nil"/>
            </w:tcBorders>
            <w:shd w:val="clear" w:color="auto" w:fill="auto"/>
            <w:vAlign w:val="center"/>
            <w:hideMark/>
          </w:tcPr>
          <w:p w14:paraId="3B3DF566"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Socioeconomic Status</w:t>
            </w:r>
          </w:p>
        </w:tc>
        <w:tc>
          <w:tcPr>
            <w:tcW w:w="1680" w:type="dxa"/>
            <w:tcBorders>
              <w:top w:val="nil"/>
              <w:left w:val="nil"/>
              <w:bottom w:val="nil"/>
              <w:right w:val="nil"/>
            </w:tcBorders>
            <w:shd w:val="clear" w:color="auto" w:fill="auto"/>
            <w:noWrap/>
            <w:vAlign w:val="center"/>
            <w:hideMark/>
          </w:tcPr>
          <w:p w14:paraId="52FC1236"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3.2 (1.1) [105]</w:t>
            </w:r>
          </w:p>
        </w:tc>
        <w:tc>
          <w:tcPr>
            <w:tcW w:w="1420" w:type="dxa"/>
            <w:tcBorders>
              <w:top w:val="nil"/>
              <w:left w:val="nil"/>
              <w:bottom w:val="nil"/>
              <w:right w:val="nil"/>
            </w:tcBorders>
            <w:shd w:val="clear" w:color="auto" w:fill="auto"/>
            <w:noWrap/>
            <w:vAlign w:val="center"/>
            <w:hideMark/>
          </w:tcPr>
          <w:p w14:paraId="2B537863"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3.0 (1.0) [76]</w:t>
            </w:r>
          </w:p>
        </w:tc>
      </w:tr>
      <w:tr w:rsidR="00683E7A" w:rsidRPr="00033175" w14:paraId="4E747528" w14:textId="77777777" w:rsidTr="00683E7A">
        <w:trPr>
          <w:trHeight w:val="240"/>
        </w:trPr>
        <w:tc>
          <w:tcPr>
            <w:tcW w:w="3140" w:type="dxa"/>
            <w:tcBorders>
              <w:top w:val="nil"/>
              <w:left w:val="nil"/>
              <w:bottom w:val="nil"/>
              <w:right w:val="nil"/>
            </w:tcBorders>
            <w:shd w:val="clear" w:color="auto" w:fill="auto"/>
            <w:vAlign w:val="center"/>
            <w:hideMark/>
          </w:tcPr>
          <w:p w14:paraId="3889E738" w14:textId="77777777" w:rsidR="00683E7A" w:rsidRPr="00683E7A" w:rsidRDefault="00683E7A" w:rsidP="00683E7A">
            <w:pPr>
              <w:rPr>
                <w:rFonts w:ascii="Arial" w:eastAsia="Times New Roman" w:hAnsi="Arial" w:cs="Arial"/>
                <w:b/>
                <w:bCs/>
                <w:sz w:val="16"/>
                <w:szCs w:val="16"/>
              </w:rPr>
            </w:pPr>
            <w:r w:rsidRPr="00683E7A">
              <w:rPr>
                <w:rFonts w:ascii="Arial" w:eastAsia="Times New Roman" w:hAnsi="Arial" w:cs="Arial"/>
                <w:b/>
                <w:bCs/>
                <w:sz w:val="16"/>
                <w:szCs w:val="16"/>
              </w:rPr>
              <w:t>Performance IQ*</w:t>
            </w:r>
            <w:r w:rsidRPr="00683E7A">
              <w:rPr>
                <w:rFonts w:ascii="Arial" w:eastAsia="Times New Roman" w:hAnsi="Arial" w:cs="Arial"/>
                <w:sz w:val="16"/>
                <w:szCs w:val="16"/>
                <w:vertAlign w:val="superscript"/>
              </w:rPr>
              <w:t>b</w:t>
            </w:r>
          </w:p>
        </w:tc>
        <w:tc>
          <w:tcPr>
            <w:tcW w:w="1680" w:type="dxa"/>
            <w:tcBorders>
              <w:top w:val="nil"/>
              <w:left w:val="nil"/>
              <w:bottom w:val="nil"/>
              <w:right w:val="nil"/>
            </w:tcBorders>
            <w:shd w:val="clear" w:color="auto" w:fill="auto"/>
            <w:noWrap/>
            <w:vAlign w:val="center"/>
            <w:hideMark/>
          </w:tcPr>
          <w:p w14:paraId="1D783493"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98.4 (16.4)</w:t>
            </w:r>
          </w:p>
        </w:tc>
        <w:tc>
          <w:tcPr>
            <w:tcW w:w="1420" w:type="dxa"/>
            <w:tcBorders>
              <w:top w:val="nil"/>
              <w:left w:val="nil"/>
              <w:bottom w:val="nil"/>
              <w:right w:val="nil"/>
            </w:tcBorders>
            <w:shd w:val="clear" w:color="auto" w:fill="auto"/>
            <w:noWrap/>
            <w:vAlign w:val="center"/>
            <w:hideMark/>
          </w:tcPr>
          <w:p w14:paraId="2785AE17"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106.9 (12.7)</w:t>
            </w:r>
          </w:p>
        </w:tc>
      </w:tr>
      <w:tr w:rsidR="00683E7A" w:rsidRPr="00033175" w14:paraId="1BC25551" w14:textId="77777777" w:rsidTr="00683E7A">
        <w:trPr>
          <w:trHeight w:val="240"/>
        </w:trPr>
        <w:tc>
          <w:tcPr>
            <w:tcW w:w="3140" w:type="dxa"/>
            <w:tcBorders>
              <w:top w:val="nil"/>
              <w:left w:val="nil"/>
              <w:bottom w:val="nil"/>
              <w:right w:val="nil"/>
            </w:tcBorders>
            <w:shd w:val="clear" w:color="auto" w:fill="auto"/>
            <w:vAlign w:val="center"/>
            <w:hideMark/>
          </w:tcPr>
          <w:p w14:paraId="64BF6056" w14:textId="77777777" w:rsidR="00683E7A" w:rsidRPr="00683E7A" w:rsidRDefault="00683E7A" w:rsidP="00683E7A">
            <w:pPr>
              <w:rPr>
                <w:rFonts w:ascii="Arial" w:eastAsia="Times New Roman" w:hAnsi="Arial" w:cs="Arial"/>
                <w:b/>
                <w:bCs/>
                <w:sz w:val="16"/>
                <w:szCs w:val="16"/>
              </w:rPr>
            </w:pPr>
            <w:r w:rsidRPr="00683E7A">
              <w:rPr>
                <w:rFonts w:ascii="Arial" w:eastAsia="Times New Roman" w:hAnsi="Arial" w:cs="Arial"/>
                <w:b/>
                <w:bCs/>
                <w:sz w:val="16"/>
                <w:szCs w:val="16"/>
              </w:rPr>
              <w:t>Verbal IQ*</w:t>
            </w:r>
            <w:r w:rsidRPr="00683E7A">
              <w:rPr>
                <w:rFonts w:ascii="Arial" w:eastAsia="Times New Roman" w:hAnsi="Arial" w:cs="Arial"/>
                <w:sz w:val="16"/>
                <w:szCs w:val="16"/>
                <w:vertAlign w:val="superscript"/>
              </w:rPr>
              <w:t>b</w:t>
            </w:r>
          </w:p>
        </w:tc>
        <w:tc>
          <w:tcPr>
            <w:tcW w:w="1680" w:type="dxa"/>
            <w:tcBorders>
              <w:top w:val="nil"/>
              <w:left w:val="nil"/>
              <w:bottom w:val="nil"/>
              <w:right w:val="nil"/>
            </w:tcBorders>
            <w:shd w:val="clear" w:color="auto" w:fill="auto"/>
            <w:noWrap/>
            <w:vAlign w:val="center"/>
            <w:hideMark/>
          </w:tcPr>
          <w:p w14:paraId="1CDFB729"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99.8 (15.8)</w:t>
            </w:r>
          </w:p>
        </w:tc>
        <w:tc>
          <w:tcPr>
            <w:tcW w:w="1420" w:type="dxa"/>
            <w:tcBorders>
              <w:top w:val="nil"/>
              <w:left w:val="nil"/>
              <w:bottom w:val="nil"/>
              <w:right w:val="nil"/>
            </w:tcBorders>
            <w:shd w:val="clear" w:color="auto" w:fill="auto"/>
            <w:noWrap/>
            <w:vAlign w:val="center"/>
            <w:hideMark/>
          </w:tcPr>
          <w:p w14:paraId="4D82534B"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110.0 (14.9)</w:t>
            </w:r>
          </w:p>
        </w:tc>
      </w:tr>
      <w:tr w:rsidR="00683E7A" w:rsidRPr="00033175" w14:paraId="52DBC441" w14:textId="77777777" w:rsidTr="00683E7A">
        <w:trPr>
          <w:trHeight w:val="240"/>
        </w:trPr>
        <w:tc>
          <w:tcPr>
            <w:tcW w:w="6240" w:type="dxa"/>
            <w:gridSpan w:val="3"/>
            <w:tcBorders>
              <w:top w:val="nil"/>
              <w:left w:val="nil"/>
              <w:bottom w:val="nil"/>
              <w:right w:val="nil"/>
            </w:tcBorders>
            <w:shd w:val="clear" w:color="000000" w:fill="D9D9D9"/>
            <w:vAlign w:val="center"/>
            <w:hideMark/>
          </w:tcPr>
          <w:p w14:paraId="094FBB94" w14:textId="77777777" w:rsidR="00683E7A" w:rsidRPr="00683E7A" w:rsidRDefault="00683E7A" w:rsidP="00683E7A">
            <w:pPr>
              <w:jc w:val="center"/>
              <w:rPr>
                <w:rFonts w:ascii="Arial" w:eastAsia="Times New Roman" w:hAnsi="Arial" w:cs="Arial"/>
                <w:b/>
                <w:bCs/>
                <w:i/>
                <w:iCs/>
                <w:sz w:val="16"/>
                <w:szCs w:val="16"/>
              </w:rPr>
            </w:pPr>
            <w:r w:rsidRPr="00683E7A">
              <w:rPr>
                <w:rFonts w:ascii="Arial" w:eastAsia="Times New Roman" w:hAnsi="Arial" w:cs="Arial"/>
                <w:b/>
                <w:bCs/>
                <w:i/>
                <w:iCs/>
                <w:sz w:val="16"/>
                <w:szCs w:val="16"/>
              </w:rPr>
              <w:t>Cognition</w:t>
            </w:r>
            <w:r w:rsidRPr="00683E7A">
              <w:rPr>
                <w:rFonts w:ascii="Arial" w:eastAsia="Times New Roman" w:hAnsi="Arial" w:cs="Arial"/>
                <w:b/>
                <w:bCs/>
                <w:i/>
                <w:iCs/>
                <w:sz w:val="16"/>
                <w:szCs w:val="16"/>
                <w:vertAlign w:val="superscript"/>
              </w:rPr>
              <w:t>b,c</w:t>
            </w:r>
          </w:p>
        </w:tc>
      </w:tr>
      <w:tr w:rsidR="00683E7A" w:rsidRPr="00033175" w14:paraId="08CBA848" w14:textId="77777777" w:rsidTr="00683E7A">
        <w:trPr>
          <w:trHeight w:val="240"/>
        </w:trPr>
        <w:tc>
          <w:tcPr>
            <w:tcW w:w="3140" w:type="dxa"/>
            <w:tcBorders>
              <w:top w:val="nil"/>
              <w:left w:val="nil"/>
              <w:bottom w:val="nil"/>
              <w:right w:val="nil"/>
            </w:tcBorders>
            <w:shd w:val="clear" w:color="auto" w:fill="auto"/>
            <w:vAlign w:val="center"/>
            <w:hideMark/>
          </w:tcPr>
          <w:p w14:paraId="5404C0E3" w14:textId="77777777" w:rsidR="00683E7A" w:rsidRPr="00683E7A" w:rsidRDefault="00683E7A" w:rsidP="00683E7A">
            <w:pPr>
              <w:rPr>
                <w:rFonts w:ascii="Arial" w:eastAsia="Times New Roman" w:hAnsi="Arial" w:cs="Arial"/>
                <w:b/>
                <w:bCs/>
                <w:sz w:val="16"/>
                <w:szCs w:val="16"/>
              </w:rPr>
            </w:pPr>
            <w:r w:rsidRPr="00683E7A">
              <w:rPr>
                <w:rFonts w:ascii="Arial" w:eastAsia="Times New Roman" w:hAnsi="Arial" w:cs="Arial"/>
                <w:b/>
                <w:bCs/>
                <w:sz w:val="16"/>
                <w:szCs w:val="16"/>
              </w:rPr>
              <w:t>Verbal Memory - Immediate*</w:t>
            </w:r>
          </w:p>
        </w:tc>
        <w:tc>
          <w:tcPr>
            <w:tcW w:w="1680" w:type="dxa"/>
            <w:tcBorders>
              <w:top w:val="nil"/>
              <w:left w:val="nil"/>
              <w:bottom w:val="nil"/>
              <w:right w:val="nil"/>
            </w:tcBorders>
            <w:shd w:val="clear" w:color="auto" w:fill="auto"/>
            <w:noWrap/>
            <w:vAlign w:val="center"/>
            <w:hideMark/>
          </w:tcPr>
          <w:p w14:paraId="5568A50C"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-1.3 (1.4)</w:t>
            </w:r>
          </w:p>
        </w:tc>
        <w:tc>
          <w:tcPr>
            <w:tcW w:w="1420" w:type="dxa"/>
            <w:tcBorders>
              <w:top w:val="nil"/>
              <w:left w:val="nil"/>
              <w:bottom w:val="nil"/>
              <w:right w:val="nil"/>
            </w:tcBorders>
            <w:shd w:val="clear" w:color="auto" w:fill="auto"/>
            <w:noWrap/>
            <w:vAlign w:val="center"/>
            <w:hideMark/>
          </w:tcPr>
          <w:p w14:paraId="2A909C5F"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0.03 (1.0)</w:t>
            </w:r>
          </w:p>
        </w:tc>
      </w:tr>
      <w:tr w:rsidR="00683E7A" w:rsidRPr="00033175" w14:paraId="2F7B6BC4" w14:textId="77777777" w:rsidTr="00683E7A">
        <w:trPr>
          <w:trHeight w:val="240"/>
        </w:trPr>
        <w:tc>
          <w:tcPr>
            <w:tcW w:w="3140" w:type="dxa"/>
            <w:tcBorders>
              <w:top w:val="nil"/>
              <w:left w:val="nil"/>
              <w:bottom w:val="nil"/>
              <w:right w:val="nil"/>
            </w:tcBorders>
            <w:shd w:val="clear" w:color="auto" w:fill="auto"/>
            <w:vAlign w:val="bottom"/>
            <w:hideMark/>
          </w:tcPr>
          <w:p w14:paraId="08037560" w14:textId="77777777" w:rsidR="00683E7A" w:rsidRPr="00683E7A" w:rsidRDefault="00683E7A" w:rsidP="00683E7A">
            <w:pPr>
              <w:rPr>
                <w:rFonts w:ascii="Arial" w:eastAsia="Times New Roman" w:hAnsi="Arial" w:cs="Arial"/>
                <w:b/>
                <w:bCs/>
                <w:sz w:val="16"/>
                <w:szCs w:val="16"/>
              </w:rPr>
            </w:pPr>
            <w:r w:rsidRPr="00683E7A">
              <w:rPr>
                <w:rFonts w:ascii="Arial" w:eastAsia="Times New Roman" w:hAnsi="Arial" w:cs="Arial"/>
                <w:b/>
                <w:bCs/>
                <w:sz w:val="16"/>
                <w:szCs w:val="16"/>
              </w:rPr>
              <w:t>Verbal Memory - Delayed*</w:t>
            </w:r>
          </w:p>
        </w:tc>
        <w:tc>
          <w:tcPr>
            <w:tcW w:w="1680" w:type="dxa"/>
            <w:tcBorders>
              <w:top w:val="nil"/>
              <w:left w:val="nil"/>
              <w:bottom w:val="nil"/>
              <w:right w:val="nil"/>
            </w:tcBorders>
            <w:shd w:val="clear" w:color="auto" w:fill="auto"/>
            <w:noWrap/>
            <w:vAlign w:val="center"/>
            <w:hideMark/>
          </w:tcPr>
          <w:p w14:paraId="07BAA597"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-0.8 (1.0)</w:t>
            </w:r>
          </w:p>
        </w:tc>
        <w:tc>
          <w:tcPr>
            <w:tcW w:w="1420" w:type="dxa"/>
            <w:tcBorders>
              <w:top w:val="nil"/>
              <w:left w:val="nil"/>
              <w:bottom w:val="nil"/>
              <w:right w:val="nil"/>
            </w:tcBorders>
            <w:shd w:val="clear" w:color="auto" w:fill="auto"/>
            <w:noWrap/>
            <w:vAlign w:val="center"/>
            <w:hideMark/>
          </w:tcPr>
          <w:p w14:paraId="1E6F50CC"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0.02 (0.8)</w:t>
            </w:r>
          </w:p>
        </w:tc>
      </w:tr>
      <w:tr w:rsidR="00683E7A" w:rsidRPr="00033175" w14:paraId="3B2D8D62" w14:textId="77777777" w:rsidTr="00683E7A">
        <w:trPr>
          <w:trHeight w:val="240"/>
        </w:trPr>
        <w:tc>
          <w:tcPr>
            <w:tcW w:w="3140" w:type="dxa"/>
            <w:tcBorders>
              <w:top w:val="nil"/>
              <w:left w:val="nil"/>
              <w:bottom w:val="nil"/>
              <w:right w:val="nil"/>
            </w:tcBorders>
            <w:shd w:val="clear" w:color="auto" w:fill="auto"/>
            <w:vAlign w:val="center"/>
            <w:hideMark/>
          </w:tcPr>
          <w:p w14:paraId="2CE206E3" w14:textId="77777777" w:rsidR="00683E7A" w:rsidRPr="00683E7A" w:rsidRDefault="00683E7A" w:rsidP="00683E7A">
            <w:pPr>
              <w:rPr>
                <w:rFonts w:ascii="Arial" w:eastAsia="Times New Roman" w:hAnsi="Arial" w:cs="Arial"/>
                <w:b/>
                <w:bCs/>
                <w:sz w:val="16"/>
                <w:szCs w:val="16"/>
              </w:rPr>
            </w:pPr>
            <w:r w:rsidRPr="00683E7A">
              <w:rPr>
                <w:rFonts w:ascii="Arial" w:eastAsia="Times New Roman" w:hAnsi="Arial" w:cs="Arial"/>
                <w:b/>
                <w:bCs/>
                <w:sz w:val="16"/>
                <w:szCs w:val="16"/>
              </w:rPr>
              <w:t>Attention*</w:t>
            </w:r>
          </w:p>
        </w:tc>
        <w:tc>
          <w:tcPr>
            <w:tcW w:w="1680" w:type="dxa"/>
            <w:tcBorders>
              <w:top w:val="nil"/>
              <w:left w:val="nil"/>
              <w:bottom w:val="nil"/>
              <w:right w:val="nil"/>
            </w:tcBorders>
            <w:shd w:val="clear" w:color="auto" w:fill="auto"/>
            <w:vAlign w:val="center"/>
            <w:hideMark/>
          </w:tcPr>
          <w:p w14:paraId="762EED48"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-0.8 (1.2)</w:t>
            </w:r>
          </w:p>
        </w:tc>
        <w:tc>
          <w:tcPr>
            <w:tcW w:w="1420" w:type="dxa"/>
            <w:tcBorders>
              <w:top w:val="nil"/>
              <w:left w:val="nil"/>
              <w:bottom w:val="nil"/>
              <w:right w:val="nil"/>
            </w:tcBorders>
            <w:shd w:val="clear" w:color="auto" w:fill="auto"/>
            <w:vAlign w:val="center"/>
            <w:hideMark/>
          </w:tcPr>
          <w:p w14:paraId="0151D38E"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0.06 (1.0)</w:t>
            </w:r>
          </w:p>
        </w:tc>
      </w:tr>
      <w:tr w:rsidR="00683E7A" w:rsidRPr="00033175" w14:paraId="59772530" w14:textId="77777777" w:rsidTr="00683E7A">
        <w:trPr>
          <w:trHeight w:val="240"/>
        </w:trPr>
        <w:tc>
          <w:tcPr>
            <w:tcW w:w="3140" w:type="dxa"/>
            <w:tcBorders>
              <w:top w:val="nil"/>
              <w:left w:val="nil"/>
              <w:bottom w:val="nil"/>
              <w:right w:val="nil"/>
            </w:tcBorders>
            <w:shd w:val="clear" w:color="auto" w:fill="auto"/>
            <w:noWrap/>
            <w:vAlign w:val="bottom"/>
            <w:hideMark/>
          </w:tcPr>
          <w:p w14:paraId="5D95B52E" w14:textId="77777777" w:rsidR="00683E7A" w:rsidRPr="00683E7A" w:rsidRDefault="00683E7A" w:rsidP="00683E7A">
            <w:pPr>
              <w:rPr>
                <w:rFonts w:ascii="Arial" w:eastAsia="Times New Roman" w:hAnsi="Arial" w:cs="Arial"/>
                <w:b/>
                <w:bCs/>
                <w:sz w:val="16"/>
                <w:szCs w:val="16"/>
              </w:rPr>
            </w:pPr>
            <w:r w:rsidRPr="00683E7A">
              <w:rPr>
                <w:rFonts w:ascii="Arial" w:eastAsia="Times New Roman" w:hAnsi="Arial" w:cs="Arial"/>
                <w:b/>
                <w:bCs/>
                <w:sz w:val="16"/>
                <w:szCs w:val="16"/>
              </w:rPr>
              <w:t>Executive Function*</w:t>
            </w:r>
          </w:p>
        </w:tc>
        <w:tc>
          <w:tcPr>
            <w:tcW w:w="1680" w:type="dxa"/>
            <w:tcBorders>
              <w:top w:val="nil"/>
              <w:left w:val="nil"/>
              <w:bottom w:val="nil"/>
              <w:right w:val="nil"/>
            </w:tcBorders>
            <w:shd w:val="clear" w:color="auto" w:fill="auto"/>
            <w:vAlign w:val="center"/>
            <w:hideMark/>
          </w:tcPr>
          <w:p w14:paraId="53547D14"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-0.7 (1.1)</w:t>
            </w:r>
          </w:p>
        </w:tc>
        <w:tc>
          <w:tcPr>
            <w:tcW w:w="1420" w:type="dxa"/>
            <w:tcBorders>
              <w:top w:val="nil"/>
              <w:left w:val="nil"/>
              <w:bottom w:val="nil"/>
              <w:right w:val="nil"/>
            </w:tcBorders>
            <w:shd w:val="clear" w:color="auto" w:fill="auto"/>
            <w:vAlign w:val="center"/>
            <w:hideMark/>
          </w:tcPr>
          <w:p w14:paraId="6B4F3A29"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0.05 (0.7)</w:t>
            </w:r>
          </w:p>
        </w:tc>
      </w:tr>
      <w:tr w:rsidR="00683E7A" w:rsidRPr="00033175" w14:paraId="394A47EB" w14:textId="77777777" w:rsidTr="00683E7A">
        <w:trPr>
          <w:trHeight w:val="240"/>
        </w:trPr>
        <w:tc>
          <w:tcPr>
            <w:tcW w:w="3140" w:type="dxa"/>
            <w:tcBorders>
              <w:top w:val="nil"/>
              <w:left w:val="nil"/>
              <w:bottom w:val="nil"/>
              <w:right w:val="nil"/>
            </w:tcBorders>
            <w:shd w:val="clear" w:color="auto" w:fill="auto"/>
            <w:noWrap/>
            <w:vAlign w:val="bottom"/>
            <w:hideMark/>
          </w:tcPr>
          <w:p w14:paraId="4ADA8AAA"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Speed of Processing</w:t>
            </w:r>
          </w:p>
        </w:tc>
        <w:tc>
          <w:tcPr>
            <w:tcW w:w="1680" w:type="dxa"/>
            <w:tcBorders>
              <w:top w:val="nil"/>
              <w:left w:val="nil"/>
              <w:bottom w:val="nil"/>
              <w:right w:val="nil"/>
            </w:tcBorders>
            <w:shd w:val="clear" w:color="auto" w:fill="auto"/>
            <w:noWrap/>
            <w:vAlign w:val="bottom"/>
            <w:hideMark/>
          </w:tcPr>
          <w:p w14:paraId="3D0668A2"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-0.4 (1.1)</w:t>
            </w:r>
          </w:p>
        </w:tc>
        <w:tc>
          <w:tcPr>
            <w:tcW w:w="1420" w:type="dxa"/>
            <w:tcBorders>
              <w:top w:val="nil"/>
              <w:left w:val="nil"/>
              <w:bottom w:val="nil"/>
              <w:right w:val="nil"/>
            </w:tcBorders>
            <w:shd w:val="clear" w:color="auto" w:fill="auto"/>
            <w:noWrap/>
            <w:vAlign w:val="bottom"/>
            <w:hideMark/>
          </w:tcPr>
          <w:p w14:paraId="39E8F6A1"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0.03 (0.8)</w:t>
            </w:r>
          </w:p>
        </w:tc>
      </w:tr>
      <w:tr w:rsidR="00683E7A" w:rsidRPr="00033175" w14:paraId="387DB935" w14:textId="77777777" w:rsidTr="00683E7A">
        <w:trPr>
          <w:trHeight w:val="240"/>
        </w:trPr>
        <w:tc>
          <w:tcPr>
            <w:tcW w:w="3140" w:type="dxa"/>
            <w:tcBorders>
              <w:top w:val="nil"/>
              <w:left w:val="nil"/>
              <w:bottom w:val="nil"/>
              <w:right w:val="nil"/>
            </w:tcBorders>
            <w:shd w:val="clear" w:color="auto" w:fill="auto"/>
            <w:noWrap/>
            <w:vAlign w:val="bottom"/>
            <w:hideMark/>
          </w:tcPr>
          <w:p w14:paraId="71B5DC82" w14:textId="77777777" w:rsidR="00683E7A" w:rsidRPr="00683E7A" w:rsidRDefault="00683E7A" w:rsidP="00683E7A">
            <w:pPr>
              <w:rPr>
                <w:rFonts w:ascii="Arial" w:eastAsia="Times New Roman" w:hAnsi="Arial" w:cs="Arial"/>
                <w:b/>
                <w:bCs/>
                <w:sz w:val="16"/>
                <w:szCs w:val="16"/>
              </w:rPr>
            </w:pPr>
            <w:r w:rsidRPr="00683E7A">
              <w:rPr>
                <w:rFonts w:ascii="Arial" w:eastAsia="Times New Roman" w:hAnsi="Arial" w:cs="Arial"/>
                <w:b/>
                <w:bCs/>
                <w:sz w:val="16"/>
                <w:szCs w:val="16"/>
              </w:rPr>
              <w:t>Working Memory</w:t>
            </w:r>
            <w:r w:rsidR="00FA625A">
              <w:rPr>
                <w:rFonts w:ascii="Arial" w:eastAsia="Times New Roman" w:hAnsi="Arial" w:cs="Arial"/>
                <w:b/>
                <w:bCs/>
                <w:sz w:val="16"/>
                <w:szCs w:val="16"/>
              </w:rPr>
              <w:t>*</w:t>
            </w:r>
          </w:p>
        </w:tc>
        <w:tc>
          <w:tcPr>
            <w:tcW w:w="1680" w:type="dxa"/>
            <w:tcBorders>
              <w:top w:val="nil"/>
              <w:left w:val="nil"/>
              <w:bottom w:val="nil"/>
              <w:right w:val="nil"/>
            </w:tcBorders>
            <w:shd w:val="clear" w:color="auto" w:fill="auto"/>
            <w:noWrap/>
            <w:vAlign w:val="bottom"/>
            <w:hideMark/>
          </w:tcPr>
          <w:p w14:paraId="68D954C5"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-0.6 (0.9)</w:t>
            </w:r>
          </w:p>
        </w:tc>
        <w:tc>
          <w:tcPr>
            <w:tcW w:w="1420" w:type="dxa"/>
            <w:tcBorders>
              <w:top w:val="nil"/>
              <w:left w:val="nil"/>
              <w:bottom w:val="nil"/>
              <w:right w:val="nil"/>
            </w:tcBorders>
            <w:shd w:val="clear" w:color="auto" w:fill="auto"/>
            <w:noWrap/>
            <w:vAlign w:val="bottom"/>
            <w:hideMark/>
          </w:tcPr>
          <w:p w14:paraId="7495F8FB"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-.01 (0.8)</w:t>
            </w:r>
          </w:p>
        </w:tc>
      </w:tr>
      <w:tr w:rsidR="00683E7A" w:rsidRPr="00033175" w14:paraId="5173C1BF" w14:textId="77777777" w:rsidTr="00683E7A">
        <w:trPr>
          <w:trHeight w:val="240"/>
        </w:trPr>
        <w:tc>
          <w:tcPr>
            <w:tcW w:w="3140" w:type="dxa"/>
            <w:tcBorders>
              <w:top w:val="nil"/>
              <w:left w:val="nil"/>
              <w:bottom w:val="nil"/>
              <w:right w:val="nil"/>
            </w:tcBorders>
            <w:shd w:val="clear" w:color="auto" w:fill="auto"/>
            <w:noWrap/>
            <w:vAlign w:val="bottom"/>
            <w:hideMark/>
          </w:tcPr>
          <w:p w14:paraId="4A370231" w14:textId="77777777" w:rsidR="00683E7A" w:rsidRPr="00683E7A" w:rsidRDefault="00683E7A" w:rsidP="00683E7A">
            <w:pPr>
              <w:rPr>
                <w:rFonts w:ascii="Arial" w:eastAsia="Times New Roman" w:hAnsi="Arial" w:cs="Arial"/>
                <w:b/>
                <w:bCs/>
                <w:sz w:val="16"/>
                <w:szCs w:val="16"/>
              </w:rPr>
            </w:pPr>
            <w:r w:rsidRPr="00683E7A">
              <w:rPr>
                <w:rFonts w:ascii="Arial" w:eastAsia="Times New Roman" w:hAnsi="Arial" w:cs="Arial"/>
                <w:b/>
                <w:bCs/>
                <w:sz w:val="16"/>
                <w:szCs w:val="16"/>
              </w:rPr>
              <w:t>Visual Memory</w:t>
            </w:r>
            <w:r w:rsidR="00FA625A">
              <w:rPr>
                <w:rFonts w:ascii="Arial" w:eastAsia="Times New Roman" w:hAnsi="Arial" w:cs="Arial"/>
                <w:b/>
                <w:bCs/>
                <w:sz w:val="16"/>
                <w:szCs w:val="16"/>
              </w:rPr>
              <w:t>*</w:t>
            </w:r>
          </w:p>
        </w:tc>
        <w:tc>
          <w:tcPr>
            <w:tcW w:w="1680" w:type="dxa"/>
            <w:tcBorders>
              <w:top w:val="nil"/>
              <w:left w:val="nil"/>
              <w:bottom w:val="nil"/>
              <w:right w:val="nil"/>
            </w:tcBorders>
            <w:shd w:val="clear" w:color="auto" w:fill="auto"/>
            <w:noWrap/>
            <w:vAlign w:val="bottom"/>
            <w:hideMark/>
          </w:tcPr>
          <w:p w14:paraId="3B5BE6C5"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-0.7 (1.2)</w:t>
            </w:r>
          </w:p>
        </w:tc>
        <w:tc>
          <w:tcPr>
            <w:tcW w:w="1420" w:type="dxa"/>
            <w:tcBorders>
              <w:top w:val="nil"/>
              <w:left w:val="nil"/>
              <w:bottom w:val="nil"/>
              <w:right w:val="nil"/>
            </w:tcBorders>
            <w:shd w:val="clear" w:color="auto" w:fill="auto"/>
            <w:noWrap/>
            <w:vAlign w:val="bottom"/>
            <w:hideMark/>
          </w:tcPr>
          <w:p w14:paraId="4FB0ECA8"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0.09 (0.7)</w:t>
            </w:r>
          </w:p>
        </w:tc>
      </w:tr>
      <w:tr w:rsidR="00683E7A" w:rsidRPr="00033175" w14:paraId="0331813A" w14:textId="77777777" w:rsidTr="00683E7A">
        <w:trPr>
          <w:trHeight w:val="240"/>
        </w:trPr>
        <w:tc>
          <w:tcPr>
            <w:tcW w:w="3140" w:type="dxa"/>
            <w:tcBorders>
              <w:top w:val="nil"/>
              <w:left w:val="nil"/>
              <w:bottom w:val="nil"/>
              <w:right w:val="nil"/>
            </w:tcBorders>
            <w:shd w:val="clear" w:color="auto" w:fill="auto"/>
            <w:noWrap/>
            <w:vAlign w:val="bottom"/>
            <w:hideMark/>
          </w:tcPr>
          <w:p w14:paraId="60DC989F" w14:textId="77777777" w:rsidR="00683E7A" w:rsidRPr="00683E7A" w:rsidRDefault="00683E7A" w:rsidP="00683E7A">
            <w:pPr>
              <w:rPr>
                <w:rFonts w:ascii="Arial" w:eastAsia="Times New Roman" w:hAnsi="Arial" w:cs="Arial"/>
                <w:b/>
                <w:bCs/>
                <w:sz w:val="16"/>
                <w:szCs w:val="16"/>
              </w:rPr>
            </w:pPr>
            <w:r w:rsidRPr="00683E7A">
              <w:rPr>
                <w:rFonts w:ascii="Arial" w:eastAsia="Times New Roman" w:hAnsi="Arial" w:cs="Arial"/>
                <w:b/>
                <w:bCs/>
                <w:sz w:val="16"/>
                <w:szCs w:val="16"/>
              </w:rPr>
              <w:t>General Cognitive Index</w:t>
            </w:r>
            <w:r w:rsidR="00FA625A">
              <w:rPr>
                <w:rFonts w:ascii="Arial" w:eastAsia="Times New Roman" w:hAnsi="Arial" w:cs="Arial"/>
                <w:b/>
                <w:bCs/>
                <w:sz w:val="16"/>
                <w:szCs w:val="16"/>
              </w:rPr>
              <w:t>*</w:t>
            </w:r>
            <w:r w:rsidRPr="00683E7A">
              <w:rPr>
                <w:rFonts w:ascii="Arial" w:eastAsia="Times New Roman" w:hAnsi="Arial" w:cs="Arial"/>
                <w:b/>
                <w:bCs/>
                <w:sz w:val="16"/>
                <w:szCs w:val="16"/>
              </w:rPr>
              <w:t xml:space="preserve"> </w:t>
            </w:r>
          </w:p>
        </w:tc>
        <w:tc>
          <w:tcPr>
            <w:tcW w:w="1680" w:type="dxa"/>
            <w:tcBorders>
              <w:top w:val="nil"/>
              <w:left w:val="nil"/>
              <w:bottom w:val="nil"/>
              <w:right w:val="nil"/>
            </w:tcBorders>
            <w:shd w:val="clear" w:color="auto" w:fill="auto"/>
            <w:noWrap/>
            <w:vAlign w:val="bottom"/>
            <w:hideMark/>
          </w:tcPr>
          <w:p w14:paraId="09D7FC9B"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-0.6 (0.8)</w:t>
            </w:r>
          </w:p>
        </w:tc>
        <w:tc>
          <w:tcPr>
            <w:tcW w:w="1420" w:type="dxa"/>
            <w:tcBorders>
              <w:top w:val="nil"/>
              <w:left w:val="nil"/>
              <w:bottom w:val="nil"/>
              <w:right w:val="nil"/>
            </w:tcBorders>
            <w:shd w:val="clear" w:color="auto" w:fill="auto"/>
            <w:noWrap/>
            <w:vAlign w:val="bottom"/>
            <w:hideMark/>
          </w:tcPr>
          <w:p w14:paraId="3E028EEA"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0.04 (0.6)</w:t>
            </w:r>
          </w:p>
        </w:tc>
      </w:tr>
      <w:tr w:rsidR="00683E7A" w:rsidRPr="00033175" w14:paraId="6A19FDB5" w14:textId="77777777" w:rsidTr="00683E7A">
        <w:trPr>
          <w:trHeight w:val="240"/>
        </w:trPr>
        <w:tc>
          <w:tcPr>
            <w:tcW w:w="6240" w:type="dxa"/>
            <w:gridSpan w:val="3"/>
            <w:tcBorders>
              <w:top w:val="nil"/>
              <w:left w:val="nil"/>
              <w:bottom w:val="nil"/>
              <w:right w:val="nil"/>
            </w:tcBorders>
            <w:shd w:val="clear" w:color="000000" w:fill="D9D9D9"/>
            <w:vAlign w:val="center"/>
            <w:hideMark/>
          </w:tcPr>
          <w:p w14:paraId="1D3735DC" w14:textId="77777777" w:rsidR="00683E7A" w:rsidRPr="00683E7A" w:rsidRDefault="00683E7A" w:rsidP="00683E7A">
            <w:pPr>
              <w:jc w:val="center"/>
              <w:rPr>
                <w:rFonts w:ascii="Arial" w:eastAsia="Times New Roman" w:hAnsi="Arial" w:cs="Arial"/>
                <w:b/>
                <w:bCs/>
                <w:i/>
                <w:iCs/>
                <w:sz w:val="16"/>
                <w:szCs w:val="16"/>
              </w:rPr>
            </w:pPr>
            <w:r w:rsidRPr="00683E7A">
              <w:rPr>
                <w:rFonts w:ascii="Arial" w:eastAsia="Times New Roman" w:hAnsi="Arial" w:cs="Arial"/>
                <w:b/>
                <w:bCs/>
                <w:i/>
                <w:iCs/>
                <w:sz w:val="16"/>
                <w:szCs w:val="16"/>
              </w:rPr>
              <w:t>Clinical Information</w:t>
            </w:r>
          </w:p>
        </w:tc>
      </w:tr>
      <w:tr w:rsidR="00683E7A" w:rsidRPr="00033175" w14:paraId="6D01F376" w14:textId="77777777" w:rsidTr="00683E7A">
        <w:trPr>
          <w:trHeight w:val="220"/>
        </w:trPr>
        <w:tc>
          <w:tcPr>
            <w:tcW w:w="3140" w:type="dxa"/>
            <w:tcBorders>
              <w:top w:val="nil"/>
              <w:left w:val="nil"/>
              <w:bottom w:val="nil"/>
              <w:right w:val="nil"/>
            </w:tcBorders>
            <w:shd w:val="clear" w:color="auto" w:fill="auto"/>
            <w:vAlign w:val="center"/>
            <w:hideMark/>
          </w:tcPr>
          <w:p w14:paraId="0226EFDC"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Cumulative CPZ equivalent (in mg)</w:t>
            </w:r>
          </w:p>
        </w:tc>
        <w:tc>
          <w:tcPr>
            <w:tcW w:w="1680" w:type="dxa"/>
            <w:tcBorders>
              <w:top w:val="nil"/>
              <w:left w:val="nil"/>
              <w:bottom w:val="nil"/>
              <w:right w:val="nil"/>
            </w:tcBorders>
            <w:shd w:val="clear" w:color="auto" w:fill="auto"/>
            <w:noWrap/>
            <w:vAlign w:val="center"/>
            <w:hideMark/>
          </w:tcPr>
          <w:p w14:paraId="2ACC7C00"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803.5 (737.6)</w:t>
            </w:r>
          </w:p>
        </w:tc>
        <w:tc>
          <w:tcPr>
            <w:tcW w:w="1420" w:type="dxa"/>
            <w:tcBorders>
              <w:top w:val="nil"/>
              <w:left w:val="nil"/>
              <w:bottom w:val="nil"/>
              <w:right w:val="nil"/>
            </w:tcBorders>
            <w:shd w:val="clear" w:color="auto" w:fill="auto"/>
            <w:vAlign w:val="center"/>
            <w:hideMark/>
          </w:tcPr>
          <w:p w14:paraId="01BDE4DF" w14:textId="77777777" w:rsidR="00683E7A" w:rsidRPr="00683E7A" w:rsidRDefault="00683E7A" w:rsidP="00683E7A">
            <w:pPr>
              <w:jc w:val="center"/>
              <w:rPr>
                <w:rFonts w:ascii="Arial" w:eastAsia="Times New Roman" w:hAnsi="Arial" w:cs="Arial"/>
                <w:sz w:val="16"/>
                <w:szCs w:val="16"/>
              </w:rPr>
            </w:pPr>
          </w:p>
        </w:tc>
      </w:tr>
      <w:tr w:rsidR="00683E7A" w:rsidRPr="00033175" w14:paraId="423A5DDA" w14:textId="77777777" w:rsidTr="00683E7A">
        <w:trPr>
          <w:trHeight w:val="220"/>
        </w:trPr>
        <w:tc>
          <w:tcPr>
            <w:tcW w:w="3140" w:type="dxa"/>
            <w:tcBorders>
              <w:top w:val="nil"/>
              <w:left w:val="nil"/>
              <w:bottom w:val="nil"/>
              <w:right w:val="nil"/>
            </w:tcBorders>
            <w:shd w:val="clear" w:color="auto" w:fill="auto"/>
            <w:vAlign w:val="center"/>
            <w:hideMark/>
          </w:tcPr>
          <w:p w14:paraId="7EE5D566"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Adherence (%)</w:t>
            </w:r>
          </w:p>
        </w:tc>
        <w:tc>
          <w:tcPr>
            <w:tcW w:w="1680" w:type="dxa"/>
            <w:tcBorders>
              <w:top w:val="nil"/>
              <w:left w:val="nil"/>
              <w:bottom w:val="nil"/>
              <w:right w:val="nil"/>
            </w:tcBorders>
            <w:shd w:val="clear" w:color="auto" w:fill="auto"/>
            <w:noWrap/>
            <w:vAlign w:val="center"/>
            <w:hideMark/>
          </w:tcPr>
          <w:p w14:paraId="5238B199"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83.0 (27)</w:t>
            </w:r>
          </w:p>
        </w:tc>
        <w:tc>
          <w:tcPr>
            <w:tcW w:w="1420" w:type="dxa"/>
            <w:tcBorders>
              <w:top w:val="nil"/>
              <w:left w:val="nil"/>
              <w:bottom w:val="nil"/>
              <w:right w:val="nil"/>
            </w:tcBorders>
            <w:shd w:val="clear" w:color="auto" w:fill="auto"/>
            <w:vAlign w:val="center"/>
            <w:hideMark/>
          </w:tcPr>
          <w:p w14:paraId="64022B0C" w14:textId="77777777" w:rsidR="00683E7A" w:rsidRPr="00683E7A" w:rsidRDefault="00683E7A" w:rsidP="00683E7A">
            <w:pPr>
              <w:jc w:val="center"/>
              <w:rPr>
                <w:rFonts w:ascii="Arial" w:eastAsia="Times New Roman" w:hAnsi="Arial" w:cs="Arial"/>
                <w:sz w:val="16"/>
                <w:szCs w:val="16"/>
              </w:rPr>
            </w:pPr>
          </w:p>
        </w:tc>
      </w:tr>
      <w:tr w:rsidR="00683E7A" w:rsidRPr="00033175" w14:paraId="30531ABC" w14:textId="77777777" w:rsidTr="00683E7A">
        <w:trPr>
          <w:trHeight w:val="220"/>
        </w:trPr>
        <w:tc>
          <w:tcPr>
            <w:tcW w:w="3140" w:type="dxa"/>
            <w:tcBorders>
              <w:top w:val="nil"/>
              <w:left w:val="nil"/>
              <w:bottom w:val="nil"/>
              <w:right w:val="nil"/>
            </w:tcBorders>
            <w:shd w:val="clear" w:color="auto" w:fill="auto"/>
            <w:vAlign w:val="center"/>
            <w:hideMark/>
          </w:tcPr>
          <w:p w14:paraId="542F3CA6"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Duration Untreated Psychosis (weeks)</w:t>
            </w:r>
          </w:p>
        </w:tc>
        <w:tc>
          <w:tcPr>
            <w:tcW w:w="1680" w:type="dxa"/>
            <w:tcBorders>
              <w:top w:val="nil"/>
              <w:left w:val="nil"/>
              <w:bottom w:val="nil"/>
              <w:right w:val="nil"/>
            </w:tcBorders>
            <w:shd w:val="clear" w:color="auto" w:fill="auto"/>
            <w:noWrap/>
            <w:vAlign w:val="center"/>
            <w:hideMark/>
          </w:tcPr>
          <w:p w14:paraId="33369EF2"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70.9 (130.8) [106]</w:t>
            </w:r>
          </w:p>
        </w:tc>
        <w:tc>
          <w:tcPr>
            <w:tcW w:w="1420" w:type="dxa"/>
            <w:tcBorders>
              <w:top w:val="nil"/>
              <w:left w:val="nil"/>
              <w:bottom w:val="nil"/>
              <w:right w:val="nil"/>
            </w:tcBorders>
            <w:shd w:val="clear" w:color="auto" w:fill="auto"/>
            <w:vAlign w:val="center"/>
            <w:hideMark/>
          </w:tcPr>
          <w:p w14:paraId="517C804E" w14:textId="77777777" w:rsidR="00683E7A" w:rsidRPr="00683E7A" w:rsidRDefault="00683E7A" w:rsidP="00683E7A">
            <w:pPr>
              <w:jc w:val="center"/>
              <w:rPr>
                <w:rFonts w:ascii="Arial" w:eastAsia="Times New Roman" w:hAnsi="Arial" w:cs="Arial"/>
                <w:sz w:val="16"/>
                <w:szCs w:val="16"/>
              </w:rPr>
            </w:pPr>
          </w:p>
        </w:tc>
      </w:tr>
      <w:tr w:rsidR="00683E7A" w:rsidRPr="00033175" w14:paraId="4A3764BA" w14:textId="77777777" w:rsidTr="00683E7A">
        <w:trPr>
          <w:trHeight w:val="220"/>
        </w:trPr>
        <w:tc>
          <w:tcPr>
            <w:tcW w:w="3140" w:type="dxa"/>
            <w:tcBorders>
              <w:top w:val="nil"/>
              <w:left w:val="nil"/>
              <w:bottom w:val="nil"/>
              <w:right w:val="nil"/>
            </w:tcBorders>
            <w:shd w:val="clear" w:color="auto" w:fill="auto"/>
            <w:vAlign w:val="center"/>
            <w:hideMark/>
          </w:tcPr>
          <w:p w14:paraId="7F35756F"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Duration Untreated Illness (years)</w:t>
            </w:r>
          </w:p>
        </w:tc>
        <w:tc>
          <w:tcPr>
            <w:tcW w:w="1680" w:type="dxa"/>
            <w:tcBorders>
              <w:top w:val="nil"/>
              <w:left w:val="nil"/>
              <w:bottom w:val="nil"/>
              <w:right w:val="nil"/>
            </w:tcBorders>
            <w:shd w:val="clear" w:color="auto" w:fill="auto"/>
            <w:noWrap/>
            <w:vAlign w:val="center"/>
            <w:hideMark/>
          </w:tcPr>
          <w:p w14:paraId="40E72D0B"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7.0 (6.1) [109]</w:t>
            </w:r>
          </w:p>
        </w:tc>
        <w:tc>
          <w:tcPr>
            <w:tcW w:w="1420" w:type="dxa"/>
            <w:tcBorders>
              <w:top w:val="nil"/>
              <w:left w:val="nil"/>
              <w:bottom w:val="nil"/>
              <w:right w:val="nil"/>
            </w:tcBorders>
            <w:shd w:val="clear" w:color="auto" w:fill="auto"/>
            <w:vAlign w:val="center"/>
            <w:hideMark/>
          </w:tcPr>
          <w:p w14:paraId="7FB7D370" w14:textId="77777777" w:rsidR="00683E7A" w:rsidRPr="00683E7A" w:rsidRDefault="00683E7A" w:rsidP="00683E7A">
            <w:pPr>
              <w:jc w:val="center"/>
              <w:rPr>
                <w:rFonts w:ascii="Arial" w:eastAsia="Times New Roman" w:hAnsi="Arial" w:cs="Arial"/>
                <w:sz w:val="16"/>
                <w:szCs w:val="16"/>
              </w:rPr>
            </w:pPr>
          </w:p>
        </w:tc>
      </w:tr>
      <w:tr w:rsidR="00683E7A" w:rsidRPr="00033175" w14:paraId="7F16AA43" w14:textId="77777777" w:rsidTr="00683E7A">
        <w:trPr>
          <w:trHeight w:val="220"/>
        </w:trPr>
        <w:tc>
          <w:tcPr>
            <w:tcW w:w="3140" w:type="dxa"/>
            <w:tcBorders>
              <w:top w:val="nil"/>
              <w:left w:val="nil"/>
              <w:bottom w:val="nil"/>
              <w:right w:val="nil"/>
            </w:tcBorders>
            <w:shd w:val="clear" w:color="auto" w:fill="auto"/>
            <w:vAlign w:val="bottom"/>
            <w:hideMark/>
          </w:tcPr>
          <w:p w14:paraId="4A2002EB"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Amotivation</w:t>
            </w:r>
          </w:p>
        </w:tc>
        <w:tc>
          <w:tcPr>
            <w:tcW w:w="1680" w:type="dxa"/>
            <w:tcBorders>
              <w:top w:val="nil"/>
              <w:left w:val="nil"/>
              <w:bottom w:val="nil"/>
              <w:right w:val="nil"/>
            </w:tcBorders>
            <w:shd w:val="clear" w:color="auto" w:fill="auto"/>
            <w:noWrap/>
            <w:vAlign w:val="bottom"/>
            <w:hideMark/>
          </w:tcPr>
          <w:p w14:paraId="491CD8EC"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11.4 (6.7)</w:t>
            </w:r>
          </w:p>
        </w:tc>
        <w:tc>
          <w:tcPr>
            <w:tcW w:w="1420" w:type="dxa"/>
            <w:tcBorders>
              <w:top w:val="nil"/>
              <w:left w:val="nil"/>
              <w:bottom w:val="nil"/>
              <w:right w:val="nil"/>
            </w:tcBorders>
            <w:shd w:val="clear" w:color="auto" w:fill="auto"/>
            <w:noWrap/>
            <w:vAlign w:val="center"/>
            <w:hideMark/>
          </w:tcPr>
          <w:p w14:paraId="72BAB09F" w14:textId="77777777" w:rsidR="00683E7A" w:rsidRPr="00683E7A" w:rsidRDefault="00683E7A" w:rsidP="00683E7A">
            <w:pPr>
              <w:jc w:val="center"/>
              <w:rPr>
                <w:rFonts w:ascii="Arial" w:eastAsia="Times New Roman" w:hAnsi="Arial" w:cs="Arial"/>
                <w:sz w:val="16"/>
                <w:szCs w:val="16"/>
              </w:rPr>
            </w:pPr>
          </w:p>
        </w:tc>
      </w:tr>
      <w:tr w:rsidR="00683E7A" w:rsidRPr="00033175" w14:paraId="39E886AD" w14:textId="77777777" w:rsidTr="00683E7A">
        <w:trPr>
          <w:trHeight w:val="220"/>
        </w:trPr>
        <w:tc>
          <w:tcPr>
            <w:tcW w:w="3140" w:type="dxa"/>
            <w:tcBorders>
              <w:top w:val="nil"/>
              <w:left w:val="nil"/>
              <w:bottom w:val="nil"/>
              <w:right w:val="nil"/>
            </w:tcBorders>
            <w:shd w:val="clear" w:color="auto" w:fill="auto"/>
            <w:vAlign w:val="bottom"/>
            <w:hideMark/>
          </w:tcPr>
          <w:p w14:paraId="238EB8C3"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 xml:space="preserve">Expressivity </w:t>
            </w:r>
          </w:p>
        </w:tc>
        <w:tc>
          <w:tcPr>
            <w:tcW w:w="1680" w:type="dxa"/>
            <w:tcBorders>
              <w:top w:val="nil"/>
              <w:left w:val="nil"/>
              <w:bottom w:val="nil"/>
              <w:right w:val="nil"/>
            </w:tcBorders>
            <w:shd w:val="clear" w:color="auto" w:fill="auto"/>
            <w:noWrap/>
            <w:vAlign w:val="bottom"/>
            <w:hideMark/>
          </w:tcPr>
          <w:p w14:paraId="3552E463"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7.1 (7.3)</w:t>
            </w:r>
          </w:p>
        </w:tc>
        <w:tc>
          <w:tcPr>
            <w:tcW w:w="1420" w:type="dxa"/>
            <w:tcBorders>
              <w:top w:val="nil"/>
              <w:left w:val="nil"/>
              <w:bottom w:val="nil"/>
              <w:right w:val="nil"/>
            </w:tcBorders>
            <w:shd w:val="clear" w:color="auto" w:fill="auto"/>
            <w:noWrap/>
            <w:vAlign w:val="center"/>
            <w:hideMark/>
          </w:tcPr>
          <w:p w14:paraId="481071BF" w14:textId="77777777" w:rsidR="00683E7A" w:rsidRPr="00683E7A" w:rsidRDefault="00683E7A" w:rsidP="00683E7A">
            <w:pPr>
              <w:jc w:val="center"/>
              <w:rPr>
                <w:rFonts w:ascii="Arial" w:eastAsia="Times New Roman" w:hAnsi="Arial" w:cs="Arial"/>
                <w:sz w:val="16"/>
                <w:szCs w:val="16"/>
              </w:rPr>
            </w:pPr>
          </w:p>
        </w:tc>
      </w:tr>
      <w:tr w:rsidR="00683E7A" w:rsidRPr="00033175" w14:paraId="71304643" w14:textId="77777777" w:rsidTr="00683E7A">
        <w:trPr>
          <w:trHeight w:val="220"/>
        </w:trPr>
        <w:tc>
          <w:tcPr>
            <w:tcW w:w="3140" w:type="dxa"/>
            <w:tcBorders>
              <w:top w:val="nil"/>
              <w:left w:val="nil"/>
              <w:bottom w:val="nil"/>
              <w:right w:val="nil"/>
            </w:tcBorders>
            <w:shd w:val="clear" w:color="auto" w:fill="auto"/>
            <w:vAlign w:val="center"/>
            <w:hideMark/>
          </w:tcPr>
          <w:p w14:paraId="28836FF8"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SAPS</w:t>
            </w:r>
          </w:p>
        </w:tc>
        <w:tc>
          <w:tcPr>
            <w:tcW w:w="1680" w:type="dxa"/>
            <w:tcBorders>
              <w:top w:val="nil"/>
              <w:left w:val="nil"/>
              <w:bottom w:val="nil"/>
              <w:right w:val="nil"/>
            </w:tcBorders>
            <w:shd w:val="clear" w:color="auto" w:fill="auto"/>
            <w:noWrap/>
            <w:vAlign w:val="center"/>
            <w:hideMark/>
          </w:tcPr>
          <w:p w14:paraId="556B3DC2"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10.0 (12.5)</w:t>
            </w:r>
          </w:p>
        </w:tc>
        <w:tc>
          <w:tcPr>
            <w:tcW w:w="1420" w:type="dxa"/>
            <w:tcBorders>
              <w:top w:val="nil"/>
              <w:left w:val="nil"/>
              <w:bottom w:val="nil"/>
              <w:right w:val="nil"/>
            </w:tcBorders>
            <w:shd w:val="clear" w:color="auto" w:fill="auto"/>
            <w:noWrap/>
            <w:vAlign w:val="center"/>
            <w:hideMark/>
          </w:tcPr>
          <w:p w14:paraId="0E2D0BF4" w14:textId="77777777" w:rsidR="00683E7A" w:rsidRPr="00683E7A" w:rsidRDefault="00683E7A" w:rsidP="00683E7A">
            <w:pPr>
              <w:jc w:val="center"/>
              <w:rPr>
                <w:rFonts w:ascii="Arial" w:eastAsia="Times New Roman" w:hAnsi="Arial" w:cs="Arial"/>
                <w:sz w:val="16"/>
                <w:szCs w:val="16"/>
              </w:rPr>
            </w:pPr>
          </w:p>
        </w:tc>
      </w:tr>
      <w:tr w:rsidR="00683E7A" w:rsidRPr="00033175" w14:paraId="4CDF81B0" w14:textId="77777777" w:rsidTr="00683E7A">
        <w:trPr>
          <w:trHeight w:val="220"/>
        </w:trPr>
        <w:tc>
          <w:tcPr>
            <w:tcW w:w="3140" w:type="dxa"/>
            <w:tcBorders>
              <w:top w:val="nil"/>
              <w:left w:val="nil"/>
              <w:bottom w:val="nil"/>
              <w:right w:val="nil"/>
            </w:tcBorders>
            <w:shd w:val="clear" w:color="auto" w:fill="auto"/>
            <w:vAlign w:val="center"/>
            <w:hideMark/>
          </w:tcPr>
          <w:p w14:paraId="64046223"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CDSS</w:t>
            </w:r>
          </w:p>
        </w:tc>
        <w:tc>
          <w:tcPr>
            <w:tcW w:w="1680" w:type="dxa"/>
            <w:tcBorders>
              <w:top w:val="nil"/>
              <w:left w:val="nil"/>
              <w:bottom w:val="nil"/>
              <w:right w:val="nil"/>
            </w:tcBorders>
            <w:shd w:val="clear" w:color="auto" w:fill="auto"/>
            <w:noWrap/>
            <w:vAlign w:val="center"/>
            <w:hideMark/>
          </w:tcPr>
          <w:p w14:paraId="1735C4D7"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2.4 (3.1)</w:t>
            </w:r>
          </w:p>
        </w:tc>
        <w:tc>
          <w:tcPr>
            <w:tcW w:w="1420" w:type="dxa"/>
            <w:tcBorders>
              <w:top w:val="nil"/>
              <w:left w:val="nil"/>
              <w:bottom w:val="nil"/>
              <w:right w:val="nil"/>
            </w:tcBorders>
            <w:shd w:val="clear" w:color="auto" w:fill="auto"/>
            <w:noWrap/>
            <w:vAlign w:val="center"/>
            <w:hideMark/>
          </w:tcPr>
          <w:p w14:paraId="04CD23B5" w14:textId="77777777" w:rsidR="00683E7A" w:rsidRPr="00683E7A" w:rsidRDefault="00683E7A" w:rsidP="00683E7A">
            <w:pPr>
              <w:jc w:val="center"/>
              <w:rPr>
                <w:rFonts w:ascii="Arial" w:eastAsia="Times New Roman" w:hAnsi="Arial" w:cs="Arial"/>
                <w:sz w:val="16"/>
                <w:szCs w:val="16"/>
              </w:rPr>
            </w:pPr>
          </w:p>
        </w:tc>
      </w:tr>
      <w:tr w:rsidR="00683E7A" w:rsidRPr="00033175" w14:paraId="4CB1FDCD" w14:textId="77777777" w:rsidTr="00683E7A">
        <w:trPr>
          <w:trHeight w:val="220"/>
        </w:trPr>
        <w:tc>
          <w:tcPr>
            <w:tcW w:w="3140" w:type="dxa"/>
            <w:tcBorders>
              <w:top w:val="nil"/>
              <w:left w:val="nil"/>
              <w:bottom w:val="nil"/>
              <w:right w:val="nil"/>
            </w:tcBorders>
            <w:shd w:val="clear" w:color="auto" w:fill="auto"/>
            <w:vAlign w:val="center"/>
            <w:hideMark/>
          </w:tcPr>
          <w:p w14:paraId="357F19D9" w14:textId="77777777" w:rsidR="00683E7A" w:rsidRPr="00683E7A" w:rsidRDefault="00683E7A" w:rsidP="00683E7A">
            <w:pPr>
              <w:rPr>
                <w:rFonts w:ascii="Arial" w:eastAsia="Times New Roman" w:hAnsi="Arial" w:cs="Arial"/>
                <w:sz w:val="16"/>
                <w:szCs w:val="16"/>
              </w:rPr>
            </w:pPr>
            <w:r w:rsidRPr="00683E7A">
              <w:rPr>
                <w:rFonts w:ascii="Arial" w:eastAsia="Times New Roman" w:hAnsi="Arial" w:cs="Arial"/>
                <w:sz w:val="16"/>
                <w:szCs w:val="16"/>
              </w:rPr>
              <w:t>Window |Scan - Symptom Eval| (months)</w:t>
            </w:r>
          </w:p>
        </w:tc>
        <w:tc>
          <w:tcPr>
            <w:tcW w:w="1680" w:type="dxa"/>
            <w:tcBorders>
              <w:top w:val="nil"/>
              <w:left w:val="nil"/>
              <w:bottom w:val="nil"/>
              <w:right w:val="nil"/>
            </w:tcBorders>
            <w:shd w:val="clear" w:color="auto" w:fill="auto"/>
            <w:noWrap/>
            <w:vAlign w:val="center"/>
            <w:hideMark/>
          </w:tcPr>
          <w:p w14:paraId="680F7CA9" w14:textId="77777777" w:rsidR="00683E7A" w:rsidRPr="00683E7A" w:rsidRDefault="00683E7A" w:rsidP="00683E7A">
            <w:pPr>
              <w:jc w:val="center"/>
              <w:rPr>
                <w:rFonts w:ascii="Arial" w:eastAsia="Times New Roman" w:hAnsi="Arial" w:cs="Arial"/>
                <w:sz w:val="16"/>
                <w:szCs w:val="16"/>
              </w:rPr>
            </w:pPr>
            <w:r w:rsidRPr="00683E7A">
              <w:rPr>
                <w:rFonts w:ascii="Arial" w:eastAsia="Times New Roman" w:hAnsi="Arial" w:cs="Arial"/>
                <w:sz w:val="16"/>
                <w:szCs w:val="16"/>
              </w:rPr>
              <w:t>0.7 (0.5)</w:t>
            </w:r>
          </w:p>
        </w:tc>
        <w:tc>
          <w:tcPr>
            <w:tcW w:w="1420" w:type="dxa"/>
            <w:tcBorders>
              <w:top w:val="nil"/>
              <w:left w:val="nil"/>
              <w:bottom w:val="nil"/>
              <w:right w:val="nil"/>
            </w:tcBorders>
            <w:shd w:val="clear" w:color="auto" w:fill="auto"/>
            <w:noWrap/>
            <w:vAlign w:val="center"/>
            <w:hideMark/>
          </w:tcPr>
          <w:p w14:paraId="352E4FA3" w14:textId="77777777" w:rsidR="00683E7A" w:rsidRPr="00683E7A" w:rsidRDefault="00683E7A" w:rsidP="00683E7A">
            <w:pPr>
              <w:jc w:val="center"/>
              <w:rPr>
                <w:rFonts w:ascii="Arial" w:eastAsia="Times New Roman" w:hAnsi="Arial" w:cs="Arial"/>
                <w:sz w:val="16"/>
                <w:szCs w:val="16"/>
              </w:rPr>
            </w:pPr>
          </w:p>
        </w:tc>
      </w:tr>
    </w:tbl>
    <w:p w14:paraId="6362764A" w14:textId="77777777" w:rsidR="00683E7A" w:rsidRDefault="00683E7A" w:rsidP="00D76A9E">
      <w:pPr>
        <w:outlineLvl w:val="0"/>
        <w:rPr>
          <w:b/>
          <w:lang w:val="en-CA"/>
        </w:rPr>
      </w:pPr>
    </w:p>
    <w:p w14:paraId="5360E666" w14:textId="32706FC1" w:rsidR="004A33A7" w:rsidRDefault="00FB2B2D" w:rsidP="00D76A9E">
      <w:pPr>
        <w:outlineLvl w:val="0"/>
        <w:rPr>
          <w:rFonts w:eastAsia="Times New Roman"/>
          <w:sz w:val="16"/>
          <w:szCs w:val="16"/>
        </w:rPr>
      </w:pPr>
      <w:r>
        <w:rPr>
          <w:b/>
          <w:sz w:val="16"/>
          <w:szCs w:val="16"/>
          <w:lang w:val="en-CA"/>
        </w:rPr>
        <w:t xml:space="preserve">Supplementary </w:t>
      </w:r>
      <w:r w:rsidR="00724DAE">
        <w:rPr>
          <w:b/>
          <w:sz w:val="16"/>
          <w:szCs w:val="16"/>
          <w:lang w:val="en-CA"/>
        </w:rPr>
        <w:t>Table 4</w:t>
      </w:r>
      <w:r w:rsidR="00A074D6" w:rsidRPr="00354D7B">
        <w:rPr>
          <w:b/>
          <w:sz w:val="16"/>
          <w:szCs w:val="16"/>
          <w:lang w:val="en-CA"/>
        </w:rPr>
        <w:t xml:space="preserve">. </w:t>
      </w:r>
      <w:r w:rsidR="004A33A7" w:rsidRPr="00354D7B">
        <w:rPr>
          <w:rFonts w:eastAsia="Times New Roman"/>
          <w:sz w:val="16"/>
          <w:szCs w:val="16"/>
        </w:rPr>
        <w:t xml:space="preserve">General Demographics for </w:t>
      </w:r>
      <w:r w:rsidR="004A33A7" w:rsidRPr="00354D7B">
        <w:rPr>
          <w:rFonts w:eastAsia="Times New Roman"/>
          <w:i/>
          <w:sz w:val="16"/>
          <w:szCs w:val="16"/>
        </w:rPr>
        <w:t>cross-sectional sample</w:t>
      </w:r>
      <w:r w:rsidR="004A33A7" w:rsidRPr="00354D7B">
        <w:rPr>
          <w:rFonts w:eastAsia="Times New Roman"/>
          <w:sz w:val="16"/>
          <w:szCs w:val="16"/>
        </w:rPr>
        <w:t xml:space="preserve"> with verbal memory data collected at baseline. This sample was used for cross-sectional analyses of the relationship between verbal memory and negative symptom dimensions, presented here in Supplementary Material. All data represented as Mean (SD), unless otherwise specified. Square brackets [] include adjusted sample size included in statistical analysis due to missing datapoints. </w:t>
      </w:r>
      <w:r w:rsidR="006305CF">
        <w:rPr>
          <w:sz w:val="16"/>
          <w:szCs w:val="16"/>
          <w:lang w:val="en-CA"/>
        </w:rPr>
        <w:t>Immediate and delayed verbal memory scores were obtained as described in the methods of the main manuscript.</w:t>
      </w:r>
      <w:r w:rsidR="006305CF">
        <w:rPr>
          <w:rFonts w:eastAsia="Times New Roman"/>
          <w:sz w:val="16"/>
          <w:szCs w:val="16"/>
        </w:rPr>
        <w:t xml:space="preserve"> </w:t>
      </w:r>
      <w:r w:rsidR="006305CF">
        <w:rPr>
          <w:sz w:val="16"/>
          <w:szCs w:val="16"/>
          <w:lang w:val="en-CA"/>
        </w:rPr>
        <w:t>Five other cognitive domains are presented here, and merged to form a “general cognitive index”, wh</w:t>
      </w:r>
      <w:r w:rsidR="00AF5EB9">
        <w:rPr>
          <w:sz w:val="16"/>
          <w:szCs w:val="16"/>
          <w:lang w:val="en-CA"/>
        </w:rPr>
        <w:t xml:space="preserve">ich was used as a covariate in </w:t>
      </w:r>
      <w:r w:rsidR="00AF5EB9" w:rsidRPr="00AF5EB9">
        <w:rPr>
          <w:b/>
          <w:sz w:val="16"/>
          <w:szCs w:val="16"/>
          <w:lang w:val="en-CA"/>
        </w:rPr>
        <w:t>Supplementary Figure 3</w:t>
      </w:r>
      <w:r w:rsidR="006305CF">
        <w:rPr>
          <w:sz w:val="16"/>
          <w:szCs w:val="16"/>
          <w:lang w:val="en-CA"/>
        </w:rPr>
        <w:t xml:space="preserve">. Z-scores of general cognitive ability comparing FEP patients against healthy controls were calculated based on five domains of cognition: attention, executive function, speed of processing, visual memory, and working memory. A composite cognitive index was calculated by averaging the scores obtained for the five cognitive domains. </w:t>
      </w:r>
      <w:r w:rsidR="00AA51F1">
        <w:rPr>
          <w:sz w:val="16"/>
          <w:szCs w:val="16"/>
          <w:lang w:val="en-CA"/>
        </w:rPr>
        <w:t>Similar</w:t>
      </w:r>
      <w:r w:rsidR="006305CF">
        <w:rPr>
          <w:sz w:val="16"/>
          <w:szCs w:val="16"/>
          <w:lang w:val="en-CA"/>
        </w:rPr>
        <w:t xml:space="preserve"> to the verbal memory scores, cognition was assessed with two different batteries (i.e. pen and paper, and the computerized CogState battery). Additional information on the tests comprising each cognitive domain for each batte</w:t>
      </w:r>
      <w:r w:rsidR="00181878">
        <w:rPr>
          <w:sz w:val="16"/>
          <w:szCs w:val="16"/>
          <w:lang w:val="en-CA"/>
        </w:rPr>
        <w:t>ry can be found in Benoit et al</w:t>
      </w:r>
      <w:r w:rsidR="005464B0">
        <w:rPr>
          <w:sz w:val="16"/>
          <w:szCs w:val="16"/>
          <w:lang w:val="en-CA"/>
        </w:rPr>
        <w:t xml:space="preserve"> </w:t>
      </w:r>
      <w:r w:rsidR="006305CF">
        <w:rPr>
          <w:sz w:val="16"/>
          <w:szCs w:val="16"/>
          <w:lang w:val="en-CA"/>
        </w:rPr>
        <w:fldChar w:fldCharType="begin" w:fldLock="1"/>
      </w:r>
      <w:r w:rsidR="005464B0">
        <w:rPr>
          <w:sz w:val="16"/>
          <w:szCs w:val="16"/>
          <w:lang w:val="en-CA"/>
        </w:rPr>
        <w:instrText>ADDIN CSL_CITATION { "citationItems" : [ { "id" : "ITEM-1", "itemData" : { "author" : [ { "dropping-particle" : "", "family" : "Benoit", "given" : "Audrey", "non-dropping-particle" : "", "parse-names" : false, "suffix" : "" }, { "dropping-particle" : "", "family" : "Malla", "given" : "Ashok K.", "non-dropping-particle" : "", "parse-names" : false, "suffix" : "" }, { "dropping-particle" : "", "family" : "Iyer", "given" : "Srividya N.", "non-dropping-particle" : "", "parse-names" : false, "suffix" : "" }, { "dropping-particle" : "", "family" : "Joober", "given" : "Ridha", "non-dropping-particle" : "", "parse-names" : false, "suffix" : "" }, { "dropping-particle" : "", "family" : "Bherer", "given" : "Louis", "non-dropping-particle" : "", "parse-names" : false, "suffix" : "" }, { "dropping-particle" : "", "family" : "Lepage", "given" : "Martin", "non-dropping-particle" : "", "parse-names" : false, "suffix" : "" } ], "container-title" : "Schizophrenia Research: Cognition", "id" : "ITEM-1", "issue" : "3", "issued" : { "date-parts" : [ [ "2015" ] ] }, "page" : "140-145", "title" : "Cognitive deficits characterization using the CogState Research Battery in first-episode psychosis patients", "type" : "article-journal", "volume" : "2" }, "suppress-author" : 1, "uris" : [ "http://www.mendeley.com/documents/?uuid=93ed11b2-a38e-4de7-ac4f-992c8d0b9209" ] } ], "mendeley" : { "formattedCitation" : "(2015)", "plainTextFormattedCitation" : "(2015)", "previouslyFormattedCitation" : "&lt;sup&gt;19&lt;/sup&gt;" }, "properties" : { "noteIndex" : 0 }, "schema" : "https://github.com/citation-style-language/schema/raw/master/csl-citation.json" }</w:instrText>
      </w:r>
      <w:r w:rsidR="006305CF">
        <w:rPr>
          <w:sz w:val="16"/>
          <w:szCs w:val="16"/>
          <w:lang w:val="en-CA"/>
        </w:rPr>
        <w:fldChar w:fldCharType="separate"/>
      </w:r>
      <w:r w:rsidR="005464B0" w:rsidRPr="005464B0">
        <w:rPr>
          <w:noProof/>
          <w:sz w:val="16"/>
          <w:szCs w:val="16"/>
          <w:lang w:val="en-CA"/>
        </w:rPr>
        <w:t>(2015)</w:t>
      </w:r>
      <w:r w:rsidR="006305CF">
        <w:rPr>
          <w:sz w:val="16"/>
          <w:szCs w:val="16"/>
          <w:lang w:val="en-CA"/>
        </w:rPr>
        <w:fldChar w:fldCharType="end"/>
      </w:r>
      <w:r w:rsidR="005464B0">
        <w:rPr>
          <w:sz w:val="16"/>
          <w:szCs w:val="16"/>
          <w:lang w:val="en-CA"/>
        </w:rPr>
        <w:t>.</w:t>
      </w:r>
      <w:r w:rsidR="006305CF">
        <w:rPr>
          <w:rFonts w:eastAsia="Times New Roman"/>
          <w:sz w:val="16"/>
          <w:szCs w:val="16"/>
        </w:rPr>
        <w:t xml:space="preserve"> </w:t>
      </w:r>
      <w:r w:rsidR="004A33A7" w:rsidRPr="00354D7B">
        <w:rPr>
          <w:rFonts w:eastAsia="Times New Roman"/>
          <w:sz w:val="16"/>
          <w:szCs w:val="16"/>
        </w:rPr>
        <w:t xml:space="preserve">All antipsychotic totals are presented as chlorpromazine equivalents in mg, as prescribed by a psychiatrist, and are reported along with a percentage of medication adherence. SAPS totals are presented as mean scores of the sum of item-level scores. </w:t>
      </w:r>
    </w:p>
    <w:p w14:paraId="4773B803" w14:textId="77777777" w:rsidR="003F483E" w:rsidRPr="003F483E" w:rsidRDefault="00915593" w:rsidP="00D76A9E">
      <w:pPr>
        <w:outlineLvl w:val="0"/>
        <w:rPr>
          <w:rFonts w:eastAsia="Times New Roman"/>
          <w:sz w:val="16"/>
          <w:szCs w:val="16"/>
        </w:rPr>
      </w:pPr>
      <w:r>
        <w:rPr>
          <w:rFonts w:eastAsia="Times New Roman"/>
          <w:sz w:val="16"/>
          <w:szCs w:val="16"/>
        </w:rPr>
        <w:t>*</w:t>
      </w:r>
      <w:r w:rsidR="003F483E" w:rsidRPr="006305CF">
        <w:rPr>
          <w:rFonts w:eastAsia="Times New Roman"/>
          <w:b/>
          <w:sz w:val="16"/>
          <w:szCs w:val="16"/>
        </w:rPr>
        <w:t>Bolded variables</w:t>
      </w:r>
      <w:r w:rsidR="00FA625A">
        <w:rPr>
          <w:rFonts w:eastAsia="Times New Roman"/>
          <w:b/>
          <w:sz w:val="16"/>
          <w:szCs w:val="16"/>
        </w:rPr>
        <w:t xml:space="preserve"> with asterisk</w:t>
      </w:r>
      <w:r w:rsidR="003F483E">
        <w:rPr>
          <w:rFonts w:eastAsia="Times New Roman"/>
          <w:sz w:val="16"/>
          <w:szCs w:val="16"/>
        </w:rPr>
        <w:t xml:space="preserve"> reflect significant differences between FEP patients and controls. </w:t>
      </w:r>
      <w:r>
        <w:rPr>
          <w:rFonts w:eastAsia="Times New Roman"/>
          <w:sz w:val="16"/>
          <w:szCs w:val="16"/>
        </w:rPr>
        <w:t xml:space="preserve">Similar to the </w:t>
      </w:r>
      <w:r w:rsidR="00C014F0">
        <w:rPr>
          <w:rFonts w:eastAsia="Times New Roman"/>
          <w:sz w:val="16"/>
          <w:szCs w:val="16"/>
        </w:rPr>
        <w:t xml:space="preserve">longitudinal sample presented in the </w:t>
      </w:r>
      <w:r>
        <w:rPr>
          <w:rFonts w:eastAsia="Times New Roman"/>
          <w:sz w:val="16"/>
          <w:szCs w:val="16"/>
        </w:rPr>
        <w:t>main manuscript, FEP patients had significantly lower verbal memory performance, IQ, and levels of education compared to HC (p&lt;0.05).</w:t>
      </w:r>
      <w:r w:rsidR="003F483E">
        <w:rPr>
          <w:rFonts w:eastAsia="Times New Roman"/>
          <w:sz w:val="16"/>
          <w:szCs w:val="16"/>
        </w:rPr>
        <w:t xml:space="preserve"> FEP patients had significantly lower performance on all cognitive subdomains and the general cognitive index (p&lt;0.001), with the exception of speed of processing, which showed a trend-like group difference (p=0.06).</w:t>
      </w:r>
      <w:r w:rsidR="006D143B">
        <w:rPr>
          <w:rFonts w:eastAsia="Times New Roman"/>
          <w:sz w:val="16"/>
          <w:szCs w:val="16"/>
        </w:rPr>
        <w:t xml:space="preserve"> </w:t>
      </w:r>
    </w:p>
    <w:p w14:paraId="3D672694" w14:textId="77777777" w:rsidR="004A33A7" w:rsidRDefault="004A33A7" w:rsidP="00D76A9E">
      <w:pPr>
        <w:pStyle w:val="Normal1"/>
        <w:spacing w:line="240" w:lineRule="auto"/>
        <w:rPr>
          <w:rFonts w:ascii="Times New Roman" w:eastAsia="Times New Roman" w:hAnsi="Times New Roman" w:cs="Times New Roman"/>
          <w:sz w:val="16"/>
          <w:szCs w:val="16"/>
        </w:rPr>
      </w:pPr>
      <w:r w:rsidRPr="00354D7B">
        <w:rPr>
          <w:rFonts w:ascii="Times New Roman" w:eastAsia="Times New Roman" w:hAnsi="Times New Roman" w:cs="Times New Roman"/>
          <w:sz w:val="16"/>
          <w:szCs w:val="16"/>
          <w:vertAlign w:val="superscript"/>
        </w:rPr>
        <w:t>a</w:t>
      </w:r>
      <w:r w:rsidRPr="00354D7B">
        <w:rPr>
          <w:rFonts w:ascii="Times New Roman" w:eastAsia="Times New Roman" w:hAnsi="Times New Roman" w:cs="Times New Roman"/>
          <w:sz w:val="16"/>
          <w:szCs w:val="16"/>
        </w:rPr>
        <w:t>One patient did not have enough clinical data to reliably define a diagnosis.</w:t>
      </w:r>
    </w:p>
    <w:p w14:paraId="393FCD4A" w14:textId="77777777" w:rsidR="00E46DC3" w:rsidRPr="00E46DC3" w:rsidRDefault="00E46DC3" w:rsidP="00D76A9E">
      <w:pPr>
        <w:pStyle w:val="Normal1"/>
        <w:spacing w:line="240" w:lineRule="auto"/>
        <w:rPr>
          <w:rFonts w:ascii="Times New Roman" w:hAnsi="Times New Roman" w:cs="Times New Roman"/>
          <w:sz w:val="16"/>
          <w:szCs w:val="16"/>
        </w:rPr>
      </w:pPr>
      <w:r>
        <w:rPr>
          <w:rFonts w:ascii="Times New Roman" w:eastAsia="Times New Roman" w:hAnsi="Times New Roman" w:cs="Times New Roman"/>
          <w:sz w:val="16"/>
          <w:szCs w:val="16"/>
          <w:vertAlign w:val="superscript"/>
        </w:rPr>
        <w:t>b</w:t>
      </w:r>
      <w:r w:rsidRPr="00354D7B">
        <w:rPr>
          <w:rFonts w:ascii="Times New Roman" w:eastAsia="Times New Roman" w:hAnsi="Times New Roman" w:cs="Times New Roman"/>
          <w:sz w:val="16"/>
          <w:szCs w:val="16"/>
        </w:rPr>
        <w:t>Covaried by test version. Specifically, IQ was collected with WAIS-III</w:t>
      </w:r>
      <w:r w:rsidR="005464B0">
        <w:rPr>
          <w:rFonts w:ascii="Times New Roman" w:eastAsia="Times New Roman" w:hAnsi="Times New Roman" w:cs="Times New Roman"/>
          <w:sz w:val="16"/>
          <w:szCs w:val="16"/>
        </w:rPr>
        <w:t xml:space="preserve"> </w:t>
      </w:r>
      <w:r w:rsidRPr="00354D7B">
        <w:rPr>
          <w:rFonts w:ascii="Times New Roman" w:eastAsia="Times New Roman" w:hAnsi="Times New Roman" w:cs="Times New Roman"/>
          <w:sz w:val="16"/>
          <w:szCs w:val="16"/>
        </w:rPr>
        <w:fldChar w:fldCharType="begin" w:fldLock="1"/>
      </w:r>
      <w:r w:rsidR="005464B0">
        <w:rPr>
          <w:rFonts w:ascii="Times New Roman" w:eastAsia="Times New Roman" w:hAnsi="Times New Roman" w:cs="Times New Roman"/>
          <w:sz w:val="16"/>
          <w:szCs w:val="16"/>
        </w:rPr>
        <w:instrText>ADDIN CSL_CITATION { "citationItems" : [ { "id" : "ITEM-1", "itemData" : { "author" : [ { "dropping-particle" : "", "family" : "Weschler", "given" : "D", "non-dropping-particle" : "", "parse-names" : false, "suffix" : "" } ], "id" : "ITEM-1", "issued" : { "date-parts" : [ [ "1997" ] ] }, "publisher" : "The Psychological Corporation", "publisher-place" : "San Antonio, TX", "title" : "Weschler Adult Intelligence Scale - 3rd Edition", "type" : "book" }, "uris" : [ "http://www.mendeley.com/documents/?uuid=16cf8935-0fbb-4daf-85e0-146b0dee0102" ] } ], "mendeley" : { "formattedCitation" : "(Weschler 1997)", "plainTextFormattedCitation" : "(Weschler 1997)", "previouslyFormattedCitation" : "&lt;sup&gt;12&lt;/sup&gt;" }, "properties" : { "noteIndex" : 0 }, "schema" : "https://github.com/citation-style-language/schema/raw/master/csl-citation.json" }</w:instrText>
      </w:r>
      <w:r w:rsidRPr="00354D7B">
        <w:rPr>
          <w:rFonts w:ascii="Times New Roman" w:eastAsia="Times New Roman" w:hAnsi="Times New Roman" w:cs="Times New Roman"/>
          <w:sz w:val="16"/>
          <w:szCs w:val="16"/>
        </w:rPr>
        <w:fldChar w:fldCharType="separate"/>
      </w:r>
      <w:r w:rsidR="005464B0" w:rsidRPr="005464B0">
        <w:rPr>
          <w:rFonts w:ascii="Times New Roman" w:eastAsia="Times New Roman" w:hAnsi="Times New Roman" w:cs="Times New Roman"/>
          <w:noProof/>
          <w:sz w:val="16"/>
          <w:szCs w:val="16"/>
        </w:rPr>
        <w:t>(Weschler 1997)</w:t>
      </w:r>
      <w:r w:rsidRPr="00354D7B">
        <w:rPr>
          <w:rFonts w:ascii="Times New Roman" w:eastAsia="Times New Roman" w:hAnsi="Times New Roman" w:cs="Times New Roman"/>
          <w:sz w:val="16"/>
          <w:szCs w:val="16"/>
        </w:rPr>
        <w:fldChar w:fldCharType="end"/>
      </w:r>
      <w:r w:rsidRPr="00354D7B">
        <w:rPr>
          <w:rFonts w:ascii="Times New Roman" w:eastAsia="Times New Roman" w:hAnsi="Times New Roman" w:cs="Times New Roman"/>
          <w:sz w:val="16"/>
          <w:szCs w:val="16"/>
        </w:rPr>
        <w:t xml:space="preserve"> and WASI</w:t>
      </w:r>
      <w:r w:rsidR="005464B0">
        <w:rPr>
          <w:rFonts w:ascii="Times New Roman" w:eastAsia="Times New Roman" w:hAnsi="Times New Roman" w:cs="Times New Roman"/>
          <w:sz w:val="16"/>
          <w:szCs w:val="16"/>
        </w:rPr>
        <w:t xml:space="preserve"> </w:t>
      </w:r>
      <w:r w:rsidRPr="00354D7B">
        <w:rPr>
          <w:rFonts w:ascii="Times New Roman" w:eastAsia="Times New Roman" w:hAnsi="Times New Roman" w:cs="Times New Roman"/>
          <w:sz w:val="16"/>
          <w:szCs w:val="16"/>
        </w:rPr>
        <w:fldChar w:fldCharType="begin" w:fldLock="1"/>
      </w:r>
      <w:r w:rsidR="005464B0">
        <w:rPr>
          <w:rFonts w:ascii="Times New Roman" w:eastAsia="Times New Roman" w:hAnsi="Times New Roman" w:cs="Times New Roman"/>
          <w:sz w:val="16"/>
          <w:szCs w:val="16"/>
        </w:rPr>
        <w:instrText>ADDIN CSL_CITATION { "citationItems" : [ { "id" : "ITEM-1", "itemData" : { "author" : [ { "dropping-particle" : "", "family" : "Weschler", "given" : "D", "non-dropping-particle" : "", "parse-names" : false, "suffix" : "" } ], "id" : "ITEM-1", "issued" : { "date-parts" : [ [ "1999" ] ] }, "publisher" : "The Psychological Corporation", "publisher-place" : "San Antonio, TX", "title" : "Weschler Abbreviated Scale of Intelligence", "type" : "book" }, "uris" : [ "http://www.mendeley.com/documents/?uuid=befd28db-bad1-4ea6-a347-652174da6b95" ] } ], "mendeley" : { "formattedCitation" : "(Weschler 1999)", "plainTextFormattedCitation" : "(Weschler 1999)", "previouslyFormattedCitation" : "&lt;sup&gt;11&lt;/sup&gt;" }, "properties" : { "noteIndex" : 0 }, "schema" : "https://github.com/citation-style-language/schema/raw/master/csl-citation.json" }</w:instrText>
      </w:r>
      <w:r w:rsidRPr="00354D7B">
        <w:rPr>
          <w:rFonts w:ascii="Times New Roman" w:eastAsia="Times New Roman" w:hAnsi="Times New Roman" w:cs="Times New Roman"/>
          <w:sz w:val="16"/>
          <w:szCs w:val="16"/>
        </w:rPr>
        <w:fldChar w:fldCharType="separate"/>
      </w:r>
      <w:r w:rsidR="005464B0" w:rsidRPr="005464B0">
        <w:rPr>
          <w:rFonts w:ascii="Times New Roman" w:eastAsia="Times New Roman" w:hAnsi="Times New Roman" w:cs="Times New Roman"/>
          <w:noProof/>
          <w:sz w:val="16"/>
          <w:szCs w:val="16"/>
        </w:rPr>
        <w:t>(Weschler 1999)</w:t>
      </w:r>
      <w:r w:rsidRPr="00354D7B">
        <w:rPr>
          <w:rFonts w:ascii="Times New Roman" w:eastAsia="Times New Roman" w:hAnsi="Times New Roman" w:cs="Times New Roman"/>
          <w:sz w:val="16"/>
          <w:szCs w:val="16"/>
        </w:rPr>
        <w:fldChar w:fldCharType="end"/>
      </w:r>
      <w:r w:rsidRPr="00354D7B">
        <w:rPr>
          <w:rFonts w:ascii="Times New Roman" w:eastAsia="Times New Roman" w:hAnsi="Times New Roman" w:cs="Times New Roman"/>
          <w:sz w:val="16"/>
          <w:szCs w:val="16"/>
        </w:rPr>
        <w:t xml:space="preserve"> and verbal memory was collected with a Pen and Paper neuropsychological test battery, and CogState Research Battery</w:t>
      </w:r>
      <w:r w:rsidR="005464B0">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fldChar w:fldCharType="begin" w:fldLock="1"/>
      </w:r>
      <w:r w:rsidR="005464B0">
        <w:rPr>
          <w:rFonts w:ascii="Times New Roman" w:eastAsia="Times New Roman" w:hAnsi="Times New Roman" w:cs="Times New Roman"/>
          <w:sz w:val="16"/>
          <w:szCs w:val="16"/>
        </w:rPr>
        <w:instrText>ADDIN CSL_CITATION { "citationItems" : [ { "id" : "ITEM-1", "itemData" : { "DOI" : "10.1080/13803390802592458", "ISSN" : "1380-3395", "abstract" : "This study examined the criterion and construct validity of a brief computerized cognitive test battery (CogState Schizophrenia Battery) compared to a conventional cognitive test battery recommended by the Measurement and Treatment Research to Improve Cognition in Schizophrenia (MATRICS) consensus. The CogState and MATRICS batteries yielded comparable effect sizes in comparing patients with schizophrenia to healthy controls (Cohen's ds = -1.50 for both batteries). Moderate to large correlations were observed between CogState and MATRICS measures of processing speed, attention/vigilance, working memory, verbal and visual learning, reasoning/problem solving, and social cognition (rs =.56-.79). CogState and MATRICS composite scores also correlated strongly with scores on the University of California at San Diego (UCSD) Performance-Based Skills Assessment (UPSA; rs =.76 and.79, respectively) in patients with schizophrenia. Results of this study suggest that the CogState Schizophrenia Battery provides valid measurement of the cognitive domains nominated by the MATRICS consensus group as being important to consider in the context of pharmacological treatments for cognitive impairment in schizophrenia. \u00a9 2009 Psychology Press.", "author" : [ { "dropping-particle" : "", "family" : "Pietrzak", "given" : "Robert H.", "non-dropping-particle" : "", "parse-names" : false, "suffix" : "" }, { "dropping-particle" : "", "family" : "Olver", "given" : "James", "non-dropping-particle" : "", "parse-names" : false, "suffix" : "" }, { "dropping-particle" : "", "family" : "Norman", "given" : "Trevor", "non-dropping-particle" : "", "parse-names" : false, "suffix" : "" }, { "dropping-particle" : "", "family" : "Piskulic", "given" : "Danijela", "non-dropping-particle" : "", "parse-names" : false, "suffix" : "" }, { "dropping-particle" : "", "family" : "Maruff", "given" : "Paul", "non-dropping-particle" : "", "parse-names" : false, "suffix" : "" }, { "dropping-particle" : "", "family" : "Snyder", "given" : "Peter J.", "non-dropping-particle" : "", "parse-names" : false, "suffix" : "" } ], "container-title" : "Journal of Clinical and Experimental Neuropsychology", "id" : "ITEM-1", "issue" : "7", "issued" : { "date-parts" : [ [ "2009", "9", "18" ] ] }, "page" : "848-859", "title" : "A comparison of the CogState Schizophrenia Battery and the Measurement and Treatment Research to Improve Cognition in Schizophrenia (MATRICS) Battery in assessing cognitive impairment in chronic schizophrenia", "type" : "article-journal", "volume" : "31" }, "uris" : [ "http://www.mendeley.com/documents/?uuid=1d36753b-58a5-3d45-88ab-f1f5bdb6d1a2" ] } ], "mendeley" : { "formattedCitation" : "(Pietrzak &lt;i&gt;et al.&lt;/i&gt; 2009)", "plainTextFormattedCitation" : "(Pietrzak et al. 2009)", "previouslyFormattedCitation" : "&lt;sup&gt;20&lt;/sup&gt;" }, "properties" : { "noteIndex" : 0 }, "schema" : "https://github.com/citation-style-language/schema/raw/master/csl-citation.json" }</w:instrText>
      </w:r>
      <w:r>
        <w:rPr>
          <w:rFonts w:ascii="Times New Roman" w:eastAsia="Times New Roman" w:hAnsi="Times New Roman" w:cs="Times New Roman"/>
          <w:sz w:val="16"/>
          <w:szCs w:val="16"/>
        </w:rPr>
        <w:fldChar w:fldCharType="separate"/>
      </w:r>
      <w:r w:rsidR="005464B0" w:rsidRPr="005464B0">
        <w:rPr>
          <w:rFonts w:ascii="Times New Roman" w:eastAsia="Times New Roman" w:hAnsi="Times New Roman" w:cs="Times New Roman"/>
          <w:noProof/>
          <w:sz w:val="16"/>
          <w:szCs w:val="16"/>
        </w:rPr>
        <w:t xml:space="preserve">(Pietrzak </w:t>
      </w:r>
      <w:r w:rsidR="005464B0" w:rsidRPr="005464B0">
        <w:rPr>
          <w:rFonts w:ascii="Times New Roman" w:eastAsia="Times New Roman" w:hAnsi="Times New Roman" w:cs="Times New Roman"/>
          <w:i/>
          <w:noProof/>
          <w:sz w:val="16"/>
          <w:szCs w:val="16"/>
        </w:rPr>
        <w:t>et al.</w:t>
      </w:r>
      <w:r w:rsidR="005464B0" w:rsidRPr="005464B0">
        <w:rPr>
          <w:rFonts w:ascii="Times New Roman" w:eastAsia="Times New Roman" w:hAnsi="Times New Roman" w:cs="Times New Roman"/>
          <w:noProof/>
          <w:sz w:val="16"/>
          <w:szCs w:val="16"/>
        </w:rPr>
        <w:t xml:space="preserve"> 2009)</w:t>
      </w:r>
      <w:r>
        <w:rPr>
          <w:rFonts w:ascii="Times New Roman" w:eastAsia="Times New Roman" w:hAnsi="Times New Roman" w:cs="Times New Roman"/>
          <w:sz w:val="16"/>
          <w:szCs w:val="16"/>
        </w:rPr>
        <w:fldChar w:fldCharType="end"/>
      </w:r>
      <w:r w:rsidR="005464B0">
        <w:rPr>
          <w:rFonts w:ascii="Times New Roman" w:eastAsia="Times New Roman" w:hAnsi="Times New Roman" w:cs="Times New Roman"/>
          <w:sz w:val="16"/>
          <w:szCs w:val="16"/>
        </w:rPr>
        <w:t>.</w:t>
      </w:r>
    </w:p>
    <w:p w14:paraId="5FB35B56" w14:textId="77777777" w:rsidR="004A33A7" w:rsidRPr="00354D7B" w:rsidRDefault="00E46DC3" w:rsidP="00D76A9E">
      <w:pPr>
        <w:pStyle w:val="Normal1"/>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vertAlign w:val="superscript"/>
        </w:rPr>
        <w:t>c</w:t>
      </w:r>
      <w:r w:rsidR="004A33A7" w:rsidRPr="00354D7B">
        <w:rPr>
          <w:rFonts w:ascii="Times New Roman" w:eastAsia="Times New Roman" w:hAnsi="Times New Roman" w:cs="Times New Roman"/>
          <w:sz w:val="16"/>
          <w:szCs w:val="16"/>
        </w:rPr>
        <w:t xml:space="preserve">Note, Mean and Standard Deviation of </w:t>
      </w:r>
      <w:r w:rsidR="0099509B">
        <w:rPr>
          <w:rFonts w:ascii="Times New Roman" w:eastAsia="Times New Roman" w:hAnsi="Times New Roman" w:cs="Times New Roman"/>
          <w:sz w:val="16"/>
          <w:szCs w:val="16"/>
        </w:rPr>
        <w:t>cognitive domains</w:t>
      </w:r>
      <w:r w:rsidR="004A33A7" w:rsidRPr="00354D7B">
        <w:rPr>
          <w:rFonts w:ascii="Times New Roman" w:eastAsia="Times New Roman" w:hAnsi="Times New Roman" w:cs="Times New Roman"/>
          <w:sz w:val="16"/>
          <w:szCs w:val="16"/>
        </w:rPr>
        <w:t xml:space="preserve"> in Controls does not equate to exactly 0 and 1, respectively, as the norms for </w:t>
      </w:r>
      <w:r w:rsidR="0099509B">
        <w:rPr>
          <w:rFonts w:ascii="Times New Roman" w:eastAsia="Times New Roman" w:hAnsi="Times New Roman" w:cs="Times New Roman"/>
          <w:sz w:val="16"/>
          <w:szCs w:val="16"/>
        </w:rPr>
        <w:t>cognitive domains</w:t>
      </w:r>
      <w:r w:rsidR="004A33A7" w:rsidRPr="00354D7B">
        <w:rPr>
          <w:rFonts w:ascii="Times New Roman" w:eastAsia="Times New Roman" w:hAnsi="Times New Roman" w:cs="Times New Roman"/>
          <w:sz w:val="16"/>
          <w:szCs w:val="16"/>
        </w:rPr>
        <w:t xml:space="preserve"> were calculated before exclusion of a subset of controls for this study due to imaging quality control.</w:t>
      </w:r>
    </w:p>
    <w:p w14:paraId="7AB15C92" w14:textId="7900D60A" w:rsidR="00094643" w:rsidRPr="006512A3" w:rsidRDefault="004A33A7" w:rsidP="006512A3">
      <w:pPr>
        <w:pStyle w:val="Normal1"/>
        <w:spacing w:line="240" w:lineRule="auto"/>
        <w:rPr>
          <w:rFonts w:ascii="Times New Roman" w:eastAsia="Times New Roman" w:hAnsi="Times New Roman" w:cs="Times New Roman"/>
          <w:sz w:val="16"/>
          <w:szCs w:val="16"/>
        </w:rPr>
        <w:sectPr w:rsidR="00094643" w:rsidRPr="006512A3" w:rsidSect="0067729D">
          <w:headerReference w:type="default" r:id="rId16"/>
          <w:footerReference w:type="even" r:id="rId17"/>
          <w:footerReference w:type="default" r:id="rId18"/>
          <w:pgSz w:w="12240" w:h="15840"/>
          <w:pgMar w:top="485" w:right="1440" w:bottom="1292" w:left="1440" w:header="0" w:footer="0" w:gutter="0"/>
          <w:cols w:space="720"/>
          <w:formProt w:val="0"/>
          <w:titlePg/>
          <w:docGrid w:linePitch="360" w:charSpace="-6145"/>
        </w:sectPr>
      </w:pPr>
      <w:r w:rsidRPr="00354D7B">
        <w:rPr>
          <w:rFonts w:ascii="Times New Roman" w:eastAsia="Times New Roman" w:hAnsi="Times New Roman" w:cs="Times New Roman"/>
          <w:sz w:val="16"/>
          <w:szCs w:val="16"/>
        </w:rPr>
        <w:t xml:space="preserve">Abbreviations: CDSS, Calgary Depression Scale for Schizophrenia. CPZ, chlorpromazine. </w:t>
      </w:r>
      <w:r w:rsidR="004A7A16">
        <w:rPr>
          <w:rFonts w:ascii="Times New Roman" w:eastAsia="Times New Roman" w:hAnsi="Times New Roman" w:cs="Times New Roman"/>
          <w:sz w:val="16"/>
          <w:szCs w:val="16"/>
        </w:rPr>
        <w:t xml:space="preserve">FEP, First episode of psychosis. </w:t>
      </w:r>
      <w:r w:rsidRPr="00354D7B">
        <w:rPr>
          <w:rFonts w:ascii="Times New Roman" w:eastAsia="Times New Roman" w:hAnsi="Times New Roman" w:cs="Times New Roman"/>
          <w:sz w:val="16"/>
          <w:szCs w:val="16"/>
        </w:rPr>
        <w:t xml:space="preserve">SAPS, Scale for </w:t>
      </w:r>
      <w:r w:rsidR="006512A3">
        <w:rPr>
          <w:rFonts w:ascii="Times New Roman" w:eastAsia="Times New Roman" w:hAnsi="Times New Roman" w:cs="Times New Roman"/>
          <w:sz w:val="16"/>
          <w:szCs w:val="16"/>
        </w:rPr>
        <w:t>Assessment of Positive Symptoms</w:t>
      </w:r>
    </w:p>
    <w:p w14:paraId="76A62E27" w14:textId="77777777" w:rsidR="00AE0B52" w:rsidRDefault="00AE0B52">
      <w:pPr>
        <w:jc w:val="both"/>
        <w:rPr>
          <w:b/>
          <w:lang w:val="en-CA"/>
        </w:rPr>
      </w:pPr>
    </w:p>
    <w:p w14:paraId="30202389" w14:textId="77777777" w:rsidR="006512A3" w:rsidRDefault="006512A3">
      <w:pPr>
        <w:jc w:val="both"/>
        <w:rPr>
          <w:b/>
          <w:lang w:val="en-CA"/>
        </w:rPr>
      </w:pPr>
    </w:p>
    <w:p w14:paraId="0C698B50" w14:textId="77777777" w:rsidR="00A05F14" w:rsidRDefault="00FB2B2D">
      <w:pPr>
        <w:jc w:val="both"/>
        <w:rPr>
          <w:b/>
          <w:lang w:val="en-CA"/>
        </w:rPr>
      </w:pPr>
      <w:r>
        <w:rPr>
          <w:b/>
          <w:lang w:val="en-CA"/>
        </w:rPr>
        <w:t>SUPPLEMENTARY REFERENCES</w:t>
      </w:r>
    </w:p>
    <w:p w14:paraId="60457CD6" w14:textId="77777777" w:rsidR="00AE0B52" w:rsidRDefault="00AE0B52">
      <w:pPr>
        <w:jc w:val="both"/>
        <w:rPr>
          <w:b/>
          <w:lang w:val="en-CA"/>
        </w:rPr>
      </w:pPr>
    </w:p>
    <w:p w14:paraId="48123D40" w14:textId="77777777" w:rsidR="005464B0" w:rsidRPr="005464B0" w:rsidRDefault="002138D0" w:rsidP="005464B0">
      <w:pPr>
        <w:widowControl w:val="0"/>
        <w:autoSpaceDE w:val="0"/>
        <w:autoSpaceDN w:val="0"/>
        <w:adjustRightInd w:val="0"/>
        <w:rPr>
          <w:rFonts w:eastAsia="Times New Roman"/>
          <w:noProof/>
        </w:rPr>
      </w:pPr>
      <w:r>
        <w:fldChar w:fldCharType="begin" w:fldLock="1"/>
      </w:r>
      <w:r>
        <w:instrText>ADDIN Mendeley Bibliography CSL_BIBLIOGRAPHY</w:instrText>
      </w:r>
      <w:r>
        <w:fldChar w:fldCharType="separate"/>
      </w:r>
      <w:r w:rsidR="005464B0" w:rsidRPr="005464B0">
        <w:rPr>
          <w:rFonts w:eastAsia="Times New Roman"/>
          <w:b/>
          <w:bCs/>
          <w:noProof/>
        </w:rPr>
        <w:t>Addington D, Addington J, Schissel B</w:t>
      </w:r>
      <w:r w:rsidR="005464B0" w:rsidRPr="005464B0">
        <w:rPr>
          <w:rFonts w:eastAsia="Times New Roman"/>
          <w:noProof/>
        </w:rPr>
        <w:t xml:space="preserve"> (1990). A depression rating scale for schizophrenics. </w:t>
      </w:r>
      <w:r w:rsidR="005464B0" w:rsidRPr="005464B0">
        <w:rPr>
          <w:rFonts w:eastAsia="Times New Roman"/>
          <w:i/>
          <w:iCs/>
          <w:noProof/>
        </w:rPr>
        <w:t>Schizophrenia research</w:t>
      </w:r>
      <w:r w:rsidR="005464B0" w:rsidRPr="005464B0">
        <w:rPr>
          <w:rFonts w:eastAsia="Times New Roman"/>
          <w:noProof/>
        </w:rPr>
        <w:t xml:space="preserve"> </w:t>
      </w:r>
      <w:r w:rsidR="005464B0" w:rsidRPr="005464B0">
        <w:rPr>
          <w:rFonts w:eastAsia="Times New Roman"/>
          <w:b/>
          <w:bCs/>
          <w:noProof/>
        </w:rPr>
        <w:t>3</w:t>
      </w:r>
      <w:r w:rsidR="005464B0" w:rsidRPr="005464B0">
        <w:rPr>
          <w:rFonts w:eastAsia="Times New Roman"/>
          <w:noProof/>
        </w:rPr>
        <w:t>, 247–51.</w:t>
      </w:r>
    </w:p>
    <w:p w14:paraId="7EC4A6A3"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Akaike H</w:t>
      </w:r>
      <w:r w:rsidRPr="005464B0">
        <w:rPr>
          <w:rFonts w:eastAsia="Times New Roman"/>
          <w:noProof/>
        </w:rPr>
        <w:t xml:space="preserve"> (1998). Information theory and an extension of the maximum likelihood principle. In </w:t>
      </w:r>
      <w:r w:rsidRPr="005464B0">
        <w:rPr>
          <w:rFonts w:eastAsia="Times New Roman"/>
          <w:i/>
          <w:iCs/>
          <w:noProof/>
        </w:rPr>
        <w:t>Selected Papers of Hirotugu Akaike, Springer Series in Statistics</w:t>
      </w:r>
      <w:r w:rsidRPr="005464B0">
        <w:rPr>
          <w:rFonts w:eastAsia="Times New Roman"/>
          <w:noProof/>
        </w:rPr>
        <w:t>, pp199–213. Springer New York: New York, NY.</w:t>
      </w:r>
    </w:p>
    <w:p w14:paraId="5939B067"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Andreasen N</w:t>
      </w:r>
      <w:r w:rsidRPr="005464B0">
        <w:rPr>
          <w:rFonts w:eastAsia="Times New Roman"/>
          <w:noProof/>
        </w:rPr>
        <w:t xml:space="preserve"> (1984a). </w:t>
      </w:r>
      <w:r w:rsidRPr="005464B0">
        <w:rPr>
          <w:rFonts w:eastAsia="Times New Roman"/>
          <w:i/>
          <w:iCs/>
          <w:noProof/>
        </w:rPr>
        <w:t>Scale for the Assessment of Negative Symptoms (SANS)</w:t>
      </w:r>
      <w:r w:rsidRPr="005464B0">
        <w:rPr>
          <w:rFonts w:eastAsia="Times New Roman"/>
          <w:noProof/>
        </w:rPr>
        <w:t>. University of Iowa: Iowa City.</w:t>
      </w:r>
    </w:p>
    <w:p w14:paraId="15313C8F"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Andreasen N</w:t>
      </w:r>
      <w:r w:rsidRPr="005464B0">
        <w:rPr>
          <w:rFonts w:eastAsia="Times New Roman"/>
          <w:noProof/>
        </w:rPr>
        <w:t xml:space="preserve"> (1984b). </w:t>
      </w:r>
      <w:r w:rsidRPr="005464B0">
        <w:rPr>
          <w:rFonts w:eastAsia="Times New Roman"/>
          <w:i/>
          <w:iCs/>
          <w:noProof/>
        </w:rPr>
        <w:t>Scale for the Assessment of Positive Symptoms (SAPS)</w:t>
      </w:r>
      <w:r w:rsidRPr="005464B0">
        <w:rPr>
          <w:rFonts w:eastAsia="Times New Roman"/>
          <w:noProof/>
        </w:rPr>
        <w:t>. University of Iowa: Iowa City.</w:t>
      </w:r>
    </w:p>
    <w:p w14:paraId="1CECE4F6"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Bartzokis G, Lu PH, Stewart SB, Oluwadara B, Lucas AJ, Pantages J, Pratt E, Sherin JE, Altshuler LL, Mintz J, Gitlin MJ, Subotnik KL, Nuechterlein KH</w:t>
      </w:r>
      <w:r w:rsidRPr="005464B0">
        <w:rPr>
          <w:rFonts w:eastAsia="Times New Roman"/>
          <w:noProof/>
        </w:rPr>
        <w:t xml:space="preserve"> (2009). In vivo evidence of differential impact of typical and atypical antipsychotics on intracortical myelin in adults with schizophrenia. </w:t>
      </w:r>
      <w:r w:rsidRPr="005464B0">
        <w:rPr>
          <w:rFonts w:eastAsia="Times New Roman"/>
          <w:i/>
          <w:iCs/>
          <w:noProof/>
        </w:rPr>
        <w:t>Schizophrenia Research</w:t>
      </w:r>
      <w:r w:rsidRPr="005464B0">
        <w:rPr>
          <w:rFonts w:eastAsia="Times New Roman"/>
          <w:noProof/>
        </w:rPr>
        <w:t xml:space="preserve"> </w:t>
      </w:r>
      <w:r w:rsidRPr="005464B0">
        <w:rPr>
          <w:rFonts w:eastAsia="Times New Roman"/>
          <w:b/>
          <w:bCs/>
          <w:noProof/>
        </w:rPr>
        <w:t>113</w:t>
      </w:r>
      <w:r w:rsidRPr="005464B0">
        <w:rPr>
          <w:rFonts w:eastAsia="Times New Roman"/>
          <w:noProof/>
        </w:rPr>
        <w:t>, 322–331.</w:t>
      </w:r>
    </w:p>
    <w:p w14:paraId="47186EE2"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Benoit A, Malla AK, Iyer SN, Joober R, Bherer L, Lepage M</w:t>
      </w:r>
      <w:r w:rsidRPr="005464B0">
        <w:rPr>
          <w:rFonts w:eastAsia="Times New Roman"/>
          <w:noProof/>
        </w:rPr>
        <w:t xml:space="preserve"> (2015). Cognitive deficits characterization using the CogState Research Battery in first-episode psychosis patients. </w:t>
      </w:r>
      <w:r w:rsidRPr="005464B0">
        <w:rPr>
          <w:rFonts w:eastAsia="Times New Roman"/>
          <w:i/>
          <w:iCs/>
          <w:noProof/>
        </w:rPr>
        <w:t>Schizophrenia Research: Cognition</w:t>
      </w:r>
      <w:r w:rsidRPr="005464B0">
        <w:rPr>
          <w:rFonts w:eastAsia="Times New Roman"/>
          <w:noProof/>
        </w:rPr>
        <w:t xml:space="preserve"> </w:t>
      </w:r>
      <w:r w:rsidRPr="005464B0">
        <w:rPr>
          <w:rFonts w:eastAsia="Times New Roman"/>
          <w:b/>
          <w:bCs/>
          <w:noProof/>
        </w:rPr>
        <w:t>2</w:t>
      </w:r>
      <w:r w:rsidRPr="005464B0">
        <w:rPr>
          <w:rFonts w:eastAsia="Times New Roman"/>
          <w:noProof/>
        </w:rPr>
        <w:t>, 140–145.</w:t>
      </w:r>
    </w:p>
    <w:p w14:paraId="0F62B2D0"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Bodnar M, Malla AK, Makowski C, Chakravarty MM, Joober R, Lepage M</w:t>
      </w:r>
      <w:r w:rsidRPr="005464B0">
        <w:rPr>
          <w:rFonts w:eastAsia="Times New Roman"/>
          <w:noProof/>
        </w:rPr>
        <w:t xml:space="preserve"> (2016). The effect of second-generation antipsychotics on hippocampal volume in first episode of psychosis: longitudinal study. . The Royal College of Psychiatrists </w:t>
      </w:r>
      <w:r w:rsidRPr="005464B0">
        <w:rPr>
          <w:rFonts w:eastAsia="Times New Roman"/>
          <w:i/>
          <w:iCs/>
          <w:noProof/>
        </w:rPr>
        <w:t>British Journal of Psychiatry Open</w:t>
      </w:r>
      <w:r w:rsidRPr="005464B0">
        <w:rPr>
          <w:rFonts w:eastAsia="Times New Roman"/>
          <w:noProof/>
        </w:rPr>
        <w:t xml:space="preserve"> </w:t>
      </w:r>
      <w:r w:rsidRPr="005464B0">
        <w:rPr>
          <w:rFonts w:eastAsia="Times New Roman"/>
          <w:b/>
          <w:bCs/>
          <w:noProof/>
        </w:rPr>
        <w:t>2</w:t>
      </w:r>
      <w:r w:rsidRPr="005464B0">
        <w:rPr>
          <w:rFonts w:eastAsia="Times New Roman"/>
          <w:noProof/>
        </w:rPr>
        <w:t>, 139–146.</w:t>
      </w:r>
    </w:p>
    <w:p w14:paraId="58729FD1"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Cassidy CM, Rabinovitch M, Schmitz N, Joober R, Malla A</w:t>
      </w:r>
      <w:r w:rsidRPr="005464B0">
        <w:rPr>
          <w:rFonts w:eastAsia="Times New Roman"/>
          <w:noProof/>
        </w:rPr>
        <w:t xml:space="preserve"> (2010). A comparison study of multiple measures of adherence to antipsychotic medication in first-episode psychosis. </w:t>
      </w:r>
      <w:r w:rsidRPr="005464B0">
        <w:rPr>
          <w:rFonts w:eastAsia="Times New Roman"/>
          <w:i/>
          <w:iCs/>
          <w:noProof/>
        </w:rPr>
        <w:t>Journal of clinical psychopharmacology</w:t>
      </w:r>
      <w:r w:rsidRPr="005464B0">
        <w:rPr>
          <w:rFonts w:eastAsia="Times New Roman"/>
          <w:noProof/>
        </w:rPr>
        <w:t xml:space="preserve"> </w:t>
      </w:r>
      <w:r w:rsidRPr="005464B0">
        <w:rPr>
          <w:rFonts w:eastAsia="Times New Roman"/>
          <w:b/>
          <w:bCs/>
          <w:noProof/>
        </w:rPr>
        <w:t>30</w:t>
      </w:r>
      <w:r w:rsidRPr="005464B0">
        <w:rPr>
          <w:rFonts w:eastAsia="Times New Roman"/>
          <w:noProof/>
        </w:rPr>
        <w:t>, 64–7.</w:t>
      </w:r>
    </w:p>
    <w:p w14:paraId="4069EEFD"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First M, Spitzer R, Gibbon M, JBW W</w:t>
      </w:r>
      <w:r w:rsidRPr="005464B0">
        <w:rPr>
          <w:rFonts w:eastAsia="Times New Roman"/>
          <w:noProof/>
        </w:rPr>
        <w:t xml:space="preserve"> (1998). </w:t>
      </w:r>
      <w:r w:rsidRPr="005464B0">
        <w:rPr>
          <w:rFonts w:eastAsia="Times New Roman"/>
          <w:i/>
          <w:iCs/>
          <w:noProof/>
        </w:rPr>
        <w:t>Structured clinical interview for DSM-IV patient edition (SCID-I/P V and SCID-I/NP Version 2.0)</w:t>
      </w:r>
      <w:r w:rsidRPr="005464B0">
        <w:rPr>
          <w:rFonts w:eastAsia="Times New Roman"/>
          <w:noProof/>
        </w:rPr>
        <w:t>. New York: Biometric Research Department.</w:t>
      </w:r>
    </w:p>
    <w:p w14:paraId="3B02467D"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Hamilton M</w:t>
      </w:r>
      <w:r w:rsidRPr="005464B0">
        <w:rPr>
          <w:rFonts w:eastAsia="Times New Roman"/>
          <w:noProof/>
        </w:rPr>
        <w:t xml:space="preserve"> (1959). The assessment of anxiety states by rating. </w:t>
      </w:r>
      <w:r w:rsidRPr="005464B0">
        <w:rPr>
          <w:rFonts w:eastAsia="Times New Roman"/>
          <w:i/>
          <w:iCs/>
          <w:noProof/>
        </w:rPr>
        <w:t>British Journal of Medical Psychology</w:t>
      </w:r>
      <w:r w:rsidRPr="005464B0">
        <w:rPr>
          <w:rFonts w:eastAsia="Times New Roman"/>
          <w:noProof/>
        </w:rPr>
        <w:t xml:space="preserve"> </w:t>
      </w:r>
      <w:r w:rsidRPr="005464B0">
        <w:rPr>
          <w:rFonts w:eastAsia="Times New Roman"/>
          <w:b/>
          <w:bCs/>
          <w:noProof/>
        </w:rPr>
        <w:t>32</w:t>
      </w:r>
    </w:p>
    <w:p w14:paraId="6156F66F"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Hollingshead A</w:t>
      </w:r>
      <w:r w:rsidRPr="005464B0">
        <w:rPr>
          <w:rFonts w:eastAsia="Times New Roman"/>
          <w:noProof/>
        </w:rPr>
        <w:t xml:space="preserve"> (1965). </w:t>
      </w:r>
      <w:r w:rsidRPr="005464B0">
        <w:rPr>
          <w:rFonts w:eastAsia="Times New Roman"/>
          <w:i/>
          <w:iCs/>
          <w:noProof/>
        </w:rPr>
        <w:t>A Two-Factor Index of Social Position</w:t>
      </w:r>
      <w:r w:rsidRPr="005464B0">
        <w:rPr>
          <w:rFonts w:eastAsia="Times New Roman"/>
          <w:noProof/>
        </w:rPr>
        <w:t>. Yale University Press: New Haven, CN.</w:t>
      </w:r>
    </w:p>
    <w:p w14:paraId="6038F609"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June SK, Singh V, Jun KL, Lerch J, Ad-Dab’bagh Y, MacDonald D, Jong ML, Kim SI, Evans AC</w:t>
      </w:r>
      <w:r w:rsidRPr="005464B0">
        <w:rPr>
          <w:rFonts w:eastAsia="Times New Roman"/>
          <w:noProof/>
        </w:rPr>
        <w:t xml:space="preserve"> (2005). Automated 3-D extraction and evaluation of the inner and outer cortical surfaces using a Laplacian map and partial volume effect classification. </w:t>
      </w:r>
      <w:r w:rsidRPr="005464B0">
        <w:rPr>
          <w:rFonts w:eastAsia="Times New Roman"/>
          <w:i/>
          <w:iCs/>
          <w:noProof/>
        </w:rPr>
        <w:t>NeuroImage</w:t>
      </w:r>
      <w:r w:rsidRPr="005464B0">
        <w:rPr>
          <w:rFonts w:eastAsia="Times New Roman"/>
          <w:noProof/>
        </w:rPr>
        <w:t xml:space="preserve"> </w:t>
      </w:r>
      <w:r w:rsidRPr="005464B0">
        <w:rPr>
          <w:rFonts w:eastAsia="Times New Roman"/>
          <w:b/>
          <w:bCs/>
          <w:noProof/>
        </w:rPr>
        <w:t>27</w:t>
      </w:r>
      <w:r w:rsidRPr="005464B0">
        <w:rPr>
          <w:rFonts w:eastAsia="Times New Roman"/>
          <w:noProof/>
        </w:rPr>
        <w:t>, 210–221.</w:t>
      </w:r>
    </w:p>
    <w:p w14:paraId="04439ED3"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Leucht S, Samara M, Heres S, Patel MX, Woods SW, Davis JM</w:t>
      </w:r>
      <w:r w:rsidRPr="005464B0">
        <w:rPr>
          <w:rFonts w:eastAsia="Times New Roman"/>
          <w:noProof/>
        </w:rPr>
        <w:t xml:space="preserve"> (2014). Dose equivalents for second-generation antipsychotics: The minimum effective dose method. </w:t>
      </w:r>
      <w:r w:rsidRPr="005464B0">
        <w:rPr>
          <w:rFonts w:eastAsia="Times New Roman"/>
          <w:i/>
          <w:iCs/>
          <w:noProof/>
        </w:rPr>
        <w:t>Schizophrenia Bulletin</w:t>
      </w:r>
      <w:r w:rsidRPr="005464B0">
        <w:rPr>
          <w:rFonts w:eastAsia="Times New Roman"/>
          <w:noProof/>
        </w:rPr>
        <w:t xml:space="preserve"> </w:t>
      </w:r>
      <w:r w:rsidRPr="005464B0">
        <w:rPr>
          <w:rFonts w:eastAsia="Times New Roman"/>
          <w:b/>
          <w:bCs/>
          <w:noProof/>
        </w:rPr>
        <w:t>40</w:t>
      </w:r>
      <w:r w:rsidRPr="005464B0">
        <w:rPr>
          <w:rFonts w:eastAsia="Times New Roman"/>
          <w:noProof/>
        </w:rPr>
        <w:t>, 314–326.</w:t>
      </w:r>
    </w:p>
    <w:p w14:paraId="3130B92E"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Lewis JD, Evans AC, Tohka J</w:t>
      </w:r>
      <w:r w:rsidRPr="005464B0">
        <w:rPr>
          <w:rFonts w:eastAsia="Times New Roman"/>
          <w:noProof/>
        </w:rPr>
        <w:t xml:space="preserve"> (2018). T1 white/gray contrast as a predictor of chronological age, and an index of cognitive performance. </w:t>
      </w:r>
      <w:r w:rsidRPr="005464B0">
        <w:rPr>
          <w:rFonts w:eastAsia="Times New Roman"/>
          <w:i/>
          <w:iCs/>
          <w:noProof/>
        </w:rPr>
        <w:t>NeuroImage</w:t>
      </w:r>
      <w:r w:rsidRPr="005464B0">
        <w:rPr>
          <w:rFonts w:eastAsia="Times New Roman"/>
          <w:noProof/>
        </w:rPr>
        <w:t xml:space="preserve"> </w:t>
      </w:r>
      <w:r w:rsidRPr="005464B0">
        <w:rPr>
          <w:rFonts w:eastAsia="Times New Roman"/>
          <w:b/>
          <w:bCs/>
          <w:noProof/>
        </w:rPr>
        <w:t>173</w:t>
      </w:r>
      <w:r w:rsidRPr="005464B0">
        <w:rPr>
          <w:rFonts w:eastAsia="Times New Roman"/>
          <w:noProof/>
        </w:rPr>
        <w:t>, 341–450.</w:t>
      </w:r>
    </w:p>
    <w:p w14:paraId="353CD9DA"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Oldfield R</w:t>
      </w:r>
      <w:r w:rsidRPr="005464B0">
        <w:rPr>
          <w:rFonts w:eastAsia="Times New Roman"/>
          <w:noProof/>
        </w:rPr>
        <w:t xml:space="preserve"> (1971). The assessment and analysis of handedness: the Edinburgh inventory. </w:t>
      </w:r>
      <w:r w:rsidRPr="005464B0">
        <w:rPr>
          <w:rFonts w:eastAsia="Times New Roman"/>
          <w:i/>
          <w:iCs/>
          <w:noProof/>
        </w:rPr>
        <w:t>Neuropsychologia</w:t>
      </w:r>
      <w:r w:rsidRPr="005464B0">
        <w:rPr>
          <w:rFonts w:eastAsia="Times New Roman"/>
          <w:noProof/>
        </w:rPr>
        <w:t xml:space="preserve"> </w:t>
      </w:r>
      <w:r w:rsidRPr="005464B0">
        <w:rPr>
          <w:rFonts w:eastAsia="Times New Roman"/>
          <w:b/>
          <w:bCs/>
          <w:noProof/>
        </w:rPr>
        <w:t>9</w:t>
      </w:r>
      <w:r w:rsidRPr="005464B0">
        <w:rPr>
          <w:rFonts w:eastAsia="Times New Roman"/>
          <w:noProof/>
        </w:rPr>
        <w:t>, 97–113.</w:t>
      </w:r>
    </w:p>
    <w:p w14:paraId="7A7E4640"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Pietrzak RH, Olver J, Norman T, Piskulic D, Maruff P, Snyder PJ</w:t>
      </w:r>
      <w:r w:rsidRPr="005464B0">
        <w:rPr>
          <w:rFonts w:eastAsia="Times New Roman"/>
          <w:noProof/>
        </w:rPr>
        <w:t xml:space="preserve"> (2009). A comparison of </w:t>
      </w:r>
      <w:r w:rsidRPr="005464B0">
        <w:rPr>
          <w:rFonts w:eastAsia="Times New Roman"/>
          <w:noProof/>
        </w:rPr>
        <w:lastRenderedPageBreak/>
        <w:t xml:space="preserve">the CogState Schizophrenia Battery and the Measurement and Treatment Research to Improve Cognition in Schizophrenia (MATRICS) Battery in assessing cognitive impairment in chronic schizophrenia. </w:t>
      </w:r>
      <w:r w:rsidRPr="005464B0">
        <w:rPr>
          <w:rFonts w:eastAsia="Times New Roman"/>
          <w:i/>
          <w:iCs/>
          <w:noProof/>
        </w:rPr>
        <w:t>Journal of Clinical and Experimental Neuropsychology</w:t>
      </w:r>
      <w:r w:rsidRPr="005464B0">
        <w:rPr>
          <w:rFonts w:eastAsia="Times New Roman"/>
          <w:noProof/>
        </w:rPr>
        <w:t xml:space="preserve"> </w:t>
      </w:r>
      <w:r w:rsidRPr="005464B0">
        <w:rPr>
          <w:rFonts w:eastAsia="Times New Roman"/>
          <w:b/>
          <w:bCs/>
          <w:noProof/>
        </w:rPr>
        <w:t>31</w:t>
      </w:r>
      <w:r w:rsidRPr="005464B0">
        <w:rPr>
          <w:rFonts w:eastAsia="Times New Roman"/>
          <w:noProof/>
        </w:rPr>
        <w:t>, 848–859.</w:t>
      </w:r>
    </w:p>
    <w:p w14:paraId="5959FF15"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Roiz-Santiáñez R, Tordesillas-Gutiérrez D, Ortíz-García de la Foz V, Ayesa-Arriola R, Gutiérrez A, Tabarés-Seisdedos R, Vázquez-Barquero JL, Crespo-Facorro B</w:t>
      </w:r>
      <w:r w:rsidRPr="005464B0">
        <w:rPr>
          <w:rFonts w:eastAsia="Times New Roman"/>
          <w:noProof/>
        </w:rPr>
        <w:t xml:space="preserve"> (2012). Effect of antipsychotic drugs on cortical thickness. A randomized controlled one-year follow-up study of haloperidol, risperidone and olanzapine. . Elsevier B.V. </w:t>
      </w:r>
      <w:r w:rsidRPr="005464B0">
        <w:rPr>
          <w:rFonts w:eastAsia="Times New Roman"/>
          <w:i/>
          <w:iCs/>
          <w:noProof/>
        </w:rPr>
        <w:t>Schizophrenia Research</w:t>
      </w:r>
      <w:r w:rsidRPr="005464B0">
        <w:rPr>
          <w:rFonts w:eastAsia="Times New Roman"/>
          <w:noProof/>
        </w:rPr>
        <w:t xml:space="preserve"> </w:t>
      </w:r>
      <w:r w:rsidRPr="005464B0">
        <w:rPr>
          <w:rFonts w:eastAsia="Times New Roman"/>
          <w:b/>
          <w:bCs/>
          <w:noProof/>
        </w:rPr>
        <w:t>141</w:t>
      </w:r>
      <w:r w:rsidRPr="005464B0">
        <w:rPr>
          <w:rFonts w:eastAsia="Times New Roman"/>
          <w:noProof/>
        </w:rPr>
        <w:t>, 22–28.</w:t>
      </w:r>
    </w:p>
    <w:p w14:paraId="6C9BAFF4"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Vita A, De Peri L, Deste G, Barlati S, Sacchetti E</w:t>
      </w:r>
      <w:r w:rsidRPr="005464B0">
        <w:rPr>
          <w:rFonts w:eastAsia="Times New Roman"/>
          <w:noProof/>
        </w:rPr>
        <w:t xml:space="preserve"> (2015). The Effect of Antipsychotic Treatment on Cortical Gray Matter Changes in Schizophrenia: Does the Class Matter? A Meta-analysis and Meta-regression of Longitudinal Magnetic Resonance Imaging Studies. </w:t>
      </w:r>
      <w:r w:rsidRPr="005464B0">
        <w:rPr>
          <w:rFonts w:eastAsia="Times New Roman"/>
          <w:i/>
          <w:iCs/>
          <w:noProof/>
        </w:rPr>
        <w:t>Biological Psychiatry</w:t>
      </w:r>
      <w:r w:rsidRPr="005464B0">
        <w:rPr>
          <w:rFonts w:eastAsia="Times New Roman"/>
          <w:noProof/>
        </w:rPr>
        <w:t xml:space="preserve"> </w:t>
      </w:r>
      <w:r w:rsidRPr="005464B0">
        <w:rPr>
          <w:rFonts w:eastAsia="Times New Roman"/>
          <w:b/>
          <w:bCs/>
          <w:noProof/>
        </w:rPr>
        <w:t>78</w:t>
      </w:r>
    </w:p>
    <w:p w14:paraId="2BBA0FFD" w14:textId="77777777" w:rsidR="005464B0" w:rsidRPr="005464B0" w:rsidRDefault="005464B0" w:rsidP="005464B0">
      <w:pPr>
        <w:widowControl w:val="0"/>
        <w:autoSpaceDE w:val="0"/>
        <w:autoSpaceDN w:val="0"/>
        <w:adjustRightInd w:val="0"/>
        <w:rPr>
          <w:rFonts w:eastAsia="Times New Roman"/>
          <w:noProof/>
        </w:rPr>
      </w:pPr>
      <w:r w:rsidRPr="005464B0">
        <w:rPr>
          <w:rFonts w:eastAsia="Times New Roman"/>
          <w:b/>
          <w:bCs/>
          <w:noProof/>
        </w:rPr>
        <w:t>Weschler D</w:t>
      </w:r>
      <w:r w:rsidRPr="005464B0">
        <w:rPr>
          <w:rFonts w:eastAsia="Times New Roman"/>
          <w:noProof/>
        </w:rPr>
        <w:t xml:space="preserve"> (1997). </w:t>
      </w:r>
      <w:r w:rsidRPr="005464B0">
        <w:rPr>
          <w:rFonts w:eastAsia="Times New Roman"/>
          <w:i/>
          <w:iCs/>
          <w:noProof/>
        </w:rPr>
        <w:t>Weschler Adult Intelligence Scale - 3rd Edition</w:t>
      </w:r>
      <w:r w:rsidRPr="005464B0">
        <w:rPr>
          <w:rFonts w:eastAsia="Times New Roman"/>
          <w:noProof/>
        </w:rPr>
        <w:t>. The Psychological Corporation: San Antonio, TX.</w:t>
      </w:r>
    </w:p>
    <w:p w14:paraId="1C042990" w14:textId="77777777" w:rsidR="005464B0" w:rsidRPr="005464B0" w:rsidRDefault="005464B0" w:rsidP="005464B0">
      <w:pPr>
        <w:widowControl w:val="0"/>
        <w:autoSpaceDE w:val="0"/>
        <w:autoSpaceDN w:val="0"/>
        <w:adjustRightInd w:val="0"/>
        <w:rPr>
          <w:noProof/>
        </w:rPr>
      </w:pPr>
      <w:r w:rsidRPr="005464B0">
        <w:rPr>
          <w:rFonts w:eastAsia="Times New Roman"/>
          <w:b/>
          <w:bCs/>
          <w:noProof/>
        </w:rPr>
        <w:t>Weschler D</w:t>
      </w:r>
      <w:r w:rsidRPr="005464B0">
        <w:rPr>
          <w:rFonts w:eastAsia="Times New Roman"/>
          <w:noProof/>
        </w:rPr>
        <w:t xml:space="preserve"> (1999). </w:t>
      </w:r>
      <w:r w:rsidRPr="005464B0">
        <w:rPr>
          <w:rFonts w:eastAsia="Times New Roman"/>
          <w:i/>
          <w:iCs/>
          <w:noProof/>
        </w:rPr>
        <w:t>Weschler Abbreviated Scale of Intelligence</w:t>
      </w:r>
      <w:r w:rsidRPr="005464B0">
        <w:rPr>
          <w:rFonts w:eastAsia="Times New Roman"/>
          <w:noProof/>
        </w:rPr>
        <w:t>. The Psychological Corporation: San Antonio, TX.</w:t>
      </w:r>
    </w:p>
    <w:p w14:paraId="66BB4C2E" w14:textId="77777777" w:rsidR="00A05F14" w:rsidRPr="008E3B2E" w:rsidRDefault="002138D0" w:rsidP="005464B0">
      <w:pPr>
        <w:widowControl w:val="0"/>
        <w:autoSpaceDE w:val="0"/>
        <w:autoSpaceDN w:val="0"/>
        <w:adjustRightInd w:val="0"/>
        <w:ind w:left="640" w:hanging="640"/>
      </w:pPr>
      <w:r>
        <w:fldChar w:fldCharType="end"/>
      </w:r>
    </w:p>
    <w:sectPr w:rsidR="00A05F14" w:rsidRPr="008E3B2E">
      <w:pgSz w:w="12240" w:h="15840"/>
      <w:pgMar w:top="1440" w:right="1440" w:bottom="1440" w:left="1440" w:header="0" w:footer="0" w:gutter="0"/>
      <w:cols w:space="720"/>
      <w:formProt w:val="0"/>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5198C" w14:textId="77777777" w:rsidR="00072157" w:rsidRDefault="00072157" w:rsidP="00AD5EBE">
      <w:r>
        <w:separator/>
      </w:r>
    </w:p>
  </w:endnote>
  <w:endnote w:type="continuationSeparator" w:id="0">
    <w:p w14:paraId="700B3501" w14:textId="77777777" w:rsidR="00072157" w:rsidRDefault="00072157" w:rsidP="00AD5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MS Gothic">
    <w:panose1 w:val="020B0609070205080204"/>
    <w:charset w:val="80"/>
    <w:family w:val="auto"/>
    <w:pitch w:val="variable"/>
    <w:sig w:usb0="E00002FF" w:usb1="6AC7FDFB" w:usb2="08000012" w:usb3="00000000" w:csb0="0002009F" w:csb1="00000000"/>
  </w:font>
  <w:font w:name="Symbol">
    <w:panose1 w:val="05050102010706020507"/>
    <w:charset w:val="02"/>
    <w:family w:val="auto"/>
    <w:pitch w:val="variable"/>
    <w:sig w:usb0="00000000" w:usb1="10000000" w:usb2="00000000" w:usb3="00000000" w:csb0="80000000" w:csb1="00000000"/>
  </w:font>
  <w:font w:name="Lucida Grande">
    <w:altName w:val="Arial"/>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072D5" w14:textId="77777777" w:rsidR="000D7D09" w:rsidRDefault="000D7D09" w:rsidP="00C1189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423E80" w14:textId="77777777" w:rsidR="000D7D09" w:rsidRDefault="000D7D09" w:rsidP="00AD5E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C59AF" w14:textId="77777777" w:rsidR="000D7D09" w:rsidRPr="00673ACA" w:rsidRDefault="000D7D09" w:rsidP="00AD5EBE">
    <w:pPr>
      <w:pStyle w:val="Footer"/>
      <w:framePr w:wrap="none" w:vAnchor="text" w:hAnchor="page" w:x="10522" w:y="-713"/>
      <w:rPr>
        <w:rStyle w:val="PageNumber"/>
      </w:rPr>
    </w:pPr>
    <w:r w:rsidRPr="00673ACA">
      <w:rPr>
        <w:rStyle w:val="PageNumber"/>
      </w:rPr>
      <w:fldChar w:fldCharType="begin"/>
    </w:r>
    <w:r w:rsidRPr="00673ACA">
      <w:rPr>
        <w:rStyle w:val="PageNumber"/>
      </w:rPr>
      <w:instrText xml:space="preserve">PAGE  </w:instrText>
    </w:r>
    <w:r w:rsidRPr="00673ACA">
      <w:rPr>
        <w:rStyle w:val="PageNumber"/>
      </w:rPr>
      <w:fldChar w:fldCharType="separate"/>
    </w:r>
    <w:r w:rsidR="00DC5111">
      <w:rPr>
        <w:rStyle w:val="PageNumber"/>
        <w:noProof/>
      </w:rPr>
      <w:t>3</w:t>
    </w:r>
    <w:r w:rsidRPr="00673ACA">
      <w:rPr>
        <w:rStyle w:val="PageNumber"/>
      </w:rPr>
      <w:fldChar w:fldCharType="end"/>
    </w:r>
  </w:p>
  <w:p w14:paraId="015990CE" w14:textId="77777777" w:rsidR="000D7D09" w:rsidRDefault="000D7D09" w:rsidP="00AD5EBE">
    <w:pPr>
      <w:pStyle w:val="Footer"/>
      <w:framePr w:h="1175" w:hRule="exact" w:wrap="auto" w:hAnchor="text" w:y="-88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DC93D" w14:textId="77777777" w:rsidR="00072157" w:rsidRDefault="00072157" w:rsidP="00AD5EBE">
      <w:r>
        <w:separator/>
      </w:r>
    </w:p>
  </w:footnote>
  <w:footnote w:type="continuationSeparator" w:id="0">
    <w:p w14:paraId="252C2F32" w14:textId="77777777" w:rsidR="00072157" w:rsidRDefault="00072157" w:rsidP="00AD5E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BAE61" w14:textId="77777777" w:rsidR="000D7D09" w:rsidRDefault="000D7D09">
    <w:pPr>
      <w:pStyle w:val="Header"/>
      <w:rPr>
        <w:lang w:val="en-CA"/>
      </w:rPr>
    </w:pPr>
  </w:p>
  <w:p w14:paraId="402D7F27" w14:textId="77777777" w:rsidR="000D7D09" w:rsidRDefault="000D7D09">
    <w:pPr>
      <w:pStyle w:val="Header"/>
      <w:rPr>
        <w:lang w:val="en-CA"/>
      </w:rPr>
    </w:pPr>
  </w:p>
  <w:p w14:paraId="2C73D2B0" w14:textId="77777777" w:rsidR="000D7D09" w:rsidRPr="0067729D" w:rsidRDefault="000D7D09">
    <w:pPr>
      <w:pStyle w:val="Header"/>
      <w:rPr>
        <w:lang w:val="en-CA"/>
      </w:rPr>
    </w:pPr>
    <w:r w:rsidRPr="0067729D">
      <w:rPr>
        <w:lang w:val="en-CA"/>
      </w:rPr>
      <w:t>Supplement</w:t>
    </w:r>
    <w:r>
      <w:rPr>
        <w:lang w:val="en-CA"/>
      </w:rPr>
      <w:t>ary Material</w:t>
    </w:r>
    <w:r w:rsidRPr="0067729D">
      <w:rPr>
        <w:lang w:val="en-CA"/>
      </w:rPr>
      <w:t xml:space="preserve"> </w:t>
    </w:r>
    <w:r>
      <w:rPr>
        <w:lang w:val="en-CA"/>
      </w:rPr>
      <w:t xml:space="preserve">– </w:t>
    </w:r>
    <w:r>
      <w:rPr>
        <w:i/>
        <w:lang w:val="en-CA"/>
      </w:rPr>
      <w:t>Verbal Memory and Expressivity in Early Psychosis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379AF"/>
    <w:multiLevelType w:val="multilevel"/>
    <w:tmpl w:val="FD728BA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6CE2264"/>
    <w:multiLevelType w:val="multilevel"/>
    <w:tmpl w:val="853841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867137C"/>
    <w:multiLevelType w:val="multilevel"/>
    <w:tmpl w:val="853841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oNotTrackMoves/>
  <w:defaultTabStop w:val="720"/>
  <w:drawingGridHorizontalSpacing w:val="108"/>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5F14"/>
    <w:rsid w:val="0000258A"/>
    <w:rsid w:val="00015756"/>
    <w:rsid w:val="00033175"/>
    <w:rsid w:val="00062489"/>
    <w:rsid w:val="00063F9E"/>
    <w:rsid w:val="000708E2"/>
    <w:rsid w:val="00072157"/>
    <w:rsid w:val="000850BA"/>
    <w:rsid w:val="00094643"/>
    <w:rsid w:val="00095B3B"/>
    <w:rsid w:val="000A542C"/>
    <w:rsid w:val="000A7ACF"/>
    <w:rsid w:val="000D4FEC"/>
    <w:rsid w:val="000D7D09"/>
    <w:rsid w:val="000E7483"/>
    <w:rsid w:val="000E7CDF"/>
    <w:rsid w:val="001137FF"/>
    <w:rsid w:val="0012031D"/>
    <w:rsid w:val="001253F4"/>
    <w:rsid w:val="00125CE9"/>
    <w:rsid w:val="00130EA7"/>
    <w:rsid w:val="0015491D"/>
    <w:rsid w:val="00166C3B"/>
    <w:rsid w:val="001763B4"/>
    <w:rsid w:val="00181878"/>
    <w:rsid w:val="0019583D"/>
    <w:rsid w:val="001B401D"/>
    <w:rsid w:val="001B4EE3"/>
    <w:rsid w:val="001C04EE"/>
    <w:rsid w:val="001D51BF"/>
    <w:rsid w:val="001E708E"/>
    <w:rsid w:val="001F58CF"/>
    <w:rsid w:val="00200C72"/>
    <w:rsid w:val="0020410B"/>
    <w:rsid w:val="002041B3"/>
    <w:rsid w:val="002138D0"/>
    <w:rsid w:val="00237AE6"/>
    <w:rsid w:val="00241D38"/>
    <w:rsid w:val="00246CC1"/>
    <w:rsid w:val="002527F2"/>
    <w:rsid w:val="00255F63"/>
    <w:rsid w:val="00256B15"/>
    <w:rsid w:val="0026225D"/>
    <w:rsid w:val="002814CE"/>
    <w:rsid w:val="00287DF8"/>
    <w:rsid w:val="00295A76"/>
    <w:rsid w:val="00297D4A"/>
    <w:rsid w:val="002B1FD5"/>
    <w:rsid w:val="002C4585"/>
    <w:rsid w:val="002C5FF4"/>
    <w:rsid w:val="002E7BF8"/>
    <w:rsid w:val="002F55F9"/>
    <w:rsid w:val="002F75D7"/>
    <w:rsid w:val="002F7D39"/>
    <w:rsid w:val="002F7D71"/>
    <w:rsid w:val="00307F80"/>
    <w:rsid w:val="00313ABC"/>
    <w:rsid w:val="00326717"/>
    <w:rsid w:val="00330CE6"/>
    <w:rsid w:val="00331433"/>
    <w:rsid w:val="00337437"/>
    <w:rsid w:val="003402DA"/>
    <w:rsid w:val="003412C0"/>
    <w:rsid w:val="003542C1"/>
    <w:rsid w:val="0035436E"/>
    <w:rsid w:val="00354D7B"/>
    <w:rsid w:val="003558FA"/>
    <w:rsid w:val="0036297B"/>
    <w:rsid w:val="00387691"/>
    <w:rsid w:val="00392EB0"/>
    <w:rsid w:val="003C46FE"/>
    <w:rsid w:val="003D0449"/>
    <w:rsid w:val="003D660C"/>
    <w:rsid w:val="003F483E"/>
    <w:rsid w:val="0040556F"/>
    <w:rsid w:val="00412372"/>
    <w:rsid w:val="004162FC"/>
    <w:rsid w:val="0043485F"/>
    <w:rsid w:val="00440116"/>
    <w:rsid w:val="00447305"/>
    <w:rsid w:val="004515F6"/>
    <w:rsid w:val="00456A9A"/>
    <w:rsid w:val="00461DB5"/>
    <w:rsid w:val="004632FC"/>
    <w:rsid w:val="00471155"/>
    <w:rsid w:val="00480049"/>
    <w:rsid w:val="004802BF"/>
    <w:rsid w:val="004831AF"/>
    <w:rsid w:val="0048792F"/>
    <w:rsid w:val="004935EA"/>
    <w:rsid w:val="00495141"/>
    <w:rsid w:val="004A33A7"/>
    <w:rsid w:val="004A3E90"/>
    <w:rsid w:val="004A7A16"/>
    <w:rsid w:val="004B4514"/>
    <w:rsid w:val="004C2E1C"/>
    <w:rsid w:val="004D4AAC"/>
    <w:rsid w:val="004D788F"/>
    <w:rsid w:val="0053026C"/>
    <w:rsid w:val="00532D80"/>
    <w:rsid w:val="005464B0"/>
    <w:rsid w:val="005657EE"/>
    <w:rsid w:val="00575976"/>
    <w:rsid w:val="0058416F"/>
    <w:rsid w:val="005A0C40"/>
    <w:rsid w:val="005A4852"/>
    <w:rsid w:val="005C326A"/>
    <w:rsid w:val="005C3A19"/>
    <w:rsid w:val="005C3A54"/>
    <w:rsid w:val="005D116A"/>
    <w:rsid w:val="005D2662"/>
    <w:rsid w:val="005D54F4"/>
    <w:rsid w:val="005D6C8E"/>
    <w:rsid w:val="005F0EAD"/>
    <w:rsid w:val="00604E1C"/>
    <w:rsid w:val="006050FA"/>
    <w:rsid w:val="006174C3"/>
    <w:rsid w:val="0062241D"/>
    <w:rsid w:val="006305CF"/>
    <w:rsid w:val="00633D1A"/>
    <w:rsid w:val="00634F2B"/>
    <w:rsid w:val="00635448"/>
    <w:rsid w:val="00640155"/>
    <w:rsid w:val="006512A3"/>
    <w:rsid w:val="006634D4"/>
    <w:rsid w:val="00673ACA"/>
    <w:rsid w:val="0067729D"/>
    <w:rsid w:val="00682830"/>
    <w:rsid w:val="00683E7A"/>
    <w:rsid w:val="00686E12"/>
    <w:rsid w:val="006B259B"/>
    <w:rsid w:val="006B266F"/>
    <w:rsid w:val="006D0EA9"/>
    <w:rsid w:val="006D143B"/>
    <w:rsid w:val="006D6BE7"/>
    <w:rsid w:val="006E4359"/>
    <w:rsid w:val="006F48B3"/>
    <w:rsid w:val="006F61EB"/>
    <w:rsid w:val="0070044B"/>
    <w:rsid w:val="0071420D"/>
    <w:rsid w:val="007165CE"/>
    <w:rsid w:val="00716ACE"/>
    <w:rsid w:val="00717CD7"/>
    <w:rsid w:val="00724DAE"/>
    <w:rsid w:val="0074398D"/>
    <w:rsid w:val="0075728E"/>
    <w:rsid w:val="00760F0F"/>
    <w:rsid w:val="00765F2A"/>
    <w:rsid w:val="007972A4"/>
    <w:rsid w:val="007C2CFB"/>
    <w:rsid w:val="007C3A15"/>
    <w:rsid w:val="007E4974"/>
    <w:rsid w:val="007F4F8A"/>
    <w:rsid w:val="00806640"/>
    <w:rsid w:val="00815287"/>
    <w:rsid w:val="008218B2"/>
    <w:rsid w:val="008237BF"/>
    <w:rsid w:val="00826FD5"/>
    <w:rsid w:val="008368BA"/>
    <w:rsid w:val="008506E5"/>
    <w:rsid w:val="0085096C"/>
    <w:rsid w:val="00851810"/>
    <w:rsid w:val="00852E8A"/>
    <w:rsid w:val="00855E58"/>
    <w:rsid w:val="00861040"/>
    <w:rsid w:val="00870EA3"/>
    <w:rsid w:val="00886F9D"/>
    <w:rsid w:val="0089353C"/>
    <w:rsid w:val="008B37D9"/>
    <w:rsid w:val="008B6881"/>
    <w:rsid w:val="008B6C58"/>
    <w:rsid w:val="008C3B8A"/>
    <w:rsid w:val="008C611C"/>
    <w:rsid w:val="008C6235"/>
    <w:rsid w:val="008D7980"/>
    <w:rsid w:val="008D7F3D"/>
    <w:rsid w:val="008E3B2E"/>
    <w:rsid w:val="008F7F53"/>
    <w:rsid w:val="00915593"/>
    <w:rsid w:val="00917D85"/>
    <w:rsid w:val="009240C5"/>
    <w:rsid w:val="00934DD2"/>
    <w:rsid w:val="0095097C"/>
    <w:rsid w:val="0095425C"/>
    <w:rsid w:val="00975FBF"/>
    <w:rsid w:val="00983223"/>
    <w:rsid w:val="009853B9"/>
    <w:rsid w:val="00993906"/>
    <w:rsid w:val="0099509B"/>
    <w:rsid w:val="009955FD"/>
    <w:rsid w:val="00995C3D"/>
    <w:rsid w:val="00996418"/>
    <w:rsid w:val="009A4553"/>
    <w:rsid w:val="009A6068"/>
    <w:rsid w:val="009B7A51"/>
    <w:rsid w:val="009B7F06"/>
    <w:rsid w:val="009D4F4B"/>
    <w:rsid w:val="009F282F"/>
    <w:rsid w:val="009F3594"/>
    <w:rsid w:val="009F461A"/>
    <w:rsid w:val="00A00508"/>
    <w:rsid w:val="00A02C1A"/>
    <w:rsid w:val="00A05F14"/>
    <w:rsid w:val="00A06256"/>
    <w:rsid w:val="00A074D6"/>
    <w:rsid w:val="00A131A1"/>
    <w:rsid w:val="00A26400"/>
    <w:rsid w:val="00A40962"/>
    <w:rsid w:val="00A52C35"/>
    <w:rsid w:val="00A61FD5"/>
    <w:rsid w:val="00A6479D"/>
    <w:rsid w:val="00A66160"/>
    <w:rsid w:val="00A666E0"/>
    <w:rsid w:val="00A87D58"/>
    <w:rsid w:val="00AA51F1"/>
    <w:rsid w:val="00AC3851"/>
    <w:rsid w:val="00AD12FA"/>
    <w:rsid w:val="00AD5EBE"/>
    <w:rsid w:val="00AE0B52"/>
    <w:rsid w:val="00AE4243"/>
    <w:rsid w:val="00AF5EB9"/>
    <w:rsid w:val="00AF7D3A"/>
    <w:rsid w:val="00B036E0"/>
    <w:rsid w:val="00B1144D"/>
    <w:rsid w:val="00B12D57"/>
    <w:rsid w:val="00B60943"/>
    <w:rsid w:val="00BA1C31"/>
    <w:rsid w:val="00BA610F"/>
    <w:rsid w:val="00BA79E4"/>
    <w:rsid w:val="00BB08E7"/>
    <w:rsid w:val="00BC45F3"/>
    <w:rsid w:val="00BD50FC"/>
    <w:rsid w:val="00BD5A6A"/>
    <w:rsid w:val="00BD7D3F"/>
    <w:rsid w:val="00BF7D8E"/>
    <w:rsid w:val="00C014F0"/>
    <w:rsid w:val="00C01D63"/>
    <w:rsid w:val="00C033F5"/>
    <w:rsid w:val="00C049D7"/>
    <w:rsid w:val="00C04A1B"/>
    <w:rsid w:val="00C07614"/>
    <w:rsid w:val="00C1189D"/>
    <w:rsid w:val="00C30B17"/>
    <w:rsid w:val="00C34891"/>
    <w:rsid w:val="00C62B50"/>
    <w:rsid w:val="00C75FFE"/>
    <w:rsid w:val="00CA4492"/>
    <w:rsid w:val="00CA73EA"/>
    <w:rsid w:val="00CC5A82"/>
    <w:rsid w:val="00CD535D"/>
    <w:rsid w:val="00CE40C4"/>
    <w:rsid w:val="00CF022A"/>
    <w:rsid w:val="00CF389C"/>
    <w:rsid w:val="00CF3D4E"/>
    <w:rsid w:val="00D022FE"/>
    <w:rsid w:val="00D026CD"/>
    <w:rsid w:val="00D17F3F"/>
    <w:rsid w:val="00D27B8D"/>
    <w:rsid w:val="00D356D7"/>
    <w:rsid w:val="00D368FB"/>
    <w:rsid w:val="00D4107A"/>
    <w:rsid w:val="00D56C54"/>
    <w:rsid w:val="00D76A9E"/>
    <w:rsid w:val="00D9144E"/>
    <w:rsid w:val="00DB1D67"/>
    <w:rsid w:val="00DB5022"/>
    <w:rsid w:val="00DB6B56"/>
    <w:rsid w:val="00DC5111"/>
    <w:rsid w:val="00DD0D55"/>
    <w:rsid w:val="00DD1AAF"/>
    <w:rsid w:val="00DE3793"/>
    <w:rsid w:val="00DE5CBA"/>
    <w:rsid w:val="00DF3442"/>
    <w:rsid w:val="00E23BC8"/>
    <w:rsid w:val="00E307C5"/>
    <w:rsid w:val="00E30BB9"/>
    <w:rsid w:val="00E3289E"/>
    <w:rsid w:val="00E34DDF"/>
    <w:rsid w:val="00E46DC3"/>
    <w:rsid w:val="00E82BDC"/>
    <w:rsid w:val="00EA081B"/>
    <w:rsid w:val="00EA51A3"/>
    <w:rsid w:val="00EB23FD"/>
    <w:rsid w:val="00EB3665"/>
    <w:rsid w:val="00ED3E8E"/>
    <w:rsid w:val="00ED6E58"/>
    <w:rsid w:val="00F04008"/>
    <w:rsid w:val="00F30A71"/>
    <w:rsid w:val="00F41939"/>
    <w:rsid w:val="00F43AFC"/>
    <w:rsid w:val="00F50223"/>
    <w:rsid w:val="00F77B7B"/>
    <w:rsid w:val="00F92828"/>
    <w:rsid w:val="00F929AD"/>
    <w:rsid w:val="00F9318D"/>
    <w:rsid w:val="00FA1B45"/>
    <w:rsid w:val="00FA625A"/>
    <w:rsid w:val="00FB2B2D"/>
    <w:rsid w:val="00FB717F"/>
    <w:rsid w:val="00FC2E2D"/>
    <w:rsid w:val="00FE2457"/>
    <w:rsid w:val="00FE4B5D"/>
    <w:rsid w:val="00FF2157"/>
    <w:rsid w:val="00FF5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B13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7D09"/>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qFormat/>
    <w:rsid w:val="00882D6F"/>
    <w:rPr>
      <w:sz w:val="18"/>
      <w:szCs w:val="18"/>
    </w:rPr>
  </w:style>
  <w:style w:type="character" w:customStyle="1" w:styleId="CommentTextChar">
    <w:name w:val="Comment Text Char"/>
    <w:basedOn w:val="DefaultParagraphFont"/>
    <w:link w:val="CommentText"/>
    <w:qFormat/>
    <w:rsid w:val="00882D6F"/>
  </w:style>
  <w:style w:type="character" w:customStyle="1" w:styleId="CommentSubjectChar">
    <w:name w:val="Comment Subject Char"/>
    <w:link w:val="CommentSubject"/>
    <w:uiPriority w:val="99"/>
    <w:semiHidden/>
    <w:qFormat/>
    <w:rsid w:val="00882D6F"/>
    <w:rPr>
      <w:b/>
      <w:bCs/>
      <w:sz w:val="20"/>
      <w:szCs w:val="20"/>
    </w:rPr>
  </w:style>
  <w:style w:type="character" w:customStyle="1" w:styleId="BalloonTextChar">
    <w:name w:val="Balloon Text Char"/>
    <w:link w:val="BalloonText"/>
    <w:uiPriority w:val="99"/>
    <w:semiHidden/>
    <w:qFormat/>
    <w:rsid w:val="00882D6F"/>
    <w:rPr>
      <w:rFonts w:ascii="Times New Roman" w:hAnsi="Times New Roman" w:cs="Times New Roman"/>
      <w:sz w:val="18"/>
      <w:szCs w:val="18"/>
    </w:rPr>
  </w:style>
  <w:style w:type="character" w:customStyle="1" w:styleId="InternetLink">
    <w:name w:val="Internet Link"/>
    <w:unhideWhenUsed/>
    <w:rsid w:val="006545F7"/>
    <w:rPr>
      <w:color w:val="0563C1"/>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BB2863"/>
    <w:pPr>
      <w:ind w:left="720"/>
      <w:contextualSpacing/>
    </w:pPr>
  </w:style>
  <w:style w:type="paragraph" w:styleId="CommentText">
    <w:name w:val="annotation text"/>
    <w:basedOn w:val="Normal"/>
    <w:link w:val="CommentTextChar"/>
    <w:unhideWhenUsed/>
    <w:qFormat/>
    <w:rsid w:val="00882D6F"/>
  </w:style>
  <w:style w:type="paragraph" w:styleId="CommentSubject">
    <w:name w:val="annotation subject"/>
    <w:basedOn w:val="CommentText"/>
    <w:link w:val="CommentSubjectChar"/>
    <w:uiPriority w:val="99"/>
    <w:semiHidden/>
    <w:unhideWhenUsed/>
    <w:qFormat/>
    <w:rsid w:val="00882D6F"/>
    <w:rPr>
      <w:b/>
      <w:bCs/>
      <w:sz w:val="20"/>
      <w:szCs w:val="20"/>
    </w:rPr>
  </w:style>
  <w:style w:type="paragraph" w:styleId="BalloonText">
    <w:name w:val="Balloon Text"/>
    <w:basedOn w:val="Normal"/>
    <w:link w:val="BalloonTextChar"/>
    <w:uiPriority w:val="99"/>
    <w:semiHidden/>
    <w:unhideWhenUsed/>
    <w:qFormat/>
    <w:rsid w:val="00882D6F"/>
    <w:rPr>
      <w:sz w:val="18"/>
      <w:szCs w:val="18"/>
    </w:rPr>
  </w:style>
  <w:style w:type="paragraph" w:customStyle="1" w:styleId="Normal1">
    <w:name w:val="Normal1"/>
    <w:qFormat/>
    <w:rsid w:val="00353ED4"/>
    <w:pPr>
      <w:spacing w:line="276" w:lineRule="auto"/>
    </w:pPr>
    <w:rPr>
      <w:rFonts w:ascii="Arial" w:eastAsia="Arial" w:hAnsi="Arial" w:cs="Arial"/>
      <w:color w:val="000000"/>
      <w:sz w:val="22"/>
      <w:szCs w:val="22"/>
    </w:rPr>
  </w:style>
  <w:style w:type="table" w:styleId="TableGrid">
    <w:name w:val="Table Grid"/>
    <w:basedOn w:val="TableNormal"/>
    <w:uiPriority w:val="39"/>
    <w:rsid w:val="000473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5EBE"/>
    <w:pPr>
      <w:tabs>
        <w:tab w:val="center" w:pos="4680"/>
        <w:tab w:val="right" w:pos="9360"/>
      </w:tabs>
    </w:pPr>
  </w:style>
  <w:style w:type="character" w:customStyle="1" w:styleId="HeaderChar">
    <w:name w:val="Header Char"/>
    <w:basedOn w:val="DefaultParagraphFont"/>
    <w:link w:val="Header"/>
    <w:uiPriority w:val="99"/>
    <w:rsid w:val="00AD5EBE"/>
  </w:style>
  <w:style w:type="paragraph" w:styleId="Footer">
    <w:name w:val="footer"/>
    <w:basedOn w:val="Normal"/>
    <w:link w:val="FooterChar"/>
    <w:uiPriority w:val="99"/>
    <w:unhideWhenUsed/>
    <w:rsid w:val="00AD5EBE"/>
    <w:pPr>
      <w:tabs>
        <w:tab w:val="center" w:pos="4680"/>
        <w:tab w:val="right" w:pos="9360"/>
      </w:tabs>
    </w:pPr>
  </w:style>
  <w:style w:type="character" w:customStyle="1" w:styleId="FooterChar">
    <w:name w:val="Footer Char"/>
    <w:basedOn w:val="DefaultParagraphFont"/>
    <w:link w:val="Footer"/>
    <w:uiPriority w:val="99"/>
    <w:rsid w:val="00AD5EBE"/>
  </w:style>
  <w:style w:type="character" w:styleId="PageNumber">
    <w:name w:val="page number"/>
    <w:basedOn w:val="DefaultParagraphFont"/>
    <w:uiPriority w:val="99"/>
    <w:semiHidden/>
    <w:unhideWhenUsed/>
    <w:rsid w:val="00AD5EBE"/>
  </w:style>
  <w:style w:type="character" w:styleId="Hyperlink">
    <w:name w:val="Hyperlink"/>
    <w:uiPriority w:val="99"/>
    <w:unhideWhenUsed/>
    <w:rsid w:val="00200C72"/>
    <w:rPr>
      <w:color w:val="0000FF"/>
      <w:u w:val="single"/>
    </w:rPr>
  </w:style>
  <w:style w:type="character" w:styleId="FollowedHyperlink">
    <w:name w:val="FollowedHyperlink"/>
    <w:uiPriority w:val="99"/>
    <w:semiHidden/>
    <w:unhideWhenUsed/>
    <w:rsid w:val="00354D7B"/>
    <w:rPr>
      <w:color w:val="954F72"/>
      <w:u w:val="single"/>
    </w:rPr>
  </w:style>
  <w:style w:type="paragraph" w:styleId="Revision">
    <w:name w:val="Revision"/>
    <w:hidden/>
    <w:uiPriority w:val="99"/>
    <w:semiHidden/>
    <w:rsid w:val="00062489"/>
    <w:rPr>
      <w:sz w:val="24"/>
      <w:szCs w:val="24"/>
    </w:rPr>
  </w:style>
  <w:style w:type="paragraph" w:styleId="NormalWeb">
    <w:name w:val="Normal (Web)"/>
    <w:basedOn w:val="Normal"/>
    <w:uiPriority w:val="99"/>
    <w:semiHidden/>
    <w:unhideWhenUsed/>
    <w:rsid w:val="00E23BC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6000">
      <w:bodyDiv w:val="1"/>
      <w:marLeft w:val="0"/>
      <w:marRight w:val="0"/>
      <w:marTop w:val="0"/>
      <w:marBottom w:val="0"/>
      <w:divBdr>
        <w:top w:val="none" w:sz="0" w:space="0" w:color="auto"/>
        <w:left w:val="none" w:sz="0" w:space="0" w:color="auto"/>
        <w:bottom w:val="none" w:sz="0" w:space="0" w:color="auto"/>
        <w:right w:val="none" w:sz="0" w:space="0" w:color="auto"/>
      </w:divBdr>
    </w:div>
    <w:div w:id="103618649">
      <w:bodyDiv w:val="1"/>
      <w:marLeft w:val="0"/>
      <w:marRight w:val="0"/>
      <w:marTop w:val="0"/>
      <w:marBottom w:val="0"/>
      <w:divBdr>
        <w:top w:val="none" w:sz="0" w:space="0" w:color="auto"/>
        <w:left w:val="none" w:sz="0" w:space="0" w:color="auto"/>
        <w:bottom w:val="none" w:sz="0" w:space="0" w:color="auto"/>
        <w:right w:val="none" w:sz="0" w:space="0" w:color="auto"/>
      </w:divBdr>
    </w:div>
    <w:div w:id="508178730">
      <w:bodyDiv w:val="1"/>
      <w:marLeft w:val="0"/>
      <w:marRight w:val="0"/>
      <w:marTop w:val="0"/>
      <w:marBottom w:val="0"/>
      <w:divBdr>
        <w:top w:val="none" w:sz="0" w:space="0" w:color="auto"/>
        <w:left w:val="none" w:sz="0" w:space="0" w:color="auto"/>
        <w:bottom w:val="none" w:sz="0" w:space="0" w:color="auto"/>
        <w:right w:val="none" w:sz="0" w:space="0" w:color="auto"/>
      </w:divBdr>
    </w:div>
    <w:div w:id="612905345">
      <w:bodyDiv w:val="1"/>
      <w:marLeft w:val="0"/>
      <w:marRight w:val="0"/>
      <w:marTop w:val="0"/>
      <w:marBottom w:val="0"/>
      <w:divBdr>
        <w:top w:val="none" w:sz="0" w:space="0" w:color="auto"/>
        <w:left w:val="none" w:sz="0" w:space="0" w:color="auto"/>
        <w:bottom w:val="none" w:sz="0" w:space="0" w:color="auto"/>
        <w:right w:val="none" w:sz="0" w:space="0" w:color="auto"/>
      </w:divBdr>
    </w:div>
    <w:div w:id="671300034">
      <w:bodyDiv w:val="1"/>
      <w:marLeft w:val="0"/>
      <w:marRight w:val="0"/>
      <w:marTop w:val="0"/>
      <w:marBottom w:val="0"/>
      <w:divBdr>
        <w:top w:val="none" w:sz="0" w:space="0" w:color="auto"/>
        <w:left w:val="none" w:sz="0" w:space="0" w:color="auto"/>
        <w:bottom w:val="none" w:sz="0" w:space="0" w:color="auto"/>
        <w:right w:val="none" w:sz="0" w:space="0" w:color="auto"/>
      </w:divBdr>
    </w:div>
    <w:div w:id="718238319">
      <w:bodyDiv w:val="1"/>
      <w:marLeft w:val="0"/>
      <w:marRight w:val="0"/>
      <w:marTop w:val="0"/>
      <w:marBottom w:val="0"/>
      <w:divBdr>
        <w:top w:val="none" w:sz="0" w:space="0" w:color="auto"/>
        <w:left w:val="none" w:sz="0" w:space="0" w:color="auto"/>
        <w:bottom w:val="none" w:sz="0" w:space="0" w:color="auto"/>
        <w:right w:val="none" w:sz="0" w:space="0" w:color="auto"/>
      </w:divBdr>
    </w:div>
    <w:div w:id="721446718">
      <w:bodyDiv w:val="1"/>
      <w:marLeft w:val="0"/>
      <w:marRight w:val="0"/>
      <w:marTop w:val="0"/>
      <w:marBottom w:val="0"/>
      <w:divBdr>
        <w:top w:val="none" w:sz="0" w:space="0" w:color="auto"/>
        <w:left w:val="none" w:sz="0" w:space="0" w:color="auto"/>
        <w:bottom w:val="none" w:sz="0" w:space="0" w:color="auto"/>
        <w:right w:val="none" w:sz="0" w:space="0" w:color="auto"/>
      </w:divBdr>
      <w:divsChild>
        <w:div w:id="666830436">
          <w:marLeft w:val="0"/>
          <w:marRight w:val="0"/>
          <w:marTop w:val="0"/>
          <w:marBottom w:val="0"/>
          <w:divBdr>
            <w:top w:val="none" w:sz="0" w:space="0" w:color="auto"/>
            <w:left w:val="none" w:sz="0" w:space="0" w:color="auto"/>
            <w:bottom w:val="none" w:sz="0" w:space="0" w:color="auto"/>
            <w:right w:val="none" w:sz="0" w:space="0" w:color="auto"/>
          </w:divBdr>
        </w:div>
      </w:divsChild>
    </w:div>
    <w:div w:id="813450263">
      <w:bodyDiv w:val="1"/>
      <w:marLeft w:val="0"/>
      <w:marRight w:val="0"/>
      <w:marTop w:val="0"/>
      <w:marBottom w:val="0"/>
      <w:divBdr>
        <w:top w:val="none" w:sz="0" w:space="0" w:color="auto"/>
        <w:left w:val="none" w:sz="0" w:space="0" w:color="auto"/>
        <w:bottom w:val="none" w:sz="0" w:space="0" w:color="auto"/>
        <w:right w:val="none" w:sz="0" w:space="0" w:color="auto"/>
      </w:divBdr>
    </w:div>
    <w:div w:id="960692716">
      <w:bodyDiv w:val="1"/>
      <w:marLeft w:val="0"/>
      <w:marRight w:val="0"/>
      <w:marTop w:val="0"/>
      <w:marBottom w:val="0"/>
      <w:divBdr>
        <w:top w:val="none" w:sz="0" w:space="0" w:color="auto"/>
        <w:left w:val="none" w:sz="0" w:space="0" w:color="auto"/>
        <w:bottom w:val="none" w:sz="0" w:space="0" w:color="auto"/>
        <w:right w:val="none" w:sz="0" w:space="0" w:color="auto"/>
      </w:divBdr>
    </w:div>
    <w:div w:id="1122916576">
      <w:bodyDiv w:val="1"/>
      <w:marLeft w:val="0"/>
      <w:marRight w:val="0"/>
      <w:marTop w:val="0"/>
      <w:marBottom w:val="0"/>
      <w:divBdr>
        <w:top w:val="none" w:sz="0" w:space="0" w:color="auto"/>
        <w:left w:val="none" w:sz="0" w:space="0" w:color="auto"/>
        <w:bottom w:val="none" w:sz="0" w:space="0" w:color="auto"/>
        <w:right w:val="none" w:sz="0" w:space="0" w:color="auto"/>
      </w:divBdr>
    </w:div>
    <w:div w:id="1135177170">
      <w:bodyDiv w:val="1"/>
      <w:marLeft w:val="0"/>
      <w:marRight w:val="0"/>
      <w:marTop w:val="0"/>
      <w:marBottom w:val="0"/>
      <w:divBdr>
        <w:top w:val="none" w:sz="0" w:space="0" w:color="auto"/>
        <w:left w:val="none" w:sz="0" w:space="0" w:color="auto"/>
        <w:bottom w:val="none" w:sz="0" w:space="0" w:color="auto"/>
        <w:right w:val="none" w:sz="0" w:space="0" w:color="auto"/>
      </w:divBdr>
    </w:div>
    <w:div w:id="1234046191">
      <w:bodyDiv w:val="1"/>
      <w:marLeft w:val="0"/>
      <w:marRight w:val="0"/>
      <w:marTop w:val="0"/>
      <w:marBottom w:val="0"/>
      <w:divBdr>
        <w:top w:val="none" w:sz="0" w:space="0" w:color="auto"/>
        <w:left w:val="none" w:sz="0" w:space="0" w:color="auto"/>
        <w:bottom w:val="none" w:sz="0" w:space="0" w:color="auto"/>
        <w:right w:val="none" w:sz="0" w:space="0" w:color="auto"/>
      </w:divBdr>
    </w:div>
    <w:div w:id="1715739277">
      <w:bodyDiv w:val="1"/>
      <w:marLeft w:val="0"/>
      <w:marRight w:val="0"/>
      <w:marTop w:val="0"/>
      <w:marBottom w:val="0"/>
      <w:divBdr>
        <w:top w:val="none" w:sz="0" w:space="0" w:color="auto"/>
        <w:left w:val="none" w:sz="0" w:space="0" w:color="auto"/>
        <w:bottom w:val="none" w:sz="0" w:space="0" w:color="auto"/>
        <w:right w:val="none" w:sz="0" w:space="0" w:color="auto"/>
      </w:divBdr>
    </w:div>
    <w:div w:id="1775783207">
      <w:bodyDiv w:val="1"/>
      <w:marLeft w:val="0"/>
      <w:marRight w:val="0"/>
      <w:marTop w:val="0"/>
      <w:marBottom w:val="0"/>
      <w:divBdr>
        <w:top w:val="none" w:sz="0" w:space="0" w:color="auto"/>
        <w:left w:val="none" w:sz="0" w:space="0" w:color="auto"/>
        <w:bottom w:val="none" w:sz="0" w:space="0" w:color="auto"/>
        <w:right w:val="none" w:sz="0" w:space="0" w:color="auto"/>
      </w:divBdr>
    </w:div>
    <w:div w:id="202678154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mcin-cnim.ca/technology/visualization/display/)"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ic.mni.mcgill.ca/ServicesSoftware/CIV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95AE24-E40D-8E43-9410-5AF184F8E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12946</Words>
  <Characters>73797</Characters>
  <Application>Microsoft Macintosh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86570</CharactersWithSpaces>
  <SharedDoc>false</SharedDoc>
  <HLinks>
    <vt:vector size="18" baseType="variant">
      <vt:variant>
        <vt:i4>7143442</vt:i4>
      </vt:variant>
      <vt:variant>
        <vt:i4>42</vt:i4>
      </vt:variant>
      <vt:variant>
        <vt:i4>0</vt:i4>
      </vt:variant>
      <vt:variant>
        <vt:i4>5</vt:i4>
      </vt:variant>
      <vt:variant>
        <vt:lpwstr>https://mcin-cnim.ca/technology/visualization/display/)</vt:lpwstr>
      </vt:variant>
      <vt:variant>
        <vt:lpwstr/>
      </vt:variant>
      <vt:variant>
        <vt:i4>1048576</vt:i4>
      </vt:variant>
      <vt:variant>
        <vt:i4>33</vt:i4>
      </vt:variant>
      <vt:variant>
        <vt:i4>0</vt:i4>
      </vt:variant>
      <vt:variant>
        <vt:i4>5</vt:i4>
      </vt:variant>
      <vt:variant>
        <vt:lpwstr>http://www.bic.mni.mcgill.ca/ServicesSoftware/CIVET)</vt:lpwstr>
      </vt:variant>
      <vt:variant>
        <vt:lpwstr/>
      </vt:variant>
      <vt:variant>
        <vt:i4>2162704</vt:i4>
      </vt:variant>
      <vt:variant>
        <vt:i4>53884</vt:i4>
      </vt:variant>
      <vt:variant>
        <vt:i4>1027</vt:i4>
      </vt:variant>
      <vt:variant>
        <vt:i4>1</vt:i4>
      </vt:variant>
      <vt:variant>
        <vt:lpwstr>suppfig2_sxs_spaghettiplots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Makowski</dc:creator>
  <cp:keywords/>
  <dc:description/>
  <cp:lastModifiedBy>Carolina Makowski</cp:lastModifiedBy>
  <cp:revision>3</cp:revision>
  <dcterms:created xsi:type="dcterms:W3CDTF">2019-02-26T15:45:00Z</dcterms:created>
  <dcterms:modified xsi:type="dcterms:W3CDTF">2019-02-26T16:41:00Z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http://www.zotero.org/styles/psychological-medicine</vt:lpwstr>
  </property>
  <property fmtid="{D5CDD505-2E9C-101B-9397-08002B2CF9AE}" pid="7" name="Mendeley Document_1">
    <vt:lpwstr>True</vt:lpwstr>
  </property>
  <property fmtid="{D5CDD505-2E9C-101B-9397-08002B2CF9AE}" pid="8" name="Mendeley Unique User Id_1">
    <vt:lpwstr>d9ef353a-0e01-3355-a4f8-9edb5d974c6a</vt:lpwstr>
  </property>
  <property fmtid="{D5CDD505-2E9C-101B-9397-08002B2CF9AE}" pid="9" name="ScaleCrop">
    <vt:bool>false</vt:bool>
  </property>
  <property fmtid="{D5CDD505-2E9C-101B-9397-08002B2CF9AE}" pid="10" name="ShareDoc">
    <vt:bool>false</vt:bool>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https://csl.mendeley.com/styles/281340201/brain</vt:lpwstr>
  </property>
  <property fmtid="{D5CDD505-2E9C-101B-9397-08002B2CF9AE}" pid="14" name="Mendeley Recent Style Name 1_1">
    <vt:lpwstr>Brain - Carolina Makowski</vt:lpwstr>
  </property>
  <property fmtid="{D5CDD505-2E9C-101B-9397-08002B2CF9AE}" pid="15" name="Mendeley Recent Style Id 2_1">
    <vt:lpwstr>http://www.zotero.org/styles/cerebral-cortex</vt:lpwstr>
  </property>
  <property fmtid="{D5CDD505-2E9C-101B-9397-08002B2CF9AE}" pid="16" name="Mendeley Recent Style Name 2_1">
    <vt:lpwstr>Cerebral Cortex</vt:lpwstr>
  </property>
  <property fmtid="{D5CDD505-2E9C-101B-9397-08002B2CF9AE}" pid="17" name="Mendeley Recent Style Id 3_1">
    <vt:lpwstr>http://www.zotero.org/styles/national-library-of-medicine</vt:lpwstr>
  </property>
  <property fmtid="{D5CDD505-2E9C-101B-9397-08002B2CF9AE}" pid="18" name="Mendeley Recent Style Name 3_1">
    <vt:lpwstr>National Library of Medicine</vt:lpwstr>
  </property>
  <property fmtid="{D5CDD505-2E9C-101B-9397-08002B2CF9AE}" pid="19" name="Mendeley Recent Style Id 4_1">
    <vt:lpwstr>http://www.zotero.org/styles/nature</vt:lpwstr>
  </property>
  <property fmtid="{D5CDD505-2E9C-101B-9397-08002B2CF9AE}" pid="20" name="Mendeley Recent Style Name 4_1">
    <vt:lpwstr>Nature</vt:lpwstr>
  </property>
  <property fmtid="{D5CDD505-2E9C-101B-9397-08002B2CF9AE}" pid="21" name="Mendeley Recent Style Id 5_1">
    <vt:lpwstr>http://www.zotero.org/styles/psychological-medicine</vt:lpwstr>
  </property>
  <property fmtid="{D5CDD505-2E9C-101B-9397-08002B2CF9AE}" pid="22" name="Mendeley Recent Style Name 5_1">
    <vt:lpwstr>Psychological Medicine</vt:lpwstr>
  </property>
  <property fmtid="{D5CDD505-2E9C-101B-9397-08002B2CF9AE}" pid="23" name="Mendeley Recent Style Id 6_1">
    <vt:lpwstr>http://csl.mendeley.com/styles/281340201/taylor-and-francis-national-library-of-medicine</vt:lpwstr>
  </property>
  <property fmtid="{D5CDD505-2E9C-101B-9397-08002B2CF9AE}" pid="24" name="Mendeley Recent Style Name 6_1">
    <vt:lpwstr>Taylor &amp; Francis - National Library of Medicine - Carolina Makowski</vt:lpwstr>
  </property>
  <property fmtid="{D5CDD505-2E9C-101B-9397-08002B2CF9AE}" pid="25" name="Mendeley Recent Style Id 7_1">
    <vt:lpwstr>http://www.zotero.org/styles/the-lancet</vt:lpwstr>
  </property>
  <property fmtid="{D5CDD505-2E9C-101B-9397-08002B2CF9AE}" pid="26" name="Mendeley Recent Style Name 7_1">
    <vt:lpwstr>The Lancet</vt:lpwstr>
  </property>
  <property fmtid="{D5CDD505-2E9C-101B-9397-08002B2CF9AE}" pid="27" name="Mendeley Recent Style Id 8_1">
    <vt:lpwstr>http://www.zotero.org/styles/vancouver</vt:lpwstr>
  </property>
  <property fmtid="{D5CDD505-2E9C-101B-9397-08002B2CF9AE}" pid="28" name="Mendeley Recent Style Name 8_1">
    <vt:lpwstr>Vancouver</vt:lpwstr>
  </property>
  <property fmtid="{D5CDD505-2E9C-101B-9397-08002B2CF9AE}" pid="29" name="Mendeley Recent Style Id 9_1">
    <vt:lpwstr>http://csl.mendeley.com/styles/281340201/vancouver</vt:lpwstr>
  </property>
  <property fmtid="{D5CDD505-2E9C-101B-9397-08002B2CF9AE}" pid="30" name="Mendeley Recent Style Name 9_1">
    <vt:lpwstr>Vancouver - Carolina Makowski</vt:lpwstr>
  </property>
</Properties>
</file>