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8616" w14:textId="77777777" w:rsidR="00B23770" w:rsidRPr="004328EA" w:rsidRDefault="00F94110" w:rsidP="001208D8">
      <w:pPr>
        <w:spacing w:line="480" w:lineRule="auto"/>
        <w:jc w:val="center"/>
        <w:outlineLvl w:val="0"/>
        <w:rPr>
          <w:b/>
          <w:sz w:val="30"/>
          <w:szCs w:val="30"/>
        </w:rPr>
      </w:pPr>
      <w:r w:rsidRPr="004328EA">
        <w:rPr>
          <w:b/>
          <w:sz w:val="30"/>
          <w:szCs w:val="30"/>
        </w:rPr>
        <w:t xml:space="preserve">Supplementary </w:t>
      </w:r>
      <w:r w:rsidR="00905F3D">
        <w:rPr>
          <w:b/>
          <w:sz w:val="30"/>
          <w:szCs w:val="30"/>
        </w:rPr>
        <w:t>Material</w:t>
      </w:r>
    </w:p>
    <w:p w14:paraId="1C16BD35" w14:textId="77777777" w:rsidR="00071037" w:rsidRPr="00590F53" w:rsidRDefault="00AF791B" w:rsidP="001208D8">
      <w:pPr>
        <w:spacing w:after="0" w:line="480" w:lineRule="auto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Supplementary </w:t>
      </w:r>
      <w:r w:rsidR="00071037" w:rsidRPr="00590F53">
        <w:rPr>
          <w:rFonts w:ascii="Cambria" w:hAnsi="Cambria"/>
          <w:b/>
          <w:sz w:val="24"/>
          <w:szCs w:val="24"/>
        </w:rPr>
        <w:t>Methods</w:t>
      </w:r>
    </w:p>
    <w:p w14:paraId="2F654B1C" w14:textId="77777777" w:rsidR="00071037" w:rsidRPr="004328EA" w:rsidRDefault="00071037" w:rsidP="001208D8">
      <w:pPr>
        <w:spacing w:after="0" w:line="480" w:lineRule="auto"/>
        <w:outlineLvl w:val="0"/>
        <w:rPr>
          <w:b/>
        </w:rPr>
      </w:pPr>
      <w:r w:rsidRPr="004328EA">
        <w:rPr>
          <w:b/>
        </w:rPr>
        <w:t>Participants and design</w:t>
      </w:r>
    </w:p>
    <w:p w14:paraId="5BFF3521" w14:textId="10893A75" w:rsidR="0090405F" w:rsidRDefault="00071037" w:rsidP="007337BF">
      <w:pPr>
        <w:spacing w:after="0" w:line="480" w:lineRule="auto"/>
        <w:ind w:firstLine="720"/>
      </w:pPr>
      <w:r w:rsidRPr="004328EA">
        <w:t xml:space="preserve">The </w:t>
      </w:r>
      <w:r w:rsidR="00334620" w:rsidRPr="004328EA">
        <w:t xml:space="preserve">present </w:t>
      </w:r>
      <w:r w:rsidRPr="004328EA">
        <w:t xml:space="preserve">study is part of </w:t>
      </w:r>
      <w:r w:rsidR="00334620" w:rsidRPr="004328EA">
        <w:t>an</w:t>
      </w:r>
      <w:r w:rsidRPr="004328EA">
        <w:t xml:space="preserve"> ongoing prospective</w:t>
      </w:r>
      <w:r w:rsidR="00334620" w:rsidRPr="004328EA">
        <w:t>, multimodal</w:t>
      </w:r>
      <w:r w:rsidRPr="004328EA">
        <w:t xml:space="preserve"> </w:t>
      </w:r>
      <w:r w:rsidR="00B1399D">
        <w:t>longitudinal</w:t>
      </w:r>
      <w:r w:rsidRPr="004328EA">
        <w:t xml:space="preserve"> study denoted </w:t>
      </w:r>
      <w:r w:rsidR="00C37056">
        <w:t xml:space="preserve">the </w:t>
      </w:r>
      <w:r w:rsidRPr="004328EA">
        <w:rPr>
          <w:rFonts w:eastAsia="Times New Roman"/>
          <w:color w:val="000000"/>
        </w:rPr>
        <w:t>Pan European Collaboration on Antipsychotic Naïve Schizophrenia II (PECANSII)</w:t>
      </w:r>
      <w:r w:rsidR="0014497F" w:rsidRPr="004328EA">
        <w:rPr>
          <w:rFonts w:eastAsia="Times New Roman"/>
          <w:color w:val="000000"/>
        </w:rPr>
        <w:t>,</w:t>
      </w:r>
      <w:r w:rsidR="009809B6" w:rsidRPr="004328EA">
        <w:rPr>
          <w:rFonts w:eastAsia="Times New Roman"/>
          <w:color w:val="000000"/>
        </w:rPr>
        <w:t xml:space="preserve"> </w:t>
      </w:r>
      <w:r w:rsidR="00C37056">
        <w:rPr>
          <w:rFonts w:eastAsia="Times New Roman"/>
          <w:color w:val="000000"/>
        </w:rPr>
        <w:t>in which</w:t>
      </w:r>
      <w:r w:rsidR="00C37056" w:rsidRPr="004328EA">
        <w:rPr>
          <w:rFonts w:eastAsia="Times New Roman"/>
          <w:color w:val="000000"/>
        </w:rPr>
        <w:t xml:space="preserve"> </w:t>
      </w:r>
      <w:r w:rsidR="009809B6" w:rsidRPr="004328EA">
        <w:rPr>
          <w:rFonts w:eastAsia="Times New Roman"/>
          <w:color w:val="000000"/>
        </w:rPr>
        <w:t>initially antipsychotic</w:t>
      </w:r>
      <w:r w:rsidR="0014497F" w:rsidRPr="004328EA">
        <w:rPr>
          <w:rFonts w:eastAsia="Times New Roman"/>
          <w:color w:val="000000"/>
        </w:rPr>
        <w:t>-</w:t>
      </w:r>
      <w:r w:rsidR="009809B6" w:rsidRPr="004328EA">
        <w:rPr>
          <w:rFonts w:eastAsia="Times New Roman"/>
          <w:color w:val="000000"/>
        </w:rPr>
        <w:t>naïve pa</w:t>
      </w:r>
      <w:r w:rsidR="00B070E8" w:rsidRPr="004328EA">
        <w:rPr>
          <w:rFonts w:eastAsia="Times New Roman"/>
          <w:color w:val="000000"/>
        </w:rPr>
        <w:t xml:space="preserve">tients </w:t>
      </w:r>
      <w:r w:rsidR="0090405F">
        <w:rPr>
          <w:rFonts w:eastAsia="Times New Roman"/>
          <w:color w:val="000000"/>
        </w:rPr>
        <w:t xml:space="preserve">and matched healthy controls </w:t>
      </w:r>
      <w:r w:rsidR="0090405F" w:rsidRPr="004328EA">
        <w:rPr>
          <w:rFonts w:eastAsia="Times New Roman"/>
          <w:color w:val="000000"/>
        </w:rPr>
        <w:t>(HCs)</w:t>
      </w:r>
      <w:r w:rsidR="0090405F">
        <w:rPr>
          <w:rFonts w:eastAsia="Times New Roman"/>
          <w:color w:val="000000"/>
        </w:rPr>
        <w:t xml:space="preserve"> </w:t>
      </w:r>
      <w:r w:rsidR="00B070E8" w:rsidRPr="004328EA">
        <w:rPr>
          <w:rFonts w:eastAsia="Times New Roman"/>
          <w:color w:val="000000"/>
        </w:rPr>
        <w:t>are examined at baseline and after</w:t>
      </w:r>
      <w:r w:rsidR="00470A48" w:rsidRPr="004328EA">
        <w:rPr>
          <w:rFonts w:eastAsia="Times New Roman"/>
          <w:color w:val="000000"/>
        </w:rPr>
        <w:t xml:space="preserve"> </w:t>
      </w:r>
      <w:r w:rsidR="007279B6">
        <w:rPr>
          <w:rFonts w:eastAsia="Times New Roman"/>
          <w:color w:val="000000"/>
        </w:rPr>
        <w:t>6</w:t>
      </w:r>
      <w:r w:rsidR="00470A48" w:rsidRPr="004328EA">
        <w:rPr>
          <w:rFonts w:eastAsia="Times New Roman"/>
          <w:color w:val="000000"/>
        </w:rPr>
        <w:t xml:space="preserve">, </w:t>
      </w:r>
      <w:r w:rsidR="007279B6">
        <w:rPr>
          <w:rFonts w:eastAsia="Times New Roman"/>
          <w:color w:val="000000"/>
        </w:rPr>
        <w:t>2</w:t>
      </w:r>
      <w:r w:rsidR="00C37056">
        <w:rPr>
          <w:rFonts w:eastAsia="Times New Roman"/>
          <w:color w:val="000000"/>
        </w:rPr>
        <w:t>6</w:t>
      </w:r>
      <w:r w:rsidR="007B7B04" w:rsidRPr="004328EA">
        <w:rPr>
          <w:rFonts w:eastAsia="Times New Roman"/>
          <w:color w:val="000000"/>
        </w:rPr>
        <w:t>,</w:t>
      </w:r>
      <w:r w:rsidR="00470A48" w:rsidRPr="004328EA">
        <w:rPr>
          <w:rFonts w:eastAsia="Times New Roman"/>
          <w:color w:val="000000"/>
        </w:rPr>
        <w:t xml:space="preserve"> and </w:t>
      </w:r>
      <w:r w:rsidR="007279B6">
        <w:rPr>
          <w:rFonts w:eastAsia="Times New Roman"/>
          <w:color w:val="000000"/>
        </w:rPr>
        <w:t>104</w:t>
      </w:r>
      <w:r w:rsidR="007279B6" w:rsidRPr="004328EA">
        <w:rPr>
          <w:rFonts w:eastAsia="Times New Roman"/>
          <w:color w:val="000000"/>
        </w:rPr>
        <w:t xml:space="preserve"> </w:t>
      </w:r>
      <w:r w:rsidR="007279B6">
        <w:rPr>
          <w:rFonts w:eastAsia="Times New Roman"/>
          <w:color w:val="000000"/>
        </w:rPr>
        <w:t>weeks</w:t>
      </w:r>
      <w:r w:rsidR="007279B6" w:rsidRPr="004328EA">
        <w:rPr>
          <w:rFonts w:eastAsia="Times New Roman"/>
          <w:color w:val="000000"/>
        </w:rPr>
        <w:t xml:space="preserve"> </w:t>
      </w:r>
      <w:r w:rsidR="00470A48" w:rsidRPr="004328EA">
        <w:rPr>
          <w:rFonts w:eastAsia="Times New Roman"/>
          <w:color w:val="000000"/>
        </w:rPr>
        <w:t>of</w:t>
      </w:r>
      <w:r w:rsidR="009809B6" w:rsidRPr="004328EA">
        <w:rPr>
          <w:rFonts w:eastAsia="Times New Roman"/>
          <w:color w:val="000000"/>
        </w:rPr>
        <w:t xml:space="preserve"> treatment. </w:t>
      </w:r>
      <w:r w:rsidR="006246CF">
        <w:rPr>
          <w:rFonts w:eastAsia="Times New Roman"/>
          <w:color w:val="000000"/>
        </w:rPr>
        <w:t>Data on 1</w:t>
      </w:r>
      <w:r w:rsidR="004D7754">
        <w:rPr>
          <w:rFonts w:eastAsia="Times New Roman"/>
          <w:color w:val="000000"/>
        </w:rPr>
        <w:t>0</w:t>
      </w:r>
      <w:r w:rsidR="006246CF">
        <w:rPr>
          <w:rFonts w:eastAsia="Times New Roman"/>
          <w:color w:val="000000"/>
        </w:rPr>
        <w:t xml:space="preserve">4 weeks are not part of the current work. </w:t>
      </w:r>
      <w:r w:rsidR="00873D43" w:rsidRPr="004328EA">
        <w:rPr>
          <w:rFonts w:eastAsia="Times New Roman"/>
          <w:color w:val="000000"/>
        </w:rPr>
        <w:t>In addition to magnetic resonance spectroscopy</w:t>
      </w:r>
      <w:r w:rsidR="007B7B04" w:rsidRPr="004328EA">
        <w:rPr>
          <w:rFonts w:eastAsia="Times New Roman"/>
          <w:color w:val="000000"/>
        </w:rPr>
        <w:t xml:space="preserve"> (MRS)</w:t>
      </w:r>
      <w:r w:rsidR="00873D43" w:rsidRPr="004328EA">
        <w:rPr>
          <w:rFonts w:eastAsia="Times New Roman"/>
          <w:color w:val="000000"/>
        </w:rPr>
        <w:t>,</w:t>
      </w:r>
      <w:r w:rsidR="0090405F">
        <w:rPr>
          <w:rFonts w:eastAsia="Times New Roman"/>
          <w:color w:val="000000"/>
        </w:rPr>
        <w:t xml:space="preserve"> participants undergo</w:t>
      </w:r>
      <w:r w:rsidR="00873D43" w:rsidRPr="004328EA">
        <w:rPr>
          <w:rFonts w:eastAsia="Times New Roman"/>
          <w:color w:val="000000"/>
        </w:rPr>
        <w:t xml:space="preserve"> </w:t>
      </w:r>
      <w:r w:rsidR="0014497F" w:rsidRPr="004328EA">
        <w:rPr>
          <w:rFonts w:eastAsia="Times New Roman"/>
          <w:color w:val="000000"/>
        </w:rPr>
        <w:t>magnetic resonance imaging (</w:t>
      </w:r>
      <w:r w:rsidR="00873D43" w:rsidRPr="004328EA">
        <w:rPr>
          <w:rFonts w:eastAsia="Times New Roman"/>
          <w:color w:val="000000"/>
        </w:rPr>
        <w:t>MR</w:t>
      </w:r>
      <w:r w:rsidR="004D7754">
        <w:rPr>
          <w:rFonts w:eastAsia="Times New Roman"/>
          <w:color w:val="000000"/>
        </w:rPr>
        <w:t>I</w:t>
      </w:r>
      <w:r w:rsidR="0014497F" w:rsidRPr="004328EA">
        <w:rPr>
          <w:rFonts w:eastAsia="Times New Roman"/>
          <w:color w:val="000000"/>
        </w:rPr>
        <w:t>)</w:t>
      </w:r>
      <w:r w:rsidR="00C37056">
        <w:rPr>
          <w:rFonts w:eastAsia="Times New Roman"/>
          <w:color w:val="000000"/>
        </w:rPr>
        <w:t xml:space="preserve"> including</w:t>
      </w:r>
      <w:r w:rsidR="00873D43" w:rsidRPr="004328EA">
        <w:rPr>
          <w:rFonts w:eastAsia="Times New Roman"/>
          <w:color w:val="000000"/>
        </w:rPr>
        <w:t xml:space="preserve"> structural </w:t>
      </w:r>
      <w:r w:rsidR="0090405F">
        <w:rPr>
          <w:rFonts w:eastAsia="Times New Roman"/>
          <w:color w:val="000000"/>
        </w:rPr>
        <w:t>and</w:t>
      </w:r>
      <w:r w:rsidR="00873D43" w:rsidRPr="004328EA">
        <w:rPr>
          <w:rFonts w:eastAsia="Times New Roman"/>
          <w:color w:val="000000"/>
        </w:rPr>
        <w:t xml:space="preserve"> functional MRI </w:t>
      </w:r>
      <w:r w:rsidR="0090405F">
        <w:rPr>
          <w:rFonts w:eastAsia="Times New Roman"/>
          <w:color w:val="000000"/>
        </w:rPr>
        <w:t>sequences</w:t>
      </w:r>
      <w:r w:rsidR="00873D43" w:rsidRPr="004328EA">
        <w:rPr>
          <w:rFonts w:eastAsia="Times New Roman"/>
          <w:color w:val="000000"/>
        </w:rPr>
        <w:t xml:space="preserve">, 3,4-dihydroxy-6-[18F] </w:t>
      </w:r>
      <w:proofErr w:type="spellStart"/>
      <w:r w:rsidR="00873D43" w:rsidRPr="004328EA">
        <w:rPr>
          <w:rFonts w:eastAsia="Times New Roman"/>
          <w:color w:val="000000"/>
        </w:rPr>
        <w:t>fluor</w:t>
      </w:r>
      <w:proofErr w:type="spellEnd"/>
      <w:r w:rsidR="00873D43" w:rsidRPr="004328EA">
        <w:rPr>
          <w:rFonts w:eastAsia="Times New Roman"/>
          <w:color w:val="000000"/>
        </w:rPr>
        <w:t>-L-phenylalanine (</w:t>
      </w:r>
      <w:r w:rsidR="00873D43" w:rsidRPr="004328EA">
        <w:rPr>
          <w:rFonts w:eastAsia="Times New Roman"/>
          <w:color w:val="000000"/>
          <w:vertAlign w:val="superscript"/>
        </w:rPr>
        <w:t>18</w:t>
      </w:r>
      <w:r w:rsidR="00873D43" w:rsidRPr="004328EA">
        <w:rPr>
          <w:rFonts w:eastAsia="Times New Roman"/>
          <w:color w:val="000000"/>
        </w:rPr>
        <w:t xml:space="preserve">F-DOPA) positron emission tomography (PET) </w:t>
      </w:r>
      <w:r w:rsidR="009809B6" w:rsidRPr="004328EA">
        <w:rPr>
          <w:rFonts w:eastAsia="Times New Roman"/>
          <w:color w:val="000000"/>
        </w:rPr>
        <w:t>(only</w:t>
      </w:r>
      <w:r w:rsidR="00873D43" w:rsidRPr="004328EA">
        <w:rPr>
          <w:rFonts w:eastAsia="Times New Roman"/>
          <w:color w:val="000000"/>
        </w:rPr>
        <w:t xml:space="preserve"> at</w:t>
      </w:r>
      <w:r w:rsidR="00470A48" w:rsidRPr="004328EA">
        <w:rPr>
          <w:rFonts w:eastAsia="Times New Roman"/>
          <w:color w:val="000000"/>
        </w:rPr>
        <w:t xml:space="preserve"> baseline and </w:t>
      </w:r>
      <w:r w:rsidR="007279B6">
        <w:rPr>
          <w:rFonts w:eastAsia="Times New Roman"/>
          <w:color w:val="000000"/>
        </w:rPr>
        <w:t>6 weeks</w:t>
      </w:r>
      <w:r w:rsidR="0014497F" w:rsidRPr="004328EA">
        <w:rPr>
          <w:rFonts w:eastAsia="Times New Roman"/>
          <w:color w:val="000000"/>
        </w:rPr>
        <w:t>;</w:t>
      </w:r>
      <w:r w:rsidR="00470A48" w:rsidRPr="004328EA">
        <w:rPr>
          <w:rFonts w:eastAsia="Times New Roman"/>
          <w:color w:val="000000"/>
        </w:rPr>
        <w:t xml:space="preserve"> </w:t>
      </w:r>
      <w:r w:rsidR="008661F1" w:rsidRPr="004328EA">
        <w:rPr>
          <w:rFonts w:eastAsia="Times New Roman"/>
          <w:color w:val="000000"/>
        </w:rPr>
        <w:t xml:space="preserve">PET </w:t>
      </w:r>
      <w:r w:rsidR="00873D43" w:rsidRPr="004328EA">
        <w:rPr>
          <w:rFonts w:eastAsia="Times New Roman"/>
          <w:color w:val="000000"/>
        </w:rPr>
        <w:t>was</w:t>
      </w:r>
      <w:r w:rsidR="008661F1" w:rsidRPr="004328EA">
        <w:rPr>
          <w:rFonts w:eastAsia="Times New Roman"/>
          <w:color w:val="000000"/>
        </w:rPr>
        <w:t xml:space="preserve"> initiated </w:t>
      </w:r>
      <w:r w:rsidR="0014497F" w:rsidRPr="004328EA">
        <w:rPr>
          <w:rFonts w:eastAsia="Times New Roman"/>
          <w:color w:val="000000"/>
        </w:rPr>
        <w:t>about</w:t>
      </w:r>
      <w:r w:rsidR="008661F1" w:rsidRPr="004328EA">
        <w:rPr>
          <w:rFonts w:eastAsia="Times New Roman"/>
          <w:color w:val="000000"/>
        </w:rPr>
        <w:t xml:space="preserve"> </w:t>
      </w:r>
      <w:r w:rsidR="00731647" w:rsidRPr="004328EA">
        <w:rPr>
          <w:rFonts w:eastAsia="Times New Roman"/>
          <w:color w:val="000000"/>
        </w:rPr>
        <w:t>1.5 year after</w:t>
      </w:r>
      <w:r w:rsidR="00873D43" w:rsidRPr="004328EA">
        <w:rPr>
          <w:rFonts w:eastAsia="Times New Roman"/>
          <w:color w:val="000000"/>
        </w:rPr>
        <w:t xml:space="preserve"> the</w:t>
      </w:r>
      <w:r w:rsidR="00731647" w:rsidRPr="004328EA">
        <w:rPr>
          <w:rFonts w:eastAsia="Times New Roman"/>
          <w:color w:val="000000"/>
        </w:rPr>
        <w:t xml:space="preserve"> other examinations</w:t>
      </w:r>
      <w:r w:rsidR="00873D43" w:rsidRPr="004328EA">
        <w:rPr>
          <w:rFonts w:eastAsia="Times New Roman"/>
          <w:color w:val="000000"/>
        </w:rPr>
        <w:t xml:space="preserve">), </w:t>
      </w:r>
      <w:r w:rsidR="009809B6" w:rsidRPr="004328EA">
        <w:rPr>
          <w:rFonts w:eastAsia="Times New Roman"/>
          <w:color w:val="000000"/>
        </w:rPr>
        <w:t>electro</w:t>
      </w:r>
      <w:r w:rsidR="00873D43" w:rsidRPr="004328EA">
        <w:rPr>
          <w:rFonts w:eastAsia="Times New Roman"/>
          <w:color w:val="000000"/>
        </w:rPr>
        <w:t>physiological</w:t>
      </w:r>
      <w:r w:rsidR="009809B6" w:rsidRPr="004328EA">
        <w:rPr>
          <w:rFonts w:eastAsia="Times New Roman"/>
          <w:color w:val="000000"/>
        </w:rPr>
        <w:t xml:space="preserve"> examination</w:t>
      </w:r>
      <w:r w:rsidR="00873D43" w:rsidRPr="004328EA">
        <w:rPr>
          <w:rFonts w:eastAsia="Times New Roman"/>
          <w:color w:val="000000"/>
        </w:rPr>
        <w:t>s</w:t>
      </w:r>
      <w:r w:rsidR="009809B6" w:rsidRPr="004328EA">
        <w:rPr>
          <w:rFonts w:eastAsia="Times New Roman"/>
          <w:color w:val="000000"/>
        </w:rPr>
        <w:t>, and neurocognitive testing.</w:t>
      </w:r>
      <w:r w:rsidR="00873D43" w:rsidRPr="004328EA">
        <w:rPr>
          <w:rFonts w:eastAsia="Times New Roman"/>
          <w:color w:val="000000"/>
        </w:rPr>
        <w:t xml:space="preserve"> Apart from </w:t>
      </w:r>
      <w:r w:rsidR="00470A48" w:rsidRPr="004328EA">
        <w:rPr>
          <w:rFonts w:eastAsia="Times New Roman"/>
          <w:color w:val="000000"/>
        </w:rPr>
        <w:t xml:space="preserve">PET at </w:t>
      </w:r>
      <w:r w:rsidR="007279B6">
        <w:rPr>
          <w:rFonts w:eastAsia="Times New Roman"/>
          <w:color w:val="000000"/>
        </w:rPr>
        <w:t>6 weeks</w:t>
      </w:r>
      <w:r w:rsidR="00873D43" w:rsidRPr="004328EA">
        <w:rPr>
          <w:rFonts w:eastAsia="Times New Roman"/>
          <w:color w:val="000000"/>
        </w:rPr>
        <w:t>,</w:t>
      </w:r>
      <w:r w:rsidR="009809B6" w:rsidRPr="004328EA">
        <w:rPr>
          <w:rFonts w:eastAsia="Times New Roman"/>
          <w:color w:val="000000"/>
        </w:rPr>
        <w:t xml:space="preserve"> </w:t>
      </w:r>
      <w:r w:rsidR="00C965F5" w:rsidRPr="004328EA">
        <w:rPr>
          <w:rFonts w:eastAsia="Times New Roman"/>
          <w:color w:val="000000"/>
        </w:rPr>
        <w:t>HCs under</w:t>
      </w:r>
      <w:r w:rsidR="0090405F">
        <w:rPr>
          <w:rFonts w:eastAsia="Times New Roman"/>
          <w:color w:val="000000"/>
        </w:rPr>
        <w:t>go</w:t>
      </w:r>
      <w:r w:rsidR="00C965F5" w:rsidRPr="004328EA">
        <w:rPr>
          <w:rFonts w:eastAsia="Times New Roman"/>
          <w:color w:val="000000"/>
        </w:rPr>
        <w:t xml:space="preserve"> similar examinations </w:t>
      </w:r>
      <w:r w:rsidR="0090405F">
        <w:rPr>
          <w:rFonts w:eastAsia="Times New Roman"/>
          <w:color w:val="000000"/>
        </w:rPr>
        <w:t xml:space="preserve">as patients </w:t>
      </w:r>
      <w:r w:rsidR="00C965F5" w:rsidRPr="004328EA">
        <w:rPr>
          <w:rFonts w:eastAsia="Times New Roman"/>
          <w:color w:val="000000"/>
        </w:rPr>
        <w:t xml:space="preserve">but </w:t>
      </w:r>
      <w:r w:rsidR="0090405F">
        <w:rPr>
          <w:rFonts w:eastAsia="Times New Roman"/>
          <w:color w:val="000000"/>
        </w:rPr>
        <w:t>are</w:t>
      </w:r>
      <w:r w:rsidR="00C965F5" w:rsidRPr="004328EA">
        <w:rPr>
          <w:rFonts w:eastAsia="Times New Roman"/>
          <w:color w:val="000000"/>
        </w:rPr>
        <w:t xml:space="preserve"> not treated with antipsychotic medication. </w:t>
      </w:r>
      <w:r w:rsidR="00C768E7">
        <w:rPr>
          <w:rFonts w:eastAsia="Times New Roman"/>
          <w:color w:val="000000"/>
        </w:rPr>
        <w:t xml:space="preserve">Baseline data </w:t>
      </w:r>
      <w:r w:rsidR="00C768E7" w:rsidRPr="000B50B0">
        <w:rPr>
          <w:rFonts w:eastAsia="Times New Roman"/>
          <w:lang w:val="en-US"/>
        </w:rPr>
        <w:t xml:space="preserve">are also part of </w:t>
      </w:r>
      <w:r w:rsidR="00C768E7">
        <w:rPr>
          <w:rFonts w:eastAsia="Times New Roman"/>
          <w:lang w:val="en-US"/>
        </w:rPr>
        <w:t>a</w:t>
      </w:r>
      <w:r w:rsidR="00C768E7" w:rsidRPr="000B50B0">
        <w:rPr>
          <w:rFonts w:eastAsia="Times New Roman"/>
          <w:lang w:val="en-US"/>
        </w:rPr>
        <w:t xml:space="preserve"> recently </w:t>
      </w:r>
      <w:r w:rsidR="006D4FAA">
        <w:rPr>
          <w:rFonts w:eastAsia="Times New Roman"/>
          <w:lang w:val="en-US"/>
        </w:rPr>
        <w:t>published</w:t>
      </w:r>
      <w:r w:rsidR="007279B6">
        <w:rPr>
          <w:rFonts w:eastAsia="Times New Roman"/>
          <w:lang w:val="en-US"/>
        </w:rPr>
        <w:t xml:space="preserve"> </w:t>
      </w:r>
      <w:r w:rsidR="00C768E7">
        <w:rPr>
          <w:rFonts w:eastAsia="Times New Roman"/>
          <w:lang w:val="en-US"/>
        </w:rPr>
        <w:t xml:space="preserve">paper describing patterns of cortical structures and cognition </w:t>
      </w:r>
      <w:r w:rsidR="00E0225B">
        <w:rPr>
          <w:rFonts w:eastAsia="Times New Roman"/>
          <w:lang w:val="en-US"/>
        </w:rPr>
        <w:t>at baseline</w:t>
      </w:r>
      <w:r w:rsidR="006D4FAA">
        <w:rPr>
          <w:rFonts w:eastAsia="Times New Roman"/>
          <w:lang w:val="en-US"/>
        </w:rPr>
        <w:t xml:space="preserve"> </w:t>
      </w:r>
      <w:r w:rsidR="00AF7278">
        <w:rPr>
          <w:rFonts w:eastAsia="Times New Roman"/>
          <w:lang w:val="en-US"/>
        </w:rPr>
        <w:fldChar w:fldCharType="begin">
          <w:fldData xml:space="preserve">PEVuZE5vdGU+PENpdGU+PEF1dGhvcj5KZXNzZW48L0F1dGhvcj48WWVhcj4yMDE4PC9ZZWFyPjxS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</w:fldData>
        </w:fldChar>
      </w:r>
      <w:r w:rsidR="00AF7278">
        <w:rPr>
          <w:rFonts w:eastAsia="Times New Roman"/>
          <w:lang w:val="en-US"/>
        </w:rPr>
        <w:instrText xml:space="preserve"> ADDIN EN.CITE </w:instrText>
      </w:r>
      <w:r w:rsidR="00AF7278">
        <w:rPr>
          <w:rFonts w:eastAsia="Times New Roman"/>
          <w:lang w:val="en-US"/>
        </w:rPr>
        <w:fldChar w:fldCharType="begin">
          <w:fldData xml:space="preserve">PEVuZE5vdGU+PENpdGU+PEF1dGhvcj5KZXNzZW48L0F1dGhvcj48WWVhcj4yMDE4PC9ZZWFyPjxS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</w:fldData>
        </w:fldChar>
      </w:r>
      <w:r w:rsidR="00AF7278">
        <w:rPr>
          <w:rFonts w:eastAsia="Times New Roman"/>
          <w:lang w:val="en-US"/>
        </w:rPr>
        <w:instrText xml:space="preserve"> ADDIN EN.CITE.DATA </w:instrText>
      </w:r>
      <w:r w:rsidR="00AF7278">
        <w:rPr>
          <w:rFonts w:eastAsia="Times New Roman"/>
          <w:lang w:val="en-US"/>
        </w:rPr>
      </w:r>
      <w:r w:rsidR="00AF7278">
        <w:rPr>
          <w:rFonts w:eastAsia="Times New Roman"/>
          <w:lang w:val="en-US"/>
        </w:rPr>
        <w:fldChar w:fldCharType="end"/>
      </w:r>
      <w:r w:rsidR="00AF7278">
        <w:rPr>
          <w:rFonts w:eastAsia="Times New Roman"/>
          <w:lang w:val="en-US"/>
        </w:rPr>
      </w:r>
      <w:r w:rsidR="00AF7278">
        <w:rPr>
          <w:rFonts w:eastAsia="Times New Roman"/>
          <w:lang w:val="en-US"/>
        </w:rPr>
        <w:fldChar w:fldCharType="separate"/>
      </w:r>
      <w:r w:rsidR="00AF7278">
        <w:rPr>
          <w:rFonts w:eastAsia="Times New Roman"/>
          <w:noProof/>
          <w:lang w:val="en-US"/>
        </w:rPr>
        <w:t>(Jessen</w:t>
      </w:r>
      <w:r w:rsidR="00AF7278" w:rsidRPr="00AF7278">
        <w:rPr>
          <w:rFonts w:eastAsia="Times New Roman"/>
          <w:i/>
          <w:noProof/>
          <w:lang w:val="en-US"/>
        </w:rPr>
        <w:t xml:space="preserve"> et al.</w:t>
      </w:r>
      <w:r w:rsidR="00AF7278">
        <w:rPr>
          <w:rFonts w:eastAsia="Times New Roman"/>
          <w:noProof/>
          <w:lang w:val="en-US"/>
        </w:rPr>
        <w:t>, 2018)</w:t>
      </w:r>
      <w:r w:rsidR="00AF7278">
        <w:rPr>
          <w:rFonts w:eastAsia="Times New Roman"/>
          <w:lang w:val="en-US"/>
        </w:rPr>
        <w:fldChar w:fldCharType="end"/>
      </w:r>
      <w:r w:rsidR="00C768E7" w:rsidRPr="000B50B0">
        <w:rPr>
          <w:rFonts w:eastAsia="Times New Roman"/>
          <w:lang w:val="en-US"/>
        </w:rPr>
        <w:t>.</w:t>
      </w:r>
      <w:r w:rsidR="00C37056">
        <w:t xml:space="preserve"> </w:t>
      </w:r>
    </w:p>
    <w:p w14:paraId="68A62986" w14:textId="4E9BFAE6" w:rsidR="007F3082" w:rsidRPr="008E46B0" w:rsidRDefault="001A0B12" w:rsidP="0090405F">
      <w:pPr>
        <w:spacing w:after="0" w:line="480" w:lineRule="auto"/>
        <w:rPr>
          <w:lang w:val="en-US"/>
        </w:rPr>
      </w:pPr>
      <w:r w:rsidRPr="00F83441">
        <w:t xml:space="preserve">The </w:t>
      </w:r>
      <w:r w:rsidR="00FB17D7" w:rsidRPr="00F83441">
        <w:t xml:space="preserve">diagnostic </w:t>
      </w:r>
      <w:r w:rsidRPr="00F83441">
        <w:rPr>
          <w:lang w:val="en-US"/>
        </w:rPr>
        <w:t xml:space="preserve">SCAN interview was performed by </w:t>
      </w:r>
      <w:r w:rsidR="00C768E7" w:rsidRPr="00F83441">
        <w:rPr>
          <w:lang w:val="en-US"/>
        </w:rPr>
        <w:t>trained interviewers (</w:t>
      </w:r>
      <w:r w:rsidRPr="00F83441">
        <w:rPr>
          <w:lang w:val="en-US"/>
        </w:rPr>
        <w:t>two doctors or a doctor and</w:t>
      </w:r>
      <w:r w:rsidR="006246CF" w:rsidRPr="00F83441">
        <w:rPr>
          <w:lang w:val="en-US"/>
        </w:rPr>
        <w:t xml:space="preserve"> </w:t>
      </w:r>
      <w:r w:rsidRPr="00F83441">
        <w:rPr>
          <w:lang w:val="en-US"/>
        </w:rPr>
        <w:t>research nurse</w:t>
      </w:r>
      <w:r w:rsidR="00C768E7" w:rsidRPr="00F83441">
        <w:rPr>
          <w:lang w:val="en-US"/>
        </w:rPr>
        <w:t>)</w:t>
      </w:r>
      <w:r w:rsidR="00C37056" w:rsidRPr="00F83441">
        <w:rPr>
          <w:lang w:val="en-US"/>
        </w:rPr>
        <w:t>,</w:t>
      </w:r>
      <w:r w:rsidRPr="00F83441">
        <w:rPr>
          <w:lang w:val="en-US"/>
        </w:rPr>
        <w:t xml:space="preserve"> and the diagnosis was re-assessed by a psychiatrist. Patients were only included if agreement </w:t>
      </w:r>
      <w:r w:rsidR="00FB17D7" w:rsidRPr="00F83441">
        <w:rPr>
          <w:lang w:val="en-US"/>
        </w:rPr>
        <w:t xml:space="preserve">on a diagnosis of </w:t>
      </w:r>
      <w:r w:rsidR="00C768E7" w:rsidRPr="00F83441">
        <w:rPr>
          <w:lang w:val="en-US"/>
        </w:rPr>
        <w:t>schizophrenia, schizoaffective disorder, or non-organic psychosis</w:t>
      </w:r>
      <w:r w:rsidR="00FB17D7" w:rsidRPr="00F83441">
        <w:rPr>
          <w:lang w:val="en-US"/>
        </w:rPr>
        <w:t xml:space="preserve"> was obtained</w:t>
      </w:r>
      <w:r w:rsidR="0090405F" w:rsidRPr="00F83441">
        <w:rPr>
          <w:lang w:val="en-US"/>
        </w:rPr>
        <w:t xml:space="preserve"> and there was a need for antipsychotic treatment</w:t>
      </w:r>
      <w:r w:rsidRPr="00F83441">
        <w:rPr>
          <w:lang w:val="en-US"/>
        </w:rPr>
        <w:t>.</w:t>
      </w:r>
      <w:r w:rsidR="007F3082" w:rsidRPr="00F83441">
        <w:rPr>
          <w:lang w:val="en-US"/>
        </w:rPr>
        <w:t xml:space="preserve"> Further exclusion criteria for </w:t>
      </w:r>
      <w:r w:rsidR="005657A6" w:rsidRPr="00F83441">
        <w:rPr>
          <w:lang w:val="en-US"/>
        </w:rPr>
        <w:t xml:space="preserve">patients were treatment with an antidepressant within the last 30 days and being involuntary admitted. </w:t>
      </w:r>
      <w:r w:rsidR="006837C2" w:rsidRPr="00F83441">
        <w:rPr>
          <w:rFonts w:asciiTheme="majorHAnsi" w:hAnsiTheme="majorHAnsi" w:cstheme="majorHAnsi"/>
          <w:lang w:val="en-US"/>
        </w:rPr>
        <w:t>HCs were excluded if they had a lifetime psychiatric illness, first-degree relatives with a psychiatric diagnosis,</w:t>
      </w:r>
      <w:r w:rsidR="006837C2" w:rsidRPr="00F83441" w:rsidDel="00F127EA">
        <w:rPr>
          <w:rFonts w:asciiTheme="majorHAnsi" w:hAnsiTheme="majorHAnsi" w:cstheme="majorHAnsi"/>
          <w:lang w:val="en-US"/>
        </w:rPr>
        <w:t xml:space="preserve"> </w:t>
      </w:r>
      <w:r w:rsidR="006837C2" w:rsidRPr="00F83441">
        <w:rPr>
          <w:rFonts w:asciiTheme="majorHAnsi" w:hAnsiTheme="majorHAnsi" w:cstheme="majorHAnsi"/>
          <w:lang w:val="en-US"/>
        </w:rPr>
        <w:t xml:space="preserve">or fulfilled the criteria for ultra-high-risk psychosis as evaluated with the Comprehensive Assessment of At-Risk Mental States </w:t>
      </w:r>
      <w:r w:rsidR="006837C2" w:rsidRPr="00F83441">
        <w:rPr>
          <w:rFonts w:asciiTheme="majorHAnsi" w:hAnsiTheme="majorHAnsi" w:cstheme="majorHAnsi"/>
          <w:lang w:val="en-US"/>
        </w:rPr>
        <w:fldChar w:fldCharType="begin"/>
      </w:r>
      <w:r w:rsidR="006837C2" w:rsidRPr="00F83441">
        <w:rPr>
          <w:rFonts w:asciiTheme="majorHAnsi" w:hAnsiTheme="majorHAnsi" w:cstheme="majorHAnsi"/>
          <w:lang w:val="en-US"/>
        </w:rPr>
        <w:instrText xml:space="preserve"> ADDIN EN.CITE &lt;EndNote&gt;&lt;Cite&gt;&lt;Author&gt;Yung&lt;/Author&gt;&lt;Year&gt;1998&lt;/Year&gt;&lt;RecNum&gt;286&lt;/RecNum&gt;&lt;DisplayText&gt;(Yung&lt;style face="italic"&gt; et al.&lt;/style&gt;, 1998)&lt;/DisplayText&gt;&lt;record&gt;&lt;rec-number&gt;286&lt;/rec-number&gt;&lt;foreign-keys&gt;&lt;key app="EN" db-id="0sa2s9arcrd9s8eas2cvxsanzdfzf0fwteza" timestamp="1486973531"&gt;286&lt;/key&gt;&lt;/foreign-keys&gt;&lt;ref-type name="Journal Article"&gt;17&lt;/ref-type&gt;&lt;contributors&gt;&lt;authors&gt;&lt;author&gt;Yung, A. R.&lt;/author&gt;&lt;author&gt;Phillips, L. J.&lt;/author&gt;&lt;author&gt;McGorry, P. D.&lt;/author&gt;&lt;author&gt;McFarlane, C. A.&lt;/author&gt;&lt;author&gt;Francey, S.&lt;/author&gt;&lt;author&gt;Harrigan, S.&lt;/author&gt;&lt;author&gt;Patton, G. C.&lt;/author&gt;&lt;author&gt;Jackson, H. J.&lt;/author&gt;&lt;/authors&gt;&lt;/contributors&gt;&lt;auth-address&gt;Centre for Young People&amp;apos;s Mental Health, Victoria, Australia.&lt;/auth-address&gt;&lt;titles&gt;&lt;title&gt;Prediction of psychosis. A step towards indicated prevention of schizophrenia&lt;/title&gt;&lt;secondary-title&gt;Br J Psychiatry Suppl&lt;/secondary-title&gt;&lt;/titles&gt;&lt;periodical&gt;&lt;full-title&gt;Br J Psychiatry Suppl&lt;/full-title&gt;&lt;/periodical&gt;&lt;pages&gt;14-20&lt;/pages&gt;&lt;volume&gt;172&lt;/volume&gt;&lt;number&gt;33&lt;/number&gt;&lt;keywords&gt;&lt;keyword&gt;Cognition Disorders/diagnosis&lt;/keyword&gt;&lt;keyword&gt;Follow-Up Studies&lt;/keyword&gt;&lt;keyword&gt;Humans&lt;/keyword&gt;&lt;keyword&gt;Prospective Studies&lt;/keyword&gt;&lt;keyword&gt;Psychiatric Status Rating Scales&lt;/keyword&gt;&lt;keyword&gt;Psychotic Disorders/*diagnosis/genetics/psychology&lt;/keyword&gt;&lt;keyword&gt;Referral and Consultation&lt;/keyword&gt;&lt;keyword&gt;Risk Factors&lt;/keyword&gt;&lt;keyword&gt;Schizophrenia/*prevention &amp;amp; control&lt;/keyword&gt;&lt;/keywords&gt;&lt;dates&gt;&lt;year&gt;1998&lt;/year&gt;&lt;/dates&gt;&lt;isbn&gt;0960-5371 (Print)&amp;#xD;0960-5371 (Linking)&lt;/isbn&gt;&lt;accession-num&gt;9764121&lt;/accession-num&gt;&lt;urls&gt;&lt;related-urls&gt;&lt;url&gt;http://www.ncbi.nlm.nih.gov/pubmed/9764121&lt;/url&gt;&lt;/related-urls&gt;&lt;/urls&gt;&lt;/record&gt;&lt;/Cite&gt;&lt;/EndNote&gt;</w:instrText>
      </w:r>
      <w:r w:rsidR="006837C2" w:rsidRPr="00F83441">
        <w:rPr>
          <w:rFonts w:asciiTheme="majorHAnsi" w:hAnsiTheme="majorHAnsi" w:cstheme="majorHAnsi"/>
          <w:lang w:val="en-US"/>
        </w:rPr>
        <w:fldChar w:fldCharType="separate"/>
      </w:r>
      <w:r w:rsidR="006837C2" w:rsidRPr="00F83441">
        <w:rPr>
          <w:rFonts w:asciiTheme="majorHAnsi" w:hAnsiTheme="majorHAnsi" w:cstheme="majorHAnsi"/>
          <w:noProof/>
          <w:lang w:val="en-US"/>
        </w:rPr>
        <w:t>(Yung</w:t>
      </w:r>
      <w:r w:rsidR="006837C2" w:rsidRPr="00F83441">
        <w:rPr>
          <w:rFonts w:asciiTheme="majorHAnsi" w:hAnsiTheme="majorHAnsi" w:cstheme="majorHAnsi"/>
          <w:i/>
          <w:noProof/>
          <w:lang w:val="en-US"/>
        </w:rPr>
        <w:t xml:space="preserve"> et al.</w:t>
      </w:r>
      <w:r w:rsidR="006837C2" w:rsidRPr="00F83441">
        <w:rPr>
          <w:rFonts w:asciiTheme="majorHAnsi" w:hAnsiTheme="majorHAnsi" w:cstheme="majorHAnsi"/>
          <w:noProof/>
          <w:lang w:val="en-US"/>
        </w:rPr>
        <w:t>, 1998)</w:t>
      </w:r>
      <w:r w:rsidR="006837C2" w:rsidRPr="00F83441">
        <w:rPr>
          <w:rFonts w:asciiTheme="majorHAnsi" w:hAnsiTheme="majorHAnsi" w:cstheme="majorHAnsi"/>
          <w:lang w:val="en-US"/>
        </w:rPr>
        <w:fldChar w:fldCharType="end"/>
      </w:r>
      <w:r w:rsidR="006837C2" w:rsidRPr="00F83441">
        <w:rPr>
          <w:rFonts w:asciiTheme="majorHAnsi" w:hAnsiTheme="majorHAnsi" w:cstheme="majorHAnsi"/>
          <w:lang w:val="en-US"/>
        </w:rPr>
        <w:t>.</w:t>
      </w:r>
      <w:r w:rsidR="006837C2" w:rsidRPr="00F83441">
        <w:rPr>
          <w:rFonts w:asciiTheme="majorHAnsi" w:eastAsia="Times New Roman" w:hAnsiTheme="majorHAnsi" w:cstheme="majorHAnsi"/>
          <w:lang w:val="en-US"/>
        </w:rPr>
        <w:t xml:space="preserve"> </w:t>
      </w:r>
      <w:r w:rsidR="005657A6" w:rsidRPr="00F83441">
        <w:rPr>
          <w:lang w:val="en-US"/>
        </w:rPr>
        <w:t xml:space="preserve">Exclusion criteria for all </w:t>
      </w:r>
      <w:r w:rsidR="007F3082" w:rsidRPr="00F83441">
        <w:rPr>
          <w:lang w:val="en-US"/>
        </w:rPr>
        <w:t>participants were</w:t>
      </w:r>
      <w:r w:rsidR="00C37056" w:rsidRPr="00F83441">
        <w:rPr>
          <w:lang w:val="en-US"/>
        </w:rPr>
        <w:t xml:space="preserve"> a</w:t>
      </w:r>
      <w:r w:rsidR="007F3082" w:rsidRPr="00F83441">
        <w:rPr>
          <w:lang w:val="en-US"/>
        </w:rPr>
        <w:t xml:space="preserve"> history of </w:t>
      </w:r>
      <w:r w:rsidR="00C37056" w:rsidRPr="00F83441">
        <w:rPr>
          <w:lang w:val="en-US"/>
        </w:rPr>
        <w:t xml:space="preserve">a </w:t>
      </w:r>
      <w:r w:rsidR="007F3082" w:rsidRPr="00F83441">
        <w:rPr>
          <w:lang w:val="en-US"/>
        </w:rPr>
        <w:t>head injury with unconsciousness &gt;5 min, severe medical condition, and contraindication to MR</w:t>
      </w:r>
      <w:r w:rsidR="004D7754" w:rsidRPr="00F83441">
        <w:rPr>
          <w:lang w:val="en-US"/>
        </w:rPr>
        <w:t>I</w:t>
      </w:r>
      <w:r w:rsidR="007F3082" w:rsidRPr="00F83441">
        <w:rPr>
          <w:lang w:val="en-US"/>
        </w:rPr>
        <w:t xml:space="preserve"> scans.</w:t>
      </w:r>
      <w:r w:rsidR="007F3082" w:rsidRPr="008E46B0">
        <w:rPr>
          <w:lang w:val="en-US"/>
        </w:rPr>
        <w:t xml:space="preserve"> </w:t>
      </w:r>
    </w:p>
    <w:p w14:paraId="39229E2F" w14:textId="77777777" w:rsidR="006D4FAA" w:rsidRPr="004328EA" w:rsidRDefault="006D4FAA" w:rsidP="005F2B4F">
      <w:pPr>
        <w:spacing w:after="0" w:line="480" w:lineRule="auto"/>
        <w:rPr>
          <w:rFonts w:eastAsia="Times New Roman"/>
          <w:color w:val="000000"/>
        </w:rPr>
      </w:pPr>
    </w:p>
    <w:p w14:paraId="0D591967" w14:textId="77777777" w:rsidR="00130A14" w:rsidRPr="004328EA" w:rsidRDefault="00130A14" w:rsidP="001208D8">
      <w:pPr>
        <w:spacing w:line="480" w:lineRule="auto"/>
        <w:outlineLvl w:val="0"/>
        <w:rPr>
          <w:b/>
        </w:rPr>
      </w:pPr>
      <w:r w:rsidRPr="004328EA">
        <w:rPr>
          <w:b/>
        </w:rPr>
        <w:lastRenderedPageBreak/>
        <w:t>Clinical assessments</w:t>
      </w:r>
    </w:p>
    <w:p w14:paraId="2E304A1A" w14:textId="1E072683" w:rsidR="00876F55" w:rsidRPr="004328EA" w:rsidRDefault="00130A14" w:rsidP="007337BF">
      <w:pPr>
        <w:spacing w:line="480" w:lineRule="auto"/>
        <w:ind w:firstLine="720"/>
      </w:pPr>
      <w:r w:rsidRPr="004328EA">
        <w:t>Treatment outcome</w:t>
      </w:r>
      <w:r w:rsidR="00C37056">
        <w:t>s</w:t>
      </w:r>
      <w:r w:rsidRPr="004328EA">
        <w:t xml:space="preserve"> </w:t>
      </w:r>
      <w:r w:rsidR="00C37056" w:rsidRPr="004328EA">
        <w:t>w</w:t>
      </w:r>
      <w:r w:rsidR="00C37056">
        <w:t>ere</w:t>
      </w:r>
      <w:r w:rsidR="00C37056" w:rsidRPr="004328EA">
        <w:t xml:space="preserve"> </w:t>
      </w:r>
      <w:r w:rsidRPr="004328EA">
        <w:t xml:space="preserve">evaluated with the Andreasen criteria, </w:t>
      </w:r>
      <w:r w:rsidR="005D74FE">
        <w:t>in which</w:t>
      </w:r>
      <w:r w:rsidR="005D74FE" w:rsidRPr="004328EA">
        <w:t xml:space="preserve"> </w:t>
      </w:r>
      <w:r w:rsidRPr="004328EA">
        <w:t>re</w:t>
      </w:r>
      <w:r w:rsidR="00ED476B">
        <w:t>mission</w:t>
      </w:r>
      <w:r w:rsidRPr="004328EA">
        <w:t xml:space="preserve"> is defined as a score of mild or less </w:t>
      </w:r>
      <w:r w:rsidR="00ED476B">
        <w:t>(</w:t>
      </w:r>
      <w:r w:rsidR="00ED476B" w:rsidRPr="00ED476B">
        <w:rPr>
          <w:u w:val="single"/>
        </w:rPr>
        <w:t>&lt;</w:t>
      </w:r>
      <w:r w:rsidR="00ED476B">
        <w:t xml:space="preserve"> 3) </w:t>
      </w:r>
      <w:r w:rsidRPr="004328EA">
        <w:t xml:space="preserve">on the following </w:t>
      </w:r>
      <w:r w:rsidR="00195128">
        <w:t>8</w:t>
      </w:r>
      <w:r w:rsidRPr="004328EA">
        <w:t xml:space="preserve"> PANSS scores: delusion (P1), conceptual disorganisation (P2), hallucinatory behaviour (P3), blunted affect (N1), social withdrawal (N4), lack of spontaneity (N6), mannerisms/posturing (G5), and unusual though content (G9)</w:t>
      </w:r>
      <w:r w:rsidR="004E1467">
        <w:t xml:space="preserve"> </w:t>
      </w:r>
      <w:r w:rsidRPr="004328EA">
        <w:fldChar w:fldCharType="begin"/>
      </w:r>
      <w:r w:rsidR="00A361AD">
        <w:instrText xml:space="preserve"> ADDIN EN.CITE &lt;EndNote&gt;&lt;Cite&gt;&lt;Author&gt;Andreasen&lt;/Author&gt;&lt;Year&gt;2005&lt;/Year&gt;&lt;RecNum&gt;538&lt;/RecNum&gt;&lt;DisplayText&gt;(Andreasen&lt;style face="italic"&gt; et al.&lt;/style&gt;, 2005)&lt;/DisplayText&gt;&lt;record&gt;&lt;rec-number&gt;538&lt;/rec-number&gt;&lt;foreign-keys&gt;&lt;key app="EN" db-id="0sa2s9arcrd9s8eas2cvxsanzdfzf0fwteza" timestamp="1515408528"&gt;538&lt;/key&gt;&lt;/foreign-keys&gt;&lt;ref-type name="Journal Article"&gt;17&lt;/ref-type&gt;&lt;contributors&gt;&lt;authors&gt;&lt;author&gt;Andreasen, N. C.&lt;/author&gt;&lt;author&gt;Carpenter, W. T., Jr.&lt;/author&gt;&lt;author&gt;Kane, J. M.&lt;/author&gt;&lt;author&gt;Lasser, R. A.&lt;/author&gt;&lt;author&gt;Marder, S. R.&lt;/author&gt;&lt;author&gt;Weinberger, D. R.&lt;/author&gt;&lt;/authors&gt;&lt;/contributors&gt;&lt;auth-address&gt;Department of Psychiatry, University of Iowa, Iowa City, Iowa, USA.&lt;/auth-address&gt;&lt;titles&gt;&lt;title&gt;Remission in schizophrenia: proposed criteria and rationale for consensus&lt;/title&gt;&lt;secondary-title&gt;Am J Psychiatry&lt;/secondary-title&gt;&lt;/titles&gt;&lt;periodical&gt;&lt;full-title&gt;Am J Psychiatry&lt;/full-title&gt;&lt;/periodical&gt;&lt;pages&gt;441-9&lt;/pages&gt;&lt;volume&gt;162&lt;/volume&gt;&lt;number&gt;3&lt;/number&gt;&lt;keywords&gt;&lt;keyword&gt;Brief Psychiatric Rating Scale/standards/statistics &amp;amp; numerical data&lt;/keyword&gt;&lt;keyword&gt;*Consensus&lt;/keyword&gt;&lt;keyword&gt;Humans&lt;/keyword&gt;&lt;keyword&gt;Outcome Assessment (Health Care)/methods/*standards&lt;/keyword&gt;&lt;keyword&gt;Prognosis&lt;/keyword&gt;&lt;keyword&gt;Psychiatric Status Rating Scales/standards/statistics &amp;amp; numerical data&lt;/keyword&gt;&lt;keyword&gt;Research Design/standards&lt;/keyword&gt;&lt;keyword&gt;Schizophrenia/drug therapy/etiology/*therapy&lt;/keyword&gt;&lt;keyword&gt;*Schizophrenic Psychology&lt;/keyword&gt;&lt;keyword&gt;Severity of Illness Index&lt;/keyword&gt;&lt;keyword&gt;Treatment Outcome&lt;/keyword&gt;&lt;/keywords&gt;&lt;dates&gt;&lt;year&gt;2005&lt;/year&gt;&lt;pub-dates&gt;&lt;date&gt;Mar&lt;/date&gt;&lt;/pub-dates&gt;&lt;/dates&gt;&lt;isbn&gt;0002-953X (Print)&amp;#xD;0002-953X (Linking)&lt;/isbn&gt;&lt;accession-num&gt;15741458&lt;/accession-num&gt;&lt;urls&gt;&lt;related-urls&gt;&lt;url&gt;http://www.ncbi.nlm.nih.gov/pubmed/15741458&lt;/url&gt;&lt;/related-urls&gt;&lt;/urls&gt;&lt;electronic-resource-num&gt;10.1176/appi.ajp.162.3.441&lt;/electronic-resource-num&gt;&lt;/record&gt;&lt;/Cite&gt;&lt;/EndNote&gt;</w:instrText>
      </w:r>
      <w:r w:rsidRPr="004328EA">
        <w:fldChar w:fldCharType="separate"/>
      </w:r>
      <w:r w:rsidR="00A361AD">
        <w:rPr>
          <w:noProof/>
        </w:rPr>
        <w:t>(Andreasen</w:t>
      </w:r>
      <w:r w:rsidR="00A361AD" w:rsidRPr="00A361AD">
        <w:rPr>
          <w:i/>
          <w:noProof/>
        </w:rPr>
        <w:t xml:space="preserve"> et al.</w:t>
      </w:r>
      <w:r w:rsidR="00A361AD">
        <w:rPr>
          <w:noProof/>
        </w:rPr>
        <w:t>, 2005)</w:t>
      </w:r>
      <w:r w:rsidRPr="004328EA">
        <w:fldChar w:fldCharType="end"/>
      </w:r>
      <w:r w:rsidR="004E1467">
        <w:t>.</w:t>
      </w:r>
    </w:p>
    <w:p w14:paraId="70AEA795" w14:textId="775FFBE2" w:rsidR="00E64241" w:rsidRPr="00F83441" w:rsidRDefault="00E64241" w:rsidP="001208D8">
      <w:pPr>
        <w:spacing w:line="480" w:lineRule="auto"/>
        <w:outlineLvl w:val="0"/>
        <w:rPr>
          <w:b/>
        </w:rPr>
      </w:pPr>
      <w:r w:rsidRPr="00F83441">
        <w:rPr>
          <w:b/>
        </w:rPr>
        <w:t>MRI</w:t>
      </w:r>
    </w:p>
    <w:p w14:paraId="384EF793" w14:textId="52E44970" w:rsidR="00E64241" w:rsidRDefault="00E64241" w:rsidP="000B7C97">
      <w:pPr>
        <w:spacing w:after="0" w:line="480" w:lineRule="auto"/>
        <w:ind w:firstLine="720"/>
        <w:rPr>
          <w:rStyle w:val="paragraph"/>
          <w:lang w:val="en-US"/>
        </w:rPr>
      </w:pPr>
      <w:r w:rsidRPr="00F83441">
        <w:rPr>
          <w:lang w:val="en-US"/>
        </w:rPr>
        <w:t>MRI was performed on a 3.0 Tesla scanner (</w:t>
      </w:r>
      <w:proofErr w:type="spellStart"/>
      <w:r w:rsidRPr="00F83441">
        <w:rPr>
          <w:lang w:val="en-US"/>
        </w:rPr>
        <w:t>Achieva</w:t>
      </w:r>
      <w:proofErr w:type="spellEnd"/>
      <w:r w:rsidRPr="00F83441">
        <w:rPr>
          <w:lang w:val="en-US"/>
        </w:rPr>
        <w:t>; Philips Healthcare, Eindhoven, The Netherlands) using a 32-channel head coil (</w:t>
      </w:r>
      <w:proofErr w:type="spellStart"/>
      <w:r w:rsidRPr="00F83441">
        <w:rPr>
          <w:lang w:val="en-US"/>
        </w:rPr>
        <w:t>Invivo</w:t>
      </w:r>
      <w:proofErr w:type="spellEnd"/>
      <w:r w:rsidRPr="00F83441">
        <w:rPr>
          <w:lang w:val="en-US"/>
        </w:rPr>
        <w:t xml:space="preserve">, Orlando, Florida, USA). Participants were instructed not to move their head or body during the scans. A </w:t>
      </w:r>
      <w:r w:rsidRPr="00F83441">
        <w:rPr>
          <w:rStyle w:val="paragraph"/>
          <w:lang w:val="en-US"/>
        </w:rPr>
        <w:t xml:space="preserve">high-resolution, three-dimensional, T1-weighted structural image of the brain (TR 10 </w:t>
      </w:r>
      <w:proofErr w:type="spellStart"/>
      <w:r w:rsidRPr="00F83441">
        <w:rPr>
          <w:rStyle w:val="paragraph"/>
          <w:lang w:val="en-US"/>
        </w:rPr>
        <w:t>ms</w:t>
      </w:r>
      <w:proofErr w:type="spellEnd"/>
      <w:r w:rsidRPr="00F83441">
        <w:rPr>
          <w:rStyle w:val="paragraph"/>
          <w:lang w:val="en-US"/>
        </w:rPr>
        <w:t xml:space="preserve">, TE 4.6 </w:t>
      </w:r>
      <w:proofErr w:type="spellStart"/>
      <w:r w:rsidRPr="00F83441">
        <w:rPr>
          <w:rStyle w:val="paragraph"/>
          <w:lang w:val="en-US"/>
        </w:rPr>
        <w:t>ms</w:t>
      </w:r>
      <w:proofErr w:type="spellEnd"/>
      <w:r w:rsidRPr="00F83441">
        <w:rPr>
          <w:rStyle w:val="paragraph"/>
          <w:lang w:val="en-US"/>
        </w:rPr>
        <w:t xml:space="preserve">, flip angle = 8°, voxel size = 0.79 × 0.79 × 0.80mm) was </w:t>
      </w:r>
      <w:r w:rsidRPr="00F83441">
        <w:rPr>
          <w:lang w:val="en-US"/>
        </w:rPr>
        <w:t>acquired for anatomic reference, spectroscopic voxel placement, and tissue segmentation</w:t>
      </w:r>
      <w:r w:rsidR="000B7C97" w:rsidRPr="00F83441">
        <w:rPr>
          <w:rStyle w:val="paragraph"/>
          <w:lang w:val="en-US"/>
        </w:rPr>
        <w:t>.</w:t>
      </w:r>
    </w:p>
    <w:p w14:paraId="719A98C9" w14:textId="77777777" w:rsidR="000B7C97" w:rsidRPr="000B7C97" w:rsidRDefault="000B7C97" w:rsidP="000B7C97">
      <w:pPr>
        <w:spacing w:after="0" w:line="480" w:lineRule="auto"/>
        <w:ind w:firstLine="720"/>
        <w:rPr>
          <w:lang w:val="en-US"/>
        </w:rPr>
      </w:pPr>
    </w:p>
    <w:p w14:paraId="0D979E71" w14:textId="070CCA7E" w:rsidR="00FB17D7" w:rsidRPr="004328EA" w:rsidRDefault="00FB17D7" w:rsidP="001208D8">
      <w:pPr>
        <w:spacing w:line="480" w:lineRule="auto"/>
        <w:outlineLvl w:val="0"/>
      </w:pPr>
      <w:r>
        <w:rPr>
          <w:b/>
        </w:rPr>
        <w:t>MR</w:t>
      </w:r>
      <w:r w:rsidR="004D7754">
        <w:rPr>
          <w:b/>
        </w:rPr>
        <w:t>I</w:t>
      </w:r>
      <w:r>
        <w:rPr>
          <w:b/>
        </w:rPr>
        <w:t xml:space="preserve"> scanner upgrade</w:t>
      </w:r>
    </w:p>
    <w:p w14:paraId="0CA6041C" w14:textId="4DDA962A" w:rsidR="00FB17D7" w:rsidRDefault="0090405F" w:rsidP="007337BF">
      <w:pPr>
        <w:spacing w:after="0" w:line="480" w:lineRule="auto"/>
        <w:ind w:firstLine="720"/>
        <w:rPr>
          <w:lang w:val="en-US"/>
        </w:rPr>
      </w:pPr>
      <w:r>
        <w:rPr>
          <w:rFonts w:eastAsia="Times New Roman"/>
          <w:color w:val="000000"/>
        </w:rPr>
        <w:t xml:space="preserve">After study initiation, </w:t>
      </w:r>
      <w:r w:rsidR="00FB17D7" w:rsidRPr="008E46B0">
        <w:rPr>
          <w:lang w:val="en-US"/>
        </w:rPr>
        <w:t>a technical upgrade</w:t>
      </w:r>
      <w:r w:rsidR="00FB17D7">
        <w:rPr>
          <w:lang w:val="en-US"/>
        </w:rPr>
        <w:t xml:space="preserve"> was performed on the MR</w:t>
      </w:r>
      <w:r w:rsidR="004D7754">
        <w:rPr>
          <w:lang w:val="en-US"/>
        </w:rPr>
        <w:t>I</w:t>
      </w:r>
      <w:r w:rsidR="00FB17D7">
        <w:rPr>
          <w:lang w:val="en-US"/>
        </w:rPr>
        <w:t xml:space="preserve"> scanner</w:t>
      </w:r>
      <w:r>
        <w:rPr>
          <w:lang w:val="en-US"/>
        </w:rPr>
        <w:t xml:space="preserve"> for 8 months</w:t>
      </w:r>
      <w:r w:rsidR="00FB17D7">
        <w:rPr>
          <w:lang w:val="en-US"/>
        </w:rPr>
        <w:t xml:space="preserve">. Before the upgrade, 10 patients and </w:t>
      </w:r>
      <w:r>
        <w:rPr>
          <w:lang w:val="en-US"/>
        </w:rPr>
        <w:t>4</w:t>
      </w:r>
      <w:r w:rsidR="00FB17D7">
        <w:rPr>
          <w:lang w:val="en-US"/>
        </w:rPr>
        <w:t xml:space="preserve"> HCs were scanned at baseline, </w:t>
      </w:r>
      <w:r>
        <w:rPr>
          <w:lang w:val="en-US"/>
        </w:rPr>
        <w:t>8</w:t>
      </w:r>
      <w:r w:rsidR="00FB17D7">
        <w:rPr>
          <w:lang w:val="en-US"/>
        </w:rPr>
        <w:t xml:space="preserve"> patients and </w:t>
      </w:r>
      <w:r>
        <w:rPr>
          <w:lang w:val="en-US"/>
        </w:rPr>
        <w:t>4</w:t>
      </w:r>
      <w:r w:rsidR="00FB17D7">
        <w:rPr>
          <w:lang w:val="en-US"/>
        </w:rPr>
        <w:t xml:space="preserve"> HCs were scanned at </w:t>
      </w:r>
      <w:r w:rsidR="006D4FAA">
        <w:rPr>
          <w:lang w:val="en-US"/>
        </w:rPr>
        <w:t>6 weeks</w:t>
      </w:r>
      <w:r w:rsidR="00FB17D7">
        <w:rPr>
          <w:lang w:val="en-US"/>
        </w:rPr>
        <w:t xml:space="preserve">, and </w:t>
      </w:r>
      <w:r>
        <w:rPr>
          <w:lang w:val="en-US"/>
        </w:rPr>
        <w:t>5</w:t>
      </w:r>
      <w:r w:rsidR="00FB17D7">
        <w:rPr>
          <w:lang w:val="en-US"/>
        </w:rPr>
        <w:t xml:space="preserve"> patients were scanned at </w:t>
      </w:r>
      <w:r w:rsidR="006D4FAA">
        <w:rPr>
          <w:lang w:val="en-US"/>
        </w:rPr>
        <w:t>26 weeks</w:t>
      </w:r>
      <w:r w:rsidR="00001CC7">
        <w:rPr>
          <w:lang w:val="en-US"/>
        </w:rPr>
        <w:t>. Glutamate</w:t>
      </w:r>
      <w:r w:rsidR="004E2BBD">
        <w:rPr>
          <w:lang w:val="en-US"/>
        </w:rPr>
        <w:t>/Cr</w:t>
      </w:r>
      <w:r w:rsidR="00001CC7">
        <w:rPr>
          <w:lang w:val="en-US"/>
        </w:rPr>
        <w:t xml:space="preserve"> levels in </w:t>
      </w:r>
      <w:r w:rsidR="00FB17D7">
        <w:rPr>
          <w:lang w:val="en-US"/>
        </w:rPr>
        <w:t>anterior cingulate cortex</w:t>
      </w:r>
      <w:r w:rsidR="00AF7278">
        <w:rPr>
          <w:lang w:val="en-US"/>
        </w:rPr>
        <w:t xml:space="preserve"> (ACC)</w:t>
      </w:r>
      <w:r w:rsidR="00FB17D7">
        <w:rPr>
          <w:lang w:val="en-US"/>
        </w:rPr>
        <w:t xml:space="preserve"> of </w:t>
      </w:r>
      <w:r>
        <w:rPr>
          <w:lang w:val="en-US"/>
        </w:rPr>
        <w:t>8</w:t>
      </w:r>
      <w:r w:rsidR="00FB17D7">
        <w:rPr>
          <w:lang w:val="en-US"/>
        </w:rPr>
        <w:t xml:space="preserve"> healthy subjects scanned before and after the scanner upgrade did not differ (</w:t>
      </w:r>
      <w:proofErr w:type="gramStart"/>
      <w:r w:rsidR="00FB17D7">
        <w:rPr>
          <w:lang w:val="en-US"/>
        </w:rPr>
        <w:t>T</w:t>
      </w:r>
      <w:r w:rsidR="005D74FE">
        <w:rPr>
          <w:lang w:val="en-US"/>
        </w:rPr>
        <w:t>[</w:t>
      </w:r>
      <w:proofErr w:type="gramEnd"/>
      <w:r w:rsidR="00FB17D7">
        <w:rPr>
          <w:lang w:val="en-US"/>
        </w:rPr>
        <w:t>7</w:t>
      </w:r>
      <w:r w:rsidR="005D74FE">
        <w:rPr>
          <w:lang w:val="en-US"/>
        </w:rPr>
        <w:t>]=</w:t>
      </w:r>
      <w:r w:rsidR="00FB17D7">
        <w:rPr>
          <w:lang w:val="en-US"/>
        </w:rPr>
        <w:t>1.26, p=0.25).</w:t>
      </w:r>
    </w:p>
    <w:p w14:paraId="0EF6CBE7" w14:textId="77777777" w:rsidR="00E64241" w:rsidRDefault="00E64241" w:rsidP="00E64241">
      <w:pPr>
        <w:spacing w:after="0" w:line="480" w:lineRule="auto"/>
        <w:rPr>
          <w:lang w:val="en-US"/>
        </w:rPr>
      </w:pPr>
    </w:p>
    <w:p w14:paraId="6DFB8251" w14:textId="77777777" w:rsidR="003E19BB" w:rsidRPr="004328EA" w:rsidRDefault="003E19BB" w:rsidP="001208D8">
      <w:pPr>
        <w:spacing w:line="480" w:lineRule="auto"/>
        <w:outlineLvl w:val="0"/>
      </w:pPr>
      <w:r w:rsidRPr="004328EA">
        <w:rPr>
          <w:b/>
        </w:rPr>
        <w:t>MRS voxel placements</w:t>
      </w:r>
      <w:r w:rsidR="00A83627">
        <w:rPr>
          <w:b/>
        </w:rPr>
        <w:t xml:space="preserve"> </w:t>
      </w:r>
      <w:r w:rsidR="005C4519">
        <w:rPr>
          <w:b/>
        </w:rPr>
        <w:t>and coefficients of variation</w:t>
      </w:r>
    </w:p>
    <w:p w14:paraId="64C36246" w14:textId="775D148A" w:rsidR="009610E6" w:rsidRPr="004328EA" w:rsidRDefault="009610E6" w:rsidP="007337BF">
      <w:pPr>
        <w:spacing w:after="0" w:line="480" w:lineRule="auto"/>
        <w:ind w:firstLine="720"/>
      </w:pPr>
      <w:r w:rsidRPr="004328EA">
        <w:rPr>
          <w:i/>
        </w:rPr>
        <w:t>PRESS</w:t>
      </w:r>
      <w:r w:rsidRPr="004328EA">
        <w:t xml:space="preserve">: </w:t>
      </w:r>
      <w:r w:rsidR="00026A65" w:rsidRPr="004328EA">
        <w:t>A 2.0x2.0x2.0cm voxel was placed in the ACC by first drawing a line th</w:t>
      </w:r>
      <w:r w:rsidR="00DF064D" w:rsidRPr="004328EA">
        <w:t>r</w:t>
      </w:r>
      <w:r w:rsidR="00026A65" w:rsidRPr="004328EA">
        <w:t xml:space="preserve">ough the extremities of </w:t>
      </w:r>
      <w:r w:rsidR="00EB7F5F" w:rsidRPr="004328EA">
        <w:t xml:space="preserve">the </w:t>
      </w:r>
      <w:r w:rsidR="00026A65" w:rsidRPr="004328EA">
        <w:t>corpus callosum</w:t>
      </w:r>
      <w:r w:rsidR="005D74FE">
        <w:t xml:space="preserve"> and then</w:t>
      </w:r>
      <w:r w:rsidR="00026A65" w:rsidRPr="004328EA">
        <w:t xml:space="preserve"> placing the voxel corner where the line crossed the </w:t>
      </w:r>
      <w:r w:rsidR="007117FA" w:rsidRPr="004328EA">
        <w:t>genu</w:t>
      </w:r>
      <w:r w:rsidR="00026A65" w:rsidRPr="004328EA">
        <w:t xml:space="preserve"> of </w:t>
      </w:r>
      <w:r w:rsidR="00EB7F5F" w:rsidRPr="004328EA">
        <w:t xml:space="preserve">the </w:t>
      </w:r>
      <w:r w:rsidR="00026A65" w:rsidRPr="004328EA">
        <w:t>corpus callosum</w:t>
      </w:r>
      <w:r w:rsidR="005D74FE">
        <w:t>,</w:t>
      </w:r>
      <w:r w:rsidR="00026A65" w:rsidRPr="004328EA">
        <w:t xml:space="preserve"> and</w:t>
      </w:r>
      <w:r w:rsidR="00EB7F5F" w:rsidRPr="004328EA">
        <w:t>,</w:t>
      </w:r>
      <w:r w:rsidR="00026A65" w:rsidRPr="004328EA">
        <w:t xml:space="preserve"> </w:t>
      </w:r>
      <w:r w:rsidR="005D74FE">
        <w:t>finally</w:t>
      </w:r>
      <w:r w:rsidR="00EB7F5F" w:rsidRPr="004328EA">
        <w:t>,</w:t>
      </w:r>
      <w:r w:rsidR="00026A65" w:rsidRPr="004328EA">
        <w:t xml:space="preserve"> </w:t>
      </w:r>
      <w:r w:rsidRPr="004328EA">
        <w:t xml:space="preserve">the voxel was aligned </w:t>
      </w:r>
      <w:r w:rsidR="00EB7F5F" w:rsidRPr="004328EA">
        <w:t xml:space="preserve">with the </w:t>
      </w:r>
      <w:r w:rsidR="00E80720" w:rsidRPr="004328EA">
        <w:t xml:space="preserve">corpus callosum as shown in </w:t>
      </w:r>
      <w:r w:rsidRPr="004328EA">
        <w:t xml:space="preserve">Figure </w:t>
      </w:r>
      <w:r w:rsidR="00E80720" w:rsidRPr="004328EA">
        <w:t>S</w:t>
      </w:r>
      <w:r w:rsidRPr="004328EA">
        <w:t>1</w:t>
      </w:r>
      <w:r w:rsidR="00731647" w:rsidRPr="004328EA">
        <w:t>B</w:t>
      </w:r>
      <w:r w:rsidRPr="004328EA">
        <w:t xml:space="preserve">. To avoid signal interference, saturation bands were used to cover lipids in the sculp and water in </w:t>
      </w:r>
      <w:r w:rsidR="00EB7F5F" w:rsidRPr="004328EA">
        <w:t xml:space="preserve">the </w:t>
      </w:r>
      <w:r w:rsidRPr="004328EA">
        <w:t xml:space="preserve">circulus </w:t>
      </w:r>
      <w:proofErr w:type="spellStart"/>
      <w:r w:rsidRPr="004328EA">
        <w:t>willisii</w:t>
      </w:r>
      <w:proofErr w:type="spellEnd"/>
      <w:r w:rsidRPr="004328EA">
        <w:t xml:space="preserve">. </w:t>
      </w:r>
      <w:r w:rsidRPr="004328EA">
        <w:lastRenderedPageBreak/>
        <w:t xml:space="preserve">A 2.0x1.5x2.0cm voxel was placed in left thalamus so that a minimum </w:t>
      </w:r>
      <w:r w:rsidR="005D74FE">
        <w:t xml:space="preserve">amount </w:t>
      </w:r>
      <w:r w:rsidRPr="004328EA">
        <w:t>of cerebrospinal fluid (CSF) was included in the voxel</w:t>
      </w:r>
      <w:r w:rsidR="00EB7F5F" w:rsidRPr="004328EA">
        <w:t>,</w:t>
      </w:r>
      <w:r w:rsidRPr="004328EA">
        <w:t xml:space="preserve"> as shown in Figure </w:t>
      </w:r>
      <w:r w:rsidR="00E80720" w:rsidRPr="004328EA">
        <w:t>S</w:t>
      </w:r>
      <w:r w:rsidRPr="004328EA">
        <w:t>1</w:t>
      </w:r>
      <w:r w:rsidR="00731647" w:rsidRPr="004328EA">
        <w:t>A</w:t>
      </w:r>
      <w:r w:rsidRPr="004328EA">
        <w:t>. The acquisition time for both PRESS sequences was 14</w:t>
      </w:r>
      <w:r w:rsidR="00EB7F5F" w:rsidRPr="004328EA">
        <w:t xml:space="preserve"> </w:t>
      </w:r>
      <w:r w:rsidRPr="004328EA">
        <w:t>min</w:t>
      </w:r>
      <w:r w:rsidR="00EB7F5F" w:rsidRPr="004328EA">
        <w:t>utes</w:t>
      </w:r>
      <w:r w:rsidRPr="004328EA">
        <w:t xml:space="preserve">. Representative </w:t>
      </w:r>
      <w:proofErr w:type="spellStart"/>
      <w:r w:rsidR="00F41DA7" w:rsidRPr="004328EA">
        <w:t>LCModel</w:t>
      </w:r>
      <w:proofErr w:type="spellEnd"/>
      <w:r w:rsidR="004E1467">
        <w:t xml:space="preserve"> </w:t>
      </w:r>
      <w:r w:rsidR="00F41DA7" w:rsidRPr="004328EA">
        <w:fldChar w:fldCharType="begin"/>
      </w:r>
      <w:r w:rsidR="00A361AD">
        <w:instrText xml:space="preserve"> ADDIN EN.CITE &lt;EndNote&gt;&lt;Cite&gt;&lt;Author&gt;Provencher&lt;/Author&gt;&lt;Year&gt;1993&lt;/Year&gt;&lt;RecNum&gt;302&lt;/RecNum&gt;&lt;DisplayText&gt;(Provencher, 1993)&lt;/DisplayText&gt;&lt;record&gt;&lt;rec-number&gt;302&lt;/rec-number&gt;&lt;foreign-keys&gt;&lt;key app="EN" db-id="0sa2s9arcrd9s8eas2cvxsanzdfzf0fwteza" timestamp="1492590768"&gt;302&lt;/key&gt;&lt;/foreign-keys&gt;&lt;ref-type name="Journal Article"&gt;17&lt;/ref-type&gt;&lt;contributors&gt;&lt;authors&gt;&lt;author&gt;Provencher, S. W.&lt;/author&gt;&lt;/authors&gt;&lt;/contributors&gt;&lt;auth-address&gt;Max-Planck-Institut fur biophysikalische Chemie, Gottingen, Federal Republic of Germany.&lt;/auth-address&gt;&lt;titles&gt;&lt;title&gt;Estimation of metabolite concentrations from localized in vivo proton NMR spectra&lt;/title&gt;&lt;secondary-title&gt;Magn Reson Med&lt;/secondary-title&gt;&lt;/titles&gt;&lt;periodical&gt;&lt;full-title&gt;Magn Reson Med&lt;/full-title&gt;&lt;/periodical&gt;&lt;pages&gt;672-9&lt;/pages&gt;&lt;volume&gt;30&lt;/volume&gt;&lt;number&gt;6&lt;/number&gt;&lt;keywords&gt;&lt;keyword&gt;*Brain Chemistry&lt;/keyword&gt;&lt;keyword&gt;Humans&lt;/keyword&gt;&lt;keyword&gt;*Magnetic Resonance Spectroscopy/methods&lt;/keyword&gt;&lt;/keywords&gt;&lt;dates&gt;&lt;year&gt;1993&lt;/year&gt;&lt;pub-dates&gt;&lt;date&gt;Dec&lt;/date&gt;&lt;/pub-dates&gt;&lt;/dates&gt;&lt;isbn&gt;0740-3194 (Print)&amp;#xD;0740-3194 (Linking)&lt;/isbn&gt;&lt;accession-num&gt;8139448&lt;/accession-num&gt;&lt;urls&gt;&lt;related-urls&gt;&lt;url&gt;http://www.ncbi.nlm.nih.gov/pubmed/8139448&lt;/url&gt;&lt;/related-urls&gt;&lt;/urls&gt;&lt;/record&gt;&lt;/Cite&gt;&lt;/EndNote&gt;</w:instrText>
      </w:r>
      <w:r w:rsidR="00F41DA7" w:rsidRPr="004328EA">
        <w:fldChar w:fldCharType="separate"/>
      </w:r>
      <w:r w:rsidR="00A361AD">
        <w:rPr>
          <w:noProof/>
        </w:rPr>
        <w:t>(Provencher, 1993)</w:t>
      </w:r>
      <w:r w:rsidR="00F41DA7" w:rsidRPr="004328EA">
        <w:fldChar w:fldCharType="end"/>
      </w:r>
      <w:r w:rsidR="00F41DA7" w:rsidRPr="004328EA">
        <w:t xml:space="preserve"> </w:t>
      </w:r>
      <w:r w:rsidRPr="004328EA">
        <w:t xml:space="preserve">spectra from </w:t>
      </w:r>
      <w:r w:rsidR="00F41DA7" w:rsidRPr="004328EA">
        <w:t>left thalamus</w:t>
      </w:r>
      <w:r w:rsidR="00731647" w:rsidRPr="004328EA">
        <w:t xml:space="preserve"> and ACC</w:t>
      </w:r>
      <w:r w:rsidR="00F41DA7" w:rsidRPr="004328EA">
        <w:t xml:space="preserve">, respectively, </w:t>
      </w:r>
      <w:r w:rsidR="00E80720" w:rsidRPr="004328EA">
        <w:t xml:space="preserve">are shown in </w:t>
      </w:r>
      <w:r w:rsidRPr="004328EA">
        <w:t>Figure</w:t>
      </w:r>
      <w:r w:rsidR="005D74FE">
        <w:t>s</w:t>
      </w:r>
      <w:r w:rsidRPr="004328EA">
        <w:t xml:space="preserve"> </w:t>
      </w:r>
      <w:r w:rsidR="00E80720" w:rsidRPr="004328EA">
        <w:t>S</w:t>
      </w:r>
      <w:r w:rsidRPr="004328EA">
        <w:t>1</w:t>
      </w:r>
      <w:r w:rsidR="00F41DA7" w:rsidRPr="004328EA">
        <w:t>D and E</w:t>
      </w:r>
      <w:r w:rsidRPr="004328EA">
        <w:t xml:space="preserve">. </w:t>
      </w:r>
    </w:p>
    <w:p w14:paraId="369DF338" w14:textId="48E9D8B6" w:rsidR="00ED476B" w:rsidRDefault="009610E6" w:rsidP="0090405F">
      <w:pPr>
        <w:spacing w:after="0" w:line="480" w:lineRule="auto"/>
        <w:ind w:firstLine="720"/>
      </w:pPr>
      <w:r w:rsidRPr="004328EA">
        <w:rPr>
          <w:i/>
        </w:rPr>
        <w:t>MEGAPRESS</w:t>
      </w:r>
      <w:r w:rsidRPr="004328EA">
        <w:t xml:space="preserve">: A 3.0x3.0x3.0cm voxel in </w:t>
      </w:r>
      <w:r w:rsidR="00E80720" w:rsidRPr="004328EA">
        <w:t xml:space="preserve">ACC was placed as shown in </w:t>
      </w:r>
      <w:r w:rsidRPr="004328EA">
        <w:t xml:space="preserve">Figure </w:t>
      </w:r>
      <w:r w:rsidR="00E80720" w:rsidRPr="004328EA">
        <w:t>S</w:t>
      </w:r>
      <w:r w:rsidRPr="004328EA">
        <w:t>1C</w:t>
      </w:r>
      <w:r w:rsidR="00EB7F5F" w:rsidRPr="004328EA">
        <w:t>,</w:t>
      </w:r>
      <w:r w:rsidRPr="004328EA">
        <w:t xml:space="preserve"> following the same procedure as described above. The </w:t>
      </w:r>
      <w:r w:rsidRPr="004328EA">
        <w:rPr>
          <w:rFonts w:eastAsia="Times New Roman"/>
        </w:rPr>
        <w:t xml:space="preserve">acquisition time for the MEGAPRESS sequence was </w:t>
      </w:r>
      <w:r w:rsidRPr="004328EA">
        <w:t>11 min</w:t>
      </w:r>
      <w:r w:rsidR="00EB7F5F" w:rsidRPr="004328EA">
        <w:t>utes</w:t>
      </w:r>
      <w:r w:rsidRPr="004328EA">
        <w:t xml:space="preserve">. </w:t>
      </w:r>
      <w:r w:rsidR="00EB7F5F" w:rsidRPr="004328EA">
        <w:t xml:space="preserve">Figure </w:t>
      </w:r>
      <w:r w:rsidR="00E80720" w:rsidRPr="004328EA">
        <w:t>S</w:t>
      </w:r>
      <w:r w:rsidR="00EB7F5F" w:rsidRPr="004328EA">
        <w:t>1F shows a</w:t>
      </w:r>
      <w:r w:rsidRPr="004328EA">
        <w:t xml:space="preserve"> representative spectra from Gannet</w:t>
      </w:r>
      <w:r w:rsidR="00C91F1D">
        <w:t xml:space="preserve"> </w:t>
      </w:r>
      <w:r w:rsidRPr="004328EA">
        <w:fldChar w:fldCharType="begin"/>
      </w:r>
      <w:r w:rsidR="00A361AD">
        <w:instrText xml:space="preserve"> ADDIN EN.CITE &lt;EndNote&gt;&lt;Cite&gt;&lt;Author&gt;Edden&lt;/Author&gt;&lt;Year&gt;2014&lt;/Year&gt;&lt;RecNum&gt;303&lt;/RecNum&gt;&lt;DisplayText&gt;(Edden&lt;style face="italic"&gt; et al.&lt;/style&gt;, 2014)&lt;/DisplayText&gt;&lt;record&gt;&lt;rec-number&gt;303&lt;/rec-number&gt;&lt;foreign-keys&gt;&lt;key app="EN" db-id="0sa2s9arcrd9s8eas2cvxsanzdfzf0fwteza" timestamp="1492629133"&gt;303&lt;/key&gt;&lt;/foreign-keys&gt;&lt;ref-type name="Journal Article"&gt;17&lt;/ref-type&gt;&lt;contributors&gt;&lt;authors&gt;&lt;author&gt;Edden, R. A.&lt;/author&gt;&lt;author&gt;Puts, N. A.&lt;/author&gt;&lt;author&gt;Harris, A. D.&lt;/author&gt;&lt;author&gt;Barker, P. B.&lt;/author&gt;&lt;author&gt;Evans, C. J.&lt;/author&gt;&lt;/authors&gt;&lt;/contributors&gt;&lt;titles&gt;&lt;title&gt;Gannet: A batch-processing tool for the quantitative analysis of gamma-aminobutyric acid-edited MR spectroscopy spectra&lt;/title&gt;&lt;secondary-title&gt;J Magn Reson Imaging&lt;/secondary-title&gt;&lt;/titles&gt;&lt;periodical&gt;&lt;full-title&gt;J Magn Reson Imaging&lt;/full-title&gt;&lt;/periodical&gt;&lt;pages&gt;1445-52&lt;/pages&gt;&lt;volume&gt;40&lt;/volume&gt;&lt;number&gt;6&lt;/number&gt;&lt;keywords&gt;&lt;keyword&gt;Adult&lt;/keyword&gt;&lt;keyword&gt;*Algorithms&lt;/keyword&gt;&lt;keyword&gt;Brain/*metabolism&lt;/keyword&gt;&lt;keyword&gt;*Data Interpretation, Statistical&lt;/keyword&gt;&lt;keyword&gt;Female&lt;/keyword&gt;&lt;keyword&gt;Humans&lt;/keyword&gt;&lt;keyword&gt;Magnetic Resonance Spectroscopy/*methods&lt;/keyword&gt;&lt;keyword&gt;Male&lt;/keyword&gt;&lt;keyword&gt;Numerical Analysis, Computer-Assisted&lt;/keyword&gt;&lt;keyword&gt;*Programming Languages&lt;/keyword&gt;&lt;keyword&gt;Reproducibility of Results&lt;/keyword&gt;&lt;keyword&gt;Sensitivity and Specificity&lt;/keyword&gt;&lt;keyword&gt;*Software&lt;/keyword&gt;&lt;keyword&gt;Tissue Distribution&lt;/keyword&gt;&lt;keyword&gt;gamma-Aminobutyric Acid/*metabolism&lt;/keyword&gt;&lt;/keywords&gt;&lt;dates&gt;&lt;year&gt;2014&lt;/year&gt;&lt;pub-dates&gt;&lt;date&gt;Dec&lt;/date&gt;&lt;/pub-dates&gt;&lt;/dates&gt;&lt;isbn&gt;1522-2586 (Electronic)&amp;#xD;1053-1807 (Linking)&lt;/isbn&gt;&lt;accession-num&gt;25548816&lt;/accession-num&gt;&lt;urls&gt;&lt;related-urls&gt;&lt;url&gt;http://www.ncbi.nlm.nih.gov/pubmed/25548816&lt;/url&gt;&lt;/related-urls&gt;&lt;/urls&gt;&lt;custom2&gt;4280680&lt;/custom2&gt;&lt;electronic-resource-num&gt;10.1002/jmri.24478&lt;/electronic-resource-num&gt;&lt;/record&gt;&lt;/Cite&gt;&lt;/EndNote&gt;</w:instrText>
      </w:r>
      <w:r w:rsidRPr="004328EA">
        <w:fldChar w:fldCharType="separate"/>
      </w:r>
      <w:r w:rsidR="00A361AD">
        <w:rPr>
          <w:noProof/>
        </w:rPr>
        <w:t>(Edden</w:t>
      </w:r>
      <w:r w:rsidR="00A361AD" w:rsidRPr="00A361AD">
        <w:rPr>
          <w:i/>
          <w:noProof/>
        </w:rPr>
        <w:t xml:space="preserve"> et al.</w:t>
      </w:r>
      <w:r w:rsidR="00A361AD">
        <w:rPr>
          <w:noProof/>
        </w:rPr>
        <w:t>, 2014)</w:t>
      </w:r>
      <w:r w:rsidRPr="004328EA">
        <w:fldChar w:fldCharType="end"/>
      </w:r>
      <w:r w:rsidR="00C91F1D">
        <w:t>.</w:t>
      </w:r>
      <w:r w:rsidRPr="004328EA">
        <w:t xml:space="preserve"> </w:t>
      </w:r>
    </w:p>
    <w:p w14:paraId="3AA87878" w14:textId="77777777" w:rsidR="006D4FAA" w:rsidRDefault="006D4FAA" w:rsidP="004328EA">
      <w:pPr>
        <w:spacing w:after="0" w:line="480" w:lineRule="auto"/>
        <w:rPr>
          <w:b/>
        </w:rPr>
      </w:pPr>
    </w:p>
    <w:p w14:paraId="64887260" w14:textId="77777777" w:rsidR="007343C7" w:rsidRPr="004328EA" w:rsidRDefault="007343C7" w:rsidP="001208D8">
      <w:pPr>
        <w:spacing w:after="0" w:line="480" w:lineRule="auto"/>
        <w:outlineLvl w:val="0"/>
        <w:rPr>
          <w:b/>
        </w:rPr>
      </w:pPr>
      <w:r w:rsidRPr="004328EA">
        <w:rPr>
          <w:b/>
        </w:rPr>
        <w:t xml:space="preserve">Figure </w:t>
      </w:r>
      <w:r w:rsidR="00A12898" w:rsidRPr="004328EA">
        <w:rPr>
          <w:b/>
        </w:rPr>
        <w:t>S</w:t>
      </w:r>
      <w:r w:rsidRPr="004328EA">
        <w:rPr>
          <w:b/>
        </w:rPr>
        <w:t>1.</w:t>
      </w:r>
      <w:r w:rsidRPr="004328EA">
        <w:t xml:space="preserve"> </w:t>
      </w:r>
      <w:r w:rsidRPr="004328EA">
        <w:rPr>
          <w:b/>
        </w:rPr>
        <w:t>Voxel locations and representative spectra.</w:t>
      </w:r>
      <w:r w:rsidRPr="004328EA">
        <w:t xml:space="preserve"> </w:t>
      </w:r>
    </w:p>
    <w:p w14:paraId="6198AE35" w14:textId="77777777" w:rsidR="008B4A38" w:rsidRPr="004328EA" w:rsidRDefault="001339C1" w:rsidP="004328EA">
      <w:pPr>
        <w:spacing w:after="0" w:line="480" w:lineRule="auto"/>
        <w:jc w:val="center"/>
      </w:pPr>
      <w:r>
        <w:rPr>
          <w:noProof/>
          <w:lang w:val="en-US"/>
        </w:rPr>
        <w:drawing>
          <wp:inline distT="0" distB="0" distL="0" distR="0" wp14:anchorId="4691385B" wp14:editId="4C2BD978">
            <wp:extent cx="5621655" cy="3395345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FF38" w14:textId="327556BD" w:rsidR="007C58B7" w:rsidRDefault="007C58B7" w:rsidP="004328EA">
      <w:pPr>
        <w:spacing w:line="240" w:lineRule="auto"/>
        <w:rPr>
          <w:sz w:val="20"/>
          <w:szCs w:val="20"/>
        </w:rPr>
      </w:pPr>
      <w:r w:rsidRPr="004328EA">
        <w:rPr>
          <w:sz w:val="20"/>
          <w:szCs w:val="20"/>
        </w:rPr>
        <w:t xml:space="preserve">PRESS acquisitions: The location of the </w:t>
      </w:r>
      <w:r w:rsidR="00E83DB7" w:rsidRPr="004328EA">
        <w:rPr>
          <w:sz w:val="20"/>
          <w:szCs w:val="20"/>
        </w:rPr>
        <w:t>left thalamus</w:t>
      </w:r>
      <w:r w:rsidRPr="004328EA">
        <w:rPr>
          <w:sz w:val="20"/>
          <w:szCs w:val="20"/>
        </w:rPr>
        <w:t xml:space="preserve"> voxel is shown in A and </w:t>
      </w:r>
      <w:r w:rsidR="00E83DB7" w:rsidRPr="004328EA">
        <w:rPr>
          <w:sz w:val="20"/>
          <w:szCs w:val="20"/>
        </w:rPr>
        <w:t xml:space="preserve">the </w:t>
      </w:r>
      <w:r w:rsidR="00EB7F5F" w:rsidRPr="004328EA">
        <w:rPr>
          <w:sz w:val="20"/>
          <w:szCs w:val="20"/>
        </w:rPr>
        <w:t xml:space="preserve">anterior cingulate cortex </w:t>
      </w:r>
      <w:r w:rsidR="00AF7278">
        <w:rPr>
          <w:sz w:val="20"/>
          <w:szCs w:val="20"/>
        </w:rPr>
        <w:t>(ACC)</w:t>
      </w:r>
      <w:r w:rsidR="004E1467">
        <w:rPr>
          <w:sz w:val="20"/>
          <w:szCs w:val="20"/>
        </w:rPr>
        <w:t xml:space="preserve"> </w:t>
      </w:r>
      <w:r w:rsidR="00E83DB7" w:rsidRPr="004328EA">
        <w:rPr>
          <w:sz w:val="20"/>
          <w:szCs w:val="20"/>
        </w:rPr>
        <w:t>voxel</w:t>
      </w:r>
      <w:r w:rsidRPr="004328EA">
        <w:rPr>
          <w:sz w:val="20"/>
          <w:szCs w:val="20"/>
        </w:rPr>
        <w:t xml:space="preserve"> in B</w:t>
      </w:r>
      <w:r w:rsidR="00EB7F5F" w:rsidRPr="004328EA">
        <w:rPr>
          <w:sz w:val="20"/>
          <w:szCs w:val="20"/>
        </w:rPr>
        <w:t>,</w:t>
      </w:r>
      <w:r w:rsidRPr="004328EA">
        <w:rPr>
          <w:sz w:val="20"/>
          <w:szCs w:val="20"/>
        </w:rPr>
        <w:t xml:space="preserve"> </w:t>
      </w:r>
      <w:r w:rsidR="005D74FE">
        <w:rPr>
          <w:sz w:val="20"/>
          <w:szCs w:val="20"/>
        </w:rPr>
        <w:t>along</w:t>
      </w:r>
      <w:r w:rsidR="005D74FE" w:rsidRPr="004328EA">
        <w:rPr>
          <w:sz w:val="20"/>
          <w:szCs w:val="20"/>
        </w:rPr>
        <w:t xml:space="preserve"> </w:t>
      </w:r>
      <w:r w:rsidRPr="004328EA">
        <w:rPr>
          <w:sz w:val="20"/>
          <w:szCs w:val="20"/>
        </w:rPr>
        <w:t xml:space="preserve">with representative spectra from analyses in </w:t>
      </w:r>
      <w:proofErr w:type="spellStart"/>
      <w:r w:rsidRPr="004328EA">
        <w:rPr>
          <w:sz w:val="20"/>
          <w:szCs w:val="20"/>
        </w:rPr>
        <w:t>LCModel</w:t>
      </w:r>
      <w:proofErr w:type="spellEnd"/>
      <w:r w:rsidRPr="004328EA">
        <w:rPr>
          <w:sz w:val="20"/>
          <w:szCs w:val="20"/>
        </w:rPr>
        <w:t xml:space="preserve"> in D for </w:t>
      </w:r>
      <w:r w:rsidR="00E83DB7" w:rsidRPr="004328EA">
        <w:rPr>
          <w:sz w:val="20"/>
          <w:szCs w:val="20"/>
        </w:rPr>
        <w:t>the left thalamus</w:t>
      </w:r>
      <w:r w:rsidR="00EB7F5F" w:rsidRPr="004328EA">
        <w:rPr>
          <w:sz w:val="20"/>
          <w:szCs w:val="20"/>
        </w:rPr>
        <w:t>,</w:t>
      </w:r>
      <w:r w:rsidR="00E83DB7" w:rsidRPr="004328EA">
        <w:rPr>
          <w:sz w:val="20"/>
          <w:szCs w:val="20"/>
        </w:rPr>
        <w:t xml:space="preserve"> </w:t>
      </w:r>
      <w:r w:rsidRPr="004328EA">
        <w:rPr>
          <w:sz w:val="20"/>
          <w:szCs w:val="20"/>
        </w:rPr>
        <w:t xml:space="preserve">and </w:t>
      </w:r>
      <w:r w:rsidR="00B070E8" w:rsidRPr="004328EA">
        <w:rPr>
          <w:sz w:val="20"/>
          <w:szCs w:val="20"/>
        </w:rPr>
        <w:t xml:space="preserve">in </w:t>
      </w:r>
      <w:r w:rsidRPr="004328EA">
        <w:rPr>
          <w:sz w:val="20"/>
          <w:szCs w:val="20"/>
        </w:rPr>
        <w:t xml:space="preserve">E for </w:t>
      </w:r>
      <w:r w:rsidR="00E83DB7" w:rsidRPr="004328EA">
        <w:rPr>
          <w:sz w:val="20"/>
          <w:szCs w:val="20"/>
        </w:rPr>
        <w:t>the ACC</w:t>
      </w:r>
      <w:r w:rsidRPr="004328EA">
        <w:rPr>
          <w:sz w:val="20"/>
          <w:szCs w:val="20"/>
        </w:rPr>
        <w:t xml:space="preserve">. MEGAPRESS: The location of the ACC voxel is shown in C </w:t>
      </w:r>
      <w:r w:rsidR="005D74FE">
        <w:rPr>
          <w:sz w:val="20"/>
          <w:szCs w:val="20"/>
        </w:rPr>
        <w:t>along</w:t>
      </w:r>
      <w:r w:rsidR="005D74FE" w:rsidRPr="004328EA">
        <w:rPr>
          <w:sz w:val="20"/>
          <w:szCs w:val="20"/>
        </w:rPr>
        <w:t xml:space="preserve"> </w:t>
      </w:r>
      <w:r w:rsidRPr="004328EA">
        <w:rPr>
          <w:sz w:val="20"/>
          <w:szCs w:val="20"/>
        </w:rPr>
        <w:t xml:space="preserve">with representative spectra from </w:t>
      </w:r>
      <w:r w:rsidR="00EB7F5F" w:rsidRPr="004328EA">
        <w:rPr>
          <w:sz w:val="20"/>
          <w:szCs w:val="20"/>
        </w:rPr>
        <w:t xml:space="preserve">the </w:t>
      </w:r>
      <w:r w:rsidRPr="004328EA">
        <w:rPr>
          <w:sz w:val="20"/>
          <w:szCs w:val="20"/>
        </w:rPr>
        <w:t>analysis in Gannet in F.</w:t>
      </w:r>
      <w:r w:rsidR="00EB7F5F" w:rsidRPr="004328EA">
        <w:rPr>
          <w:sz w:val="20"/>
          <w:szCs w:val="20"/>
        </w:rPr>
        <w:br/>
        <w:t xml:space="preserve">Abbreviations: </w:t>
      </w:r>
      <w:r w:rsidR="00EB7F5F" w:rsidRPr="004328EA">
        <w:rPr>
          <w:sz w:val="20"/>
          <w:szCs w:val="20"/>
          <w:lang w:val="en-US"/>
        </w:rPr>
        <w:t xml:space="preserve">Glx: Glutamate + glutamine; </w:t>
      </w:r>
      <w:r w:rsidR="00EB7F5F" w:rsidRPr="004328EA">
        <w:rPr>
          <w:sz w:val="20"/>
          <w:szCs w:val="20"/>
        </w:rPr>
        <w:t xml:space="preserve">GABA: </w:t>
      </w:r>
      <w:r w:rsidR="007B7B04" w:rsidRPr="004328EA">
        <w:rPr>
          <w:sz w:val="20"/>
          <w:szCs w:val="20"/>
        </w:rPr>
        <w:t>Gamma</w:t>
      </w:r>
      <w:r w:rsidR="00EB7F5F" w:rsidRPr="004328EA">
        <w:rPr>
          <w:sz w:val="20"/>
          <w:szCs w:val="20"/>
        </w:rPr>
        <w:t>-aminobutyric acid.</w:t>
      </w:r>
    </w:p>
    <w:p w14:paraId="32CEEAA0" w14:textId="77777777" w:rsidR="005C4519" w:rsidRPr="004328EA" w:rsidRDefault="005C4519" w:rsidP="004328EA">
      <w:pPr>
        <w:spacing w:line="240" w:lineRule="auto"/>
        <w:rPr>
          <w:sz w:val="20"/>
          <w:szCs w:val="20"/>
          <w:lang w:val="en-US"/>
        </w:rPr>
      </w:pPr>
    </w:p>
    <w:p w14:paraId="470BC973" w14:textId="72F8D9A4" w:rsidR="00A83627" w:rsidRDefault="00A83627" w:rsidP="00A83627">
      <w:pPr>
        <w:spacing w:line="480" w:lineRule="auto"/>
        <w:rPr>
          <w:lang w:val="en-US"/>
        </w:rPr>
      </w:pPr>
      <w:r w:rsidRPr="00772AA6">
        <w:rPr>
          <w:lang w:val="en-US"/>
        </w:rPr>
        <w:lastRenderedPageBreak/>
        <w:t xml:space="preserve">The </w:t>
      </w:r>
      <w:r>
        <w:rPr>
          <w:lang w:val="en-US"/>
        </w:rPr>
        <w:t>coefficient of varia</w:t>
      </w:r>
      <w:r w:rsidR="005C4519">
        <w:rPr>
          <w:lang w:val="en-US"/>
        </w:rPr>
        <w:t>tion</w:t>
      </w:r>
      <w:r>
        <w:rPr>
          <w:lang w:val="en-US"/>
        </w:rPr>
        <w:t xml:space="preserve"> (</w:t>
      </w:r>
      <w:r w:rsidRPr="00772AA6">
        <w:rPr>
          <w:lang w:val="en-US"/>
        </w:rPr>
        <w:t>CV%</w:t>
      </w:r>
      <w:r>
        <w:rPr>
          <w:lang w:val="en-US"/>
        </w:rPr>
        <w:t>)</w:t>
      </w:r>
      <w:r w:rsidRPr="00772AA6">
        <w:rPr>
          <w:lang w:val="en-US"/>
        </w:rPr>
        <w:t xml:space="preserve"> </w:t>
      </w:r>
      <w:r>
        <w:rPr>
          <w:lang w:val="en-US"/>
        </w:rPr>
        <w:t xml:space="preserve">calculated </w:t>
      </w:r>
      <w:r w:rsidR="005C4519">
        <w:rPr>
          <w:lang w:val="en-US"/>
        </w:rPr>
        <w:t>from the repeated MRS scans of</w:t>
      </w:r>
      <w:r>
        <w:rPr>
          <w:lang w:val="en-US"/>
        </w:rPr>
        <w:t xml:space="preserve"> HCs were for </w:t>
      </w:r>
      <w:r w:rsidRPr="00772AA6">
        <w:rPr>
          <w:lang w:val="en-US"/>
        </w:rPr>
        <w:t>glutamate</w:t>
      </w:r>
      <w:r w:rsidR="004E2BBD">
        <w:rPr>
          <w:lang w:val="en-US"/>
        </w:rPr>
        <w:t>/Cr</w:t>
      </w:r>
      <w:r>
        <w:rPr>
          <w:lang w:val="en-US"/>
        </w:rPr>
        <w:t xml:space="preserve"> levels</w:t>
      </w:r>
      <w:r w:rsidRPr="00772AA6">
        <w:rPr>
          <w:lang w:val="en-US"/>
        </w:rPr>
        <w:t xml:space="preserve"> </w:t>
      </w:r>
      <w:r w:rsidR="00001CC7">
        <w:rPr>
          <w:lang w:val="en-US"/>
        </w:rPr>
        <w:t xml:space="preserve">in </w:t>
      </w:r>
      <w:r>
        <w:rPr>
          <w:lang w:val="en-US"/>
        </w:rPr>
        <w:t xml:space="preserve">ACC 5.2% after </w:t>
      </w:r>
      <w:r w:rsidR="006D4FAA">
        <w:rPr>
          <w:lang w:val="en-US"/>
        </w:rPr>
        <w:t>6</w:t>
      </w:r>
      <w:r>
        <w:rPr>
          <w:lang w:val="en-US"/>
        </w:rPr>
        <w:t xml:space="preserve"> and </w:t>
      </w:r>
      <w:r w:rsidR="006D4FAA">
        <w:rPr>
          <w:lang w:val="en-US"/>
        </w:rPr>
        <w:t>2</w:t>
      </w:r>
      <w:r>
        <w:rPr>
          <w:lang w:val="en-US"/>
        </w:rPr>
        <w:t xml:space="preserve">6 </w:t>
      </w:r>
      <w:r w:rsidR="006D4FAA">
        <w:rPr>
          <w:lang w:val="en-US"/>
        </w:rPr>
        <w:t>weeks</w:t>
      </w:r>
      <w:r w:rsidR="005D74FE">
        <w:rPr>
          <w:lang w:val="en-US"/>
        </w:rPr>
        <w:t xml:space="preserve">, </w:t>
      </w:r>
      <w:r w:rsidR="0090405F">
        <w:rPr>
          <w:lang w:val="en-US"/>
        </w:rPr>
        <w:t xml:space="preserve">for </w:t>
      </w:r>
      <w:r>
        <w:rPr>
          <w:lang w:val="en-US"/>
        </w:rPr>
        <w:t>glutamate</w:t>
      </w:r>
      <w:r w:rsidR="004E2BBD">
        <w:rPr>
          <w:lang w:val="en-US"/>
        </w:rPr>
        <w:t>/Cr</w:t>
      </w:r>
      <w:r>
        <w:rPr>
          <w:lang w:val="en-US"/>
        </w:rPr>
        <w:t xml:space="preserve"> levels in left thalamus 8.1% after </w:t>
      </w:r>
      <w:r w:rsidR="006D4FAA">
        <w:rPr>
          <w:lang w:val="en-US"/>
        </w:rPr>
        <w:t>6 weeks</w:t>
      </w:r>
      <w:r>
        <w:rPr>
          <w:lang w:val="en-US"/>
        </w:rPr>
        <w:t xml:space="preserve"> and 8.8%</w:t>
      </w:r>
      <w:r w:rsidRPr="00A83627">
        <w:rPr>
          <w:lang w:val="en-US"/>
        </w:rPr>
        <w:t xml:space="preserve"> </w:t>
      </w:r>
      <w:r>
        <w:rPr>
          <w:lang w:val="en-US"/>
        </w:rPr>
        <w:t xml:space="preserve">after </w:t>
      </w:r>
      <w:r w:rsidR="006D4FAA">
        <w:rPr>
          <w:lang w:val="en-US"/>
        </w:rPr>
        <w:t>26 weeks</w:t>
      </w:r>
      <w:r w:rsidR="005D74FE">
        <w:rPr>
          <w:lang w:val="en-US"/>
        </w:rPr>
        <w:t>,</w:t>
      </w:r>
      <w:r w:rsidR="005D74FE" w:rsidRPr="00B6140F">
        <w:rPr>
          <w:lang w:val="en-US"/>
        </w:rPr>
        <w:t xml:space="preserve"> </w:t>
      </w:r>
      <w:r w:rsidRPr="00B6140F">
        <w:rPr>
          <w:lang w:val="en-US"/>
        </w:rPr>
        <w:t>and</w:t>
      </w:r>
      <w:r w:rsidR="005D74FE">
        <w:rPr>
          <w:lang w:val="en-US"/>
        </w:rPr>
        <w:t xml:space="preserve"> </w:t>
      </w:r>
      <w:r w:rsidR="0090405F">
        <w:rPr>
          <w:lang w:val="en-US"/>
        </w:rPr>
        <w:t xml:space="preserve">for </w:t>
      </w:r>
      <w:r>
        <w:rPr>
          <w:lang w:val="en-US"/>
        </w:rPr>
        <w:t>GABA</w:t>
      </w:r>
      <w:r w:rsidR="004E2BBD">
        <w:rPr>
          <w:lang w:val="en-US"/>
        </w:rPr>
        <w:t>/Cr</w:t>
      </w:r>
      <w:r>
        <w:rPr>
          <w:lang w:val="en-US"/>
        </w:rPr>
        <w:t xml:space="preserve"> levels in ACC 7.3% after </w:t>
      </w:r>
      <w:r w:rsidR="006D4FAA">
        <w:rPr>
          <w:lang w:val="en-US"/>
        </w:rPr>
        <w:t>6 weeks</w:t>
      </w:r>
      <w:r w:rsidR="006D4FAA" w:rsidDel="006D4FAA">
        <w:rPr>
          <w:lang w:val="en-US"/>
        </w:rPr>
        <w:t xml:space="preserve"> </w:t>
      </w:r>
      <w:r>
        <w:rPr>
          <w:lang w:val="en-US"/>
        </w:rPr>
        <w:t>and</w:t>
      </w:r>
      <w:r w:rsidRPr="00B6140F">
        <w:rPr>
          <w:lang w:val="en-US"/>
        </w:rPr>
        <w:t xml:space="preserve"> 10.7%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after </w:t>
      </w:r>
      <w:r w:rsidR="006D4FAA">
        <w:rPr>
          <w:lang w:val="en-US"/>
        </w:rPr>
        <w:t>26 weeks</w:t>
      </w:r>
      <w:r>
        <w:rPr>
          <w:lang w:val="en-US"/>
        </w:rPr>
        <w:t>.</w:t>
      </w:r>
    </w:p>
    <w:p w14:paraId="4CEAED70" w14:textId="77777777" w:rsidR="00B80850" w:rsidRPr="004E2BBD" w:rsidRDefault="00B80850" w:rsidP="00A83627">
      <w:pPr>
        <w:spacing w:line="480" w:lineRule="auto"/>
        <w:rPr>
          <w:rFonts w:ascii="Cambria" w:hAnsi="Cambria"/>
          <w:b/>
          <w:sz w:val="24"/>
          <w:szCs w:val="24"/>
          <w:lang w:val="en-US"/>
        </w:rPr>
      </w:pPr>
    </w:p>
    <w:p w14:paraId="2A3C2C00" w14:textId="40B33756" w:rsidR="00A83627" w:rsidRPr="00F83441" w:rsidRDefault="00B80850" w:rsidP="004328EA">
      <w:pPr>
        <w:spacing w:line="480" w:lineRule="auto"/>
        <w:rPr>
          <w:rFonts w:ascii="Cambria" w:hAnsi="Cambria"/>
          <w:b/>
          <w:sz w:val="24"/>
          <w:szCs w:val="24"/>
        </w:rPr>
      </w:pPr>
      <w:r w:rsidRPr="00F83441">
        <w:rPr>
          <w:rFonts w:eastAsia="Times New Roman" w:cs="Segoe UI"/>
          <w:b/>
          <w:shd w:val="clear" w:color="auto" w:fill="FFFFFF"/>
          <w:lang w:val="en-US"/>
        </w:rPr>
        <w:t>Segmentation and calculation of MRS voxel tissue content</w:t>
      </w:r>
    </w:p>
    <w:p w14:paraId="050061EE" w14:textId="77777777" w:rsidR="000B7C97" w:rsidRPr="00F83441" w:rsidRDefault="000B7C97" w:rsidP="000B7C97">
      <w:pPr>
        <w:autoSpaceDE w:val="0"/>
        <w:autoSpaceDN w:val="0"/>
        <w:adjustRightInd w:val="0"/>
        <w:spacing w:after="0" w:line="480" w:lineRule="auto"/>
        <w:rPr>
          <w:lang w:val="en-US"/>
        </w:rPr>
      </w:pPr>
      <w:r w:rsidRPr="00F83441">
        <w:rPr>
          <w:lang w:val="en-US"/>
        </w:rPr>
        <w:t xml:space="preserve">The voxel percentage of grey and white matter was extracted by segmenting the </w:t>
      </w:r>
      <w:r w:rsidRPr="00F83441">
        <w:rPr>
          <w:rStyle w:val="paragraph"/>
          <w:lang w:val="en-US"/>
        </w:rPr>
        <w:t>T1-weighted structural image using SPM 8 (</w:t>
      </w:r>
      <w:hyperlink r:id="rId8" w:history="1">
        <w:r w:rsidRPr="00F83441">
          <w:rPr>
            <w:rStyle w:val="Hyperlink"/>
            <w:lang w:val="en-US"/>
          </w:rPr>
          <w:t>http://www.fil.ion.ucl.ac.uk/spm/software/spm8/</w:t>
        </w:r>
      </w:hyperlink>
      <w:r w:rsidRPr="00F83441">
        <w:rPr>
          <w:rStyle w:val="paragraph"/>
          <w:lang w:val="en-US"/>
        </w:rPr>
        <w:t xml:space="preserve">) running under </w:t>
      </w:r>
      <w:r w:rsidRPr="00F83441">
        <w:rPr>
          <w:lang w:val="en-US"/>
        </w:rPr>
        <w:t>MATLAB® (The</w:t>
      </w:r>
    </w:p>
    <w:p w14:paraId="7AB9A31A" w14:textId="4FC250A7" w:rsidR="000B7C97" w:rsidRPr="00F83441" w:rsidRDefault="000B7C97" w:rsidP="000B7C97">
      <w:pPr>
        <w:spacing w:after="0" w:line="480" w:lineRule="auto"/>
        <w:rPr>
          <w:lang w:val="en-US"/>
        </w:rPr>
      </w:pPr>
      <w:r w:rsidRPr="00F83441">
        <w:rPr>
          <w:lang w:val="en-US"/>
        </w:rPr>
        <w:t xml:space="preserve">MathWorks Inc., Massachusetts, USA) </w:t>
      </w:r>
      <w:r w:rsidRPr="00F83441">
        <w:rPr>
          <w:rStyle w:val="paragraph"/>
          <w:lang w:val="en-US"/>
        </w:rPr>
        <w:t xml:space="preserve">and combining the segmentation with the </w:t>
      </w:r>
      <w:r w:rsidRPr="00F83441">
        <w:rPr>
          <w:lang w:val="en-US"/>
        </w:rPr>
        <w:t>MRS voxel</w:t>
      </w:r>
      <w:r w:rsidRPr="00F83441">
        <w:rPr>
          <w:rStyle w:val="paragraph"/>
          <w:lang w:val="en-US"/>
        </w:rPr>
        <w:t xml:space="preserve"> masks from the </w:t>
      </w:r>
      <w:r w:rsidRPr="00F83441">
        <w:rPr>
          <w:lang w:val="en-US"/>
        </w:rPr>
        <w:t>PRESS and MEGAPRESS acquisitions.</w:t>
      </w:r>
      <w:r w:rsidRPr="00F83441">
        <w:rPr>
          <w:rStyle w:val="paragraph"/>
          <w:lang w:val="en-US"/>
        </w:rPr>
        <w:t xml:space="preserve"> This was used to correct in vivo water-scaled values of metabolites reported by </w:t>
      </w:r>
      <w:proofErr w:type="spellStart"/>
      <w:r w:rsidRPr="00F83441">
        <w:rPr>
          <w:rStyle w:val="paragraph"/>
          <w:lang w:val="en-US"/>
        </w:rPr>
        <w:t>LCModel</w:t>
      </w:r>
      <w:proofErr w:type="spellEnd"/>
      <w:r w:rsidRPr="00F83441">
        <w:rPr>
          <w:rStyle w:val="paragraph"/>
          <w:lang w:val="en-US"/>
        </w:rPr>
        <w:t xml:space="preserve"> and Gannet for partial volume CSF contamination and to calculate metabolite concentrations in IU corrected for partial volume CSF contamination using the following equation</w:t>
      </w:r>
      <w:r w:rsidR="00573906" w:rsidRPr="00F83441">
        <w:rPr>
          <w:rStyle w:val="paragraph"/>
          <w:lang w:val="en-US"/>
        </w:rPr>
        <w:t xml:space="preserve"> </w:t>
      </w:r>
      <w:r w:rsidRPr="00F83441">
        <w:rPr>
          <w:lang w:val="en-US"/>
        </w:rPr>
        <w:fldChar w:fldCharType="begin"/>
      </w:r>
      <w:r w:rsidR="00573906" w:rsidRPr="00F83441">
        <w:rPr>
          <w:lang w:val="en-US"/>
        </w:rPr>
        <w:instrText xml:space="preserve"> ADDIN EN.CITE &lt;EndNote&gt;&lt;Cite&gt;&lt;Author&gt;Stone&lt;/Author&gt;&lt;Year&gt;2012&lt;/Year&gt;&lt;RecNum&gt;5&lt;/RecNum&gt;&lt;DisplayText&gt;(Stone&lt;style face="italic"&gt; et al.&lt;/style&gt;, 2012)&lt;/DisplayText&gt;&lt;record&gt;&lt;rec-number&gt;5&lt;/rec-number&gt;&lt;foreign-keys&gt;&lt;key app="EN" db-id="0sa2s9arcrd9s8eas2cvxsanzdfzf0fwteza" timestamp="1438857282"&gt;5&lt;/key&gt;&lt;/foreign-keys&gt;&lt;ref-type name="Journal Article"&gt;17&lt;/ref-type&gt;&lt;contributors&gt;&lt;authors&gt;&lt;author&gt;Stone, J. M.&lt;/author&gt;&lt;author&gt;Dietrich, C.&lt;/author&gt;&lt;author&gt;Edden, R.&lt;/author&gt;&lt;author&gt;Mehta, M. A.&lt;/author&gt;&lt;author&gt;De Simoni, S.&lt;/author&gt;&lt;author&gt;Reed, L. J.&lt;/author&gt;&lt;author&gt;Krystal, J. H.&lt;/author&gt;&lt;author&gt;Nutt, D.&lt;/author&gt;&lt;author&gt;Barker, G. J.&lt;/author&gt;&lt;/authors&gt;&lt;/contributors&gt;&lt;titles&gt;&lt;title&gt;Ketamine effects on brain GABA and glutamate levels with 1H-MRS: relationship to ketamine-induced psychopathology&lt;/title&gt;&lt;secondary-title&gt;Mol Psychiatry&lt;/secondary-title&gt;&lt;/titles&gt;&lt;periodical&gt;&lt;full-title&gt;Mol Psychiatry&lt;/full-title&gt;&lt;/periodical&gt;&lt;pages&gt;664-5&lt;/pages&gt;&lt;volume&gt;17&lt;/volume&gt;&lt;number&gt;7&lt;/number&gt;&lt;keywords&gt;&lt;keyword&gt;Brain/drug effects/*metabolism&lt;/keyword&gt;&lt;keyword&gt;Excitatory Amino Acid Antagonists/adverse effects&lt;/keyword&gt;&lt;keyword&gt;Glutamic Acid/*metabolism&lt;/keyword&gt;&lt;keyword&gt;Humans&lt;/keyword&gt;&lt;keyword&gt;Ketamine/*adverse effects&lt;/keyword&gt;&lt;keyword&gt;Magnetic Resonance Spectroscopy/*diagnostic use&lt;/keyword&gt;&lt;keyword&gt;Male&lt;/keyword&gt;&lt;keyword&gt;Protons/*diagnostic use&lt;/keyword&gt;&lt;keyword&gt;Psychiatric Status Rating Scales/statistics &amp;amp; numerical data&lt;/keyword&gt;&lt;keyword&gt;*Psychopathology&lt;/keyword&gt;&lt;keyword&gt;gamma-Aminobutyric Acid/*metabolism&lt;/keyword&gt;&lt;/keywords&gt;&lt;dates&gt;&lt;year&gt;2012&lt;/year&gt;&lt;pub-dates&gt;&lt;date&gt;Jul&lt;/date&gt;&lt;/pub-dates&gt;&lt;/dates&gt;&lt;isbn&gt;1476-5578 (Electronic)&amp;#xD;1359-4184 (Linking)&lt;/isbn&gt;&lt;accession-num&gt;22212598&lt;/accession-num&gt;&lt;urls&gt;&lt;related-urls&gt;&lt;url&gt;http://www.ncbi.nlm.nih.gov/pubmed/22212598&lt;/url&gt;&lt;/related-urls&gt;&lt;/urls&gt;&lt;custom2&gt;3883303&lt;/custom2&gt;&lt;electronic-resource-num&gt;10.1038/mp.2011.171&lt;/electronic-resource-num&gt;&lt;/record&gt;&lt;/Cite&gt;&lt;/EndNote&gt;</w:instrText>
      </w:r>
      <w:r w:rsidRPr="00F83441">
        <w:rPr>
          <w:lang w:val="en-US"/>
        </w:rPr>
        <w:fldChar w:fldCharType="separate"/>
      </w:r>
      <w:r w:rsidR="00573906" w:rsidRPr="00F83441">
        <w:rPr>
          <w:noProof/>
          <w:lang w:val="en-US"/>
        </w:rPr>
        <w:t>(Stone</w:t>
      </w:r>
      <w:r w:rsidR="00573906" w:rsidRPr="00F83441">
        <w:rPr>
          <w:i/>
          <w:noProof/>
          <w:lang w:val="en-US"/>
        </w:rPr>
        <w:t xml:space="preserve"> et al.</w:t>
      </w:r>
      <w:r w:rsidR="00573906" w:rsidRPr="00F83441">
        <w:rPr>
          <w:noProof/>
          <w:lang w:val="en-US"/>
        </w:rPr>
        <w:t>, 2012)</w:t>
      </w:r>
      <w:r w:rsidRPr="00F83441">
        <w:rPr>
          <w:lang w:val="en-US"/>
        </w:rPr>
        <w:fldChar w:fldCharType="end"/>
      </w:r>
      <w:r w:rsidRPr="00F83441">
        <w:rPr>
          <w:rStyle w:val="paragraph"/>
          <w:lang w:val="en-US"/>
        </w:rPr>
        <w:t xml:space="preserve">: </w:t>
      </w:r>
    </w:p>
    <w:p w14:paraId="3EB30CC3" w14:textId="77777777" w:rsidR="000B7C97" w:rsidRPr="00F83441" w:rsidRDefault="000B7C97" w:rsidP="000B7C97">
      <w:pPr>
        <w:spacing w:after="0" w:line="480" w:lineRule="auto"/>
        <w:jc w:val="center"/>
        <w:rPr>
          <w:lang w:val="en-US"/>
        </w:rPr>
      </w:pPr>
      <w:r w:rsidRPr="00F83441">
        <w:rPr>
          <w:lang w:val="en-US"/>
        </w:rPr>
        <w:t>M</w:t>
      </w:r>
      <w:r w:rsidRPr="00F83441">
        <w:rPr>
          <w:vertAlign w:val="subscript"/>
          <w:lang w:val="en-US"/>
        </w:rPr>
        <w:t>IU</w:t>
      </w:r>
      <w:r w:rsidRPr="00F83441">
        <w:rPr>
          <w:lang w:val="en-US"/>
        </w:rPr>
        <w:t xml:space="preserve"> = M*(wm+gm+1.55*CSF)/(</w:t>
      </w:r>
      <w:proofErr w:type="spellStart"/>
      <w:r w:rsidRPr="00F83441">
        <w:rPr>
          <w:lang w:val="en-US"/>
        </w:rPr>
        <w:t>wm+gm</w:t>
      </w:r>
      <w:proofErr w:type="spellEnd"/>
      <w:r w:rsidRPr="00F83441">
        <w:rPr>
          <w:lang w:val="en-US"/>
        </w:rPr>
        <w:t>),</w:t>
      </w:r>
    </w:p>
    <w:p w14:paraId="75FD7977" w14:textId="71CBEC28" w:rsidR="000B7C97" w:rsidRPr="002D20DC" w:rsidRDefault="000B7C97" w:rsidP="000B7C97">
      <w:pPr>
        <w:spacing w:after="0" w:line="480" w:lineRule="auto"/>
        <w:rPr>
          <w:lang w:val="en-US"/>
        </w:rPr>
      </w:pPr>
      <w:r w:rsidRPr="00F83441">
        <w:rPr>
          <w:lang w:val="en-US"/>
        </w:rPr>
        <w:t xml:space="preserve">where ‘M’ </w:t>
      </w:r>
      <w:r w:rsidRPr="00F83441">
        <w:rPr>
          <w:rStyle w:val="paragraph"/>
          <w:lang w:val="en-US"/>
        </w:rPr>
        <w:t xml:space="preserve">is in vivo water-scaled values of metabolites reported by </w:t>
      </w:r>
      <w:proofErr w:type="spellStart"/>
      <w:r w:rsidRPr="00F83441">
        <w:rPr>
          <w:rStyle w:val="paragraph"/>
          <w:lang w:val="en-US"/>
        </w:rPr>
        <w:t>LCModel</w:t>
      </w:r>
      <w:proofErr w:type="spellEnd"/>
      <w:r w:rsidRPr="00F83441">
        <w:rPr>
          <w:rStyle w:val="paragraph"/>
          <w:lang w:val="en-US"/>
        </w:rPr>
        <w:t xml:space="preserve"> and Gannet; ‘</w:t>
      </w:r>
      <w:proofErr w:type="spellStart"/>
      <w:r w:rsidRPr="00F83441">
        <w:rPr>
          <w:rStyle w:val="paragraph"/>
          <w:lang w:val="en-US"/>
        </w:rPr>
        <w:t>wm</w:t>
      </w:r>
      <w:proofErr w:type="spellEnd"/>
      <w:r w:rsidRPr="00F83441">
        <w:rPr>
          <w:rStyle w:val="paragraph"/>
          <w:lang w:val="en-US"/>
        </w:rPr>
        <w:t>’ and ‘gm’ are fractions of white and grey matter in the spectroscopic voxel; and ‘CSF’ is the CSF content in the spectroscopic voxel calculated as 1-(</w:t>
      </w:r>
      <w:proofErr w:type="spellStart"/>
      <w:r w:rsidRPr="00F83441">
        <w:rPr>
          <w:rStyle w:val="paragraph"/>
          <w:lang w:val="en-US"/>
        </w:rPr>
        <w:t>wm+gm</w:t>
      </w:r>
      <w:proofErr w:type="spellEnd"/>
      <w:r w:rsidRPr="00F83441">
        <w:rPr>
          <w:rStyle w:val="paragraph"/>
          <w:lang w:val="en-US"/>
        </w:rPr>
        <w:t>). For a full description, see</w:t>
      </w:r>
      <w:r w:rsidR="00573906" w:rsidRPr="00F83441">
        <w:rPr>
          <w:rStyle w:val="paragraph"/>
          <w:lang w:val="en-US"/>
        </w:rPr>
        <w:t xml:space="preserve"> </w:t>
      </w:r>
      <w:r w:rsidRPr="00F83441">
        <w:rPr>
          <w:lang w:val="en-US"/>
        </w:rPr>
        <w:fldChar w:fldCharType="begin"/>
      </w:r>
      <w:r w:rsidR="00573906" w:rsidRPr="00F83441">
        <w:rPr>
          <w:lang w:val="en-US"/>
        </w:rPr>
        <w:instrText xml:space="preserve"> ADDIN EN.CITE &lt;EndNote&gt;&lt;Cite&gt;&lt;Author&gt;Stone&lt;/Author&gt;&lt;Year&gt;2012&lt;/Year&gt;&lt;RecNum&gt;5&lt;/RecNum&gt;&lt;DisplayText&gt;(Stone&lt;style face="italic"&gt; et al.&lt;/style&gt;, 2012)&lt;/DisplayText&gt;&lt;record&gt;&lt;rec-number&gt;5&lt;/rec-number&gt;&lt;foreign-keys&gt;&lt;key app="EN" db-id="0sa2s9arcrd9s8eas2cvxsanzdfzf0fwteza" timestamp="1438857282"&gt;5&lt;/key&gt;&lt;/foreign-keys&gt;&lt;ref-type name="Journal Article"&gt;17&lt;/ref-type&gt;&lt;contributors&gt;&lt;authors&gt;&lt;author&gt;Stone, J. M.&lt;/author&gt;&lt;author&gt;Dietrich, C.&lt;/author&gt;&lt;author&gt;Edden, R.&lt;/author&gt;&lt;author&gt;Mehta, M. A.&lt;/author&gt;&lt;author&gt;De Simoni, S.&lt;/author&gt;&lt;author&gt;Reed, L. J.&lt;/author&gt;&lt;author&gt;Krystal, J. H.&lt;/author&gt;&lt;author&gt;Nutt, D.&lt;/author&gt;&lt;author&gt;Barker, G. J.&lt;/author&gt;&lt;/authors&gt;&lt;/contributors&gt;&lt;titles&gt;&lt;title&gt;Ketamine effects on brain GABA and glutamate levels with 1H-MRS: relationship to ketamine-induced psychopathology&lt;/title&gt;&lt;secondary-title&gt;Mol Psychiatry&lt;/secondary-title&gt;&lt;/titles&gt;&lt;periodical&gt;&lt;full-title&gt;Mol Psychiatry&lt;/full-title&gt;&lt;/periodical&gt;&lt;pages&gt;664-5&lt;/pages&gt;&lt;volume&gt;17&lt;/volume&gt;&lt;number&gt;7&lt;/number&gt;&lt;keywords&gt;&lt;keyword&gt;Brain/drug effects/*metabolism&lt;/keyword&gt;&lt;keyword&gt;Excitatory Amino Acid Antagonists/adverse effects&lt;/keyword&gt;&lt;keyword&gt;Glutamic Acid/*metabolism&lt;/keyword&gt;&lt;keyword&gt;Humans&lt;/keyword&gt;&lt;keyword&gt;Ketamine/*adverse effects&lt;/keyword&gt;&lt;keyword&gt;Magnetic Resonance Spectroscopy/*diagnostic use&lt;/keyword&gt;&lt;keyword&gt;Male&lt;/keyword&gt;&lt;keyword&gt;Protons/*diagnostic use&lt;/keyword&gt;&lt;keyword&gt;Psychiatric Status Rating Scales/statistics &amp;amp; numerical data&lt;/keyword&gt;&lt;keyword&gt;*Psychopathology&lt;/keyword&gt;&lt;keyword&gt;gamma-Aminobutyric Acid/*metabolism&lt;/keyword&gt;&lt;/keywords&gt;&lt;dates&gt;&lt;year&gt;2012&lt;/year&gt;&lt;pub-dates&gt;&lt;date&gt;Jul&lt;/date&gt;&lt;/pub-dates&gt;&lt;/dates&gt;&lt;isbn&gt;1476-5578 (Electronic)&amp;#xD;1359-4184 (Linking)&lt;/isbn&gt;&lt;accession-num&gt;22212598&lt;/accession-num&gt;&lt;urls&gt;&lt;related-urls&gt;&lt;url&gt;http://www.ncbi.nlm.nih.gov/pubmed/22212598&lt;/url&gt;&lt;/related-urls&gt;&lt;/urls&gt;&lt;custom2&gt;3883303&lt;/custom2&gt;&lt;electronic-resource-num&gt;10.1038/mp.2011.171&lt;/electronic-resource-num&gt;&lt;/record&gt;&lt;/Cite&gt;&lt;/EndNote&gt;</w:instrText>
      </w:r>
      <w:r w:rsidRPr="00F83441">
        <w:rPr>
          <w:lang w:val="en-US"/>
        </w:rPr>
        <w:fldChar w:fldCharType="separate"/>
      </w:r>
      <w:r w:rsidR="00573906" w:rsidRPr="00F83441">
        <w:rPr>
          <w:noProof/>
          <w:lang w:val="en-US"/>
        </w:rPr>
        <w:t>(Stone</w:t>
      </w:r>
      <w:r w:rsidR="00573906" w:rsidRPr="00F83441">
        <w:rPr>
          <w:i/>
          <w:noProof/>
          <w:lang w:val="en-US"/>
        </w:rPr>
        <w:t xml:space="preserve"> et al.</w:t>
      </w:r>
      <w:r w:rsidR="00573906" w:rsidRPr="00F83441">
        <w:rPr>
          <w:noProof/>
          <w:lang w:val="en-US"/>
        </w:rPr>
        <w:t>, 2012)</w:t>
      </w:r>
      <w:r w:rsidRPr="00F83441">
        <w:rPr>
          <w:lang w:val="en-US"/>
        </w:rPr>
        <w:fldChar w:fldCharType="end"/>
      </w:r>
      <w:r w:rsidRPr="00F83441">
        <w:rPr>
          <w:lang w:val="en-US"/>
        </w:rPr>
        <w:t>.</w:t>
      </w:r>
    </w:p>
    <w:p w14:paraId="5199668F" w14:textId="77777777" w:rsidR="000B7C97" w:rsidRPr="00590F53" w:rsidRDefault="000B7C97" w:rsidP="004328EA">
      <w:pPr>
        <w:spacing w:line="480" w:lineRule="auto"/>
        <w:rPr>
          <w:rFonts w:ascii="Cambria" w:hAnsi="Cambria"/>
          <w:b/>
          <w:sz w:val="24"/>
          <w:szCs w:val="24"/>
        </w:rPr>
      </w:pPr>
    </w:p>
    <w:p w14:paraId="6170D311" w14:textId="77777777" w:rsidR="008B01B4" w:rsidRPr="00590F53" w:rsidRDefault="008B01B4" w:rsidP="004328EA">
      <w:pPr>
        <w:spacing w:line="480" w:lineRule="auto"/>
        <w:rPr>
          <w:rFonts w:ascii="Cambria" w:hAnsi="Cambria"/>
          <w:b/>
          <w:sz w:val="24"/>
          <w:szCs w:val="24"/>
        </w:rPr>
      </w:pPr>
    </w:p>
    <w:p w14:paraId="405E0F90" w14:textId="77777777" w:rsidR="008B01B4" w:rsidRDefault="008B01B4" w:rsidP="004328EA">
      <w:pPr>
        <w:spacing w:line="480" w:lineRule="auto"/>
        <w:rPr>
          <w:rFonts w:ascii="Cambria" w:hAnsi="Cambria"/>
          <w:b/>
          <w:sz w:val="24"/>
          <w:szCs w:val="24"/>
        </w:rPr>
      </w:pPr>
    </w:p>
    <w:p w14:paraId="584CC7BA" w14:textId="77777777" w:rsidR="004D7754" w:rsidRDefault="004D7754" w:rsidP="004328EA">
      <w:pPr>
        <w:spacing w:line="480" w:lineRule="auto"/>
        <w:rPr>
          <w:rFonts w:ascii="Cambria" w:hAnsi="Cambria"/>
          <w:b/>
          <w:sz w:val="24"/>
          <w:szCs w:val="24"/>
        </w:rPr>
      </w:pPr>
    </w:p>
    <w:p w14:paraId="6BA3C484" w14:textId="77777777" w:rsidR="00B80850" w:rsidRDefault="00B80850" w:rsidP="004328EA">
      <w:pPr>
        <w:spacing w:line="480" w:lineRule="auto"/>
        <w:rPr>
          <w:rFonts w:ascii="Cambria" w:hAnsi="Cambria"/>
          <w:b/>
          <w:sz w:val="24"/>
          <w:szCs w:val="24"/>
        </w:rPr>
      </w:pPr>
    </w:p>
    <w:p w14:paraId="14971A4B" w14:textId="77777777" w:rsidR="004D7754" w:rsidRPr="00590F53" w:rsidRDefault="004D7754" w:rsidP="004328EA">
      <w:pPr>
        <w:spacing w:line="480" w:lineRule="auto"/>
        <w:rPr>
          <w:rFonts w:ascii="Cambria" w:hAnsi="Cambria"/>
          <w:b/>
          <w:sz w:val="24"/>
          <w:szCs w:val="24"/>
        </w:rPr>
      </w:pPr>
    </w:p>
    <w:p w14:paraId="6C9D43A5" w14:textId="77777777" w:rsidR="007649F6" w:rsidRPr="00590F53" w:rsidRDefault="00AF791B" w:rsidP="001208D8">
      <w:pPr>
        <w:spacing w:line="480" w:lineRule="auto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Supplementary</w:t>
      </w:r>
      <w:r w:rsidRPr="00590F53">
        <w:rPr>
          <w:rFonts w:ascii="Cambria" w:hAnsi="Cambria"/>
          <w:b/>
          <w:sz w:val="24"/>
          <w:szCs w:val="24"/>
        </w:rPr>
        <w:t xml:space="preserve"> </w:t>
      </w:r>
      <w:r w:rsidR="007649F6" w:rsidRPr="00590F53">
        <w:rPr>
          <w:rFonts w:ascii="Cambria" w:hAnsi="Cambria"/>
          <w:b/>
          <w:sz w:val="24"/>
          <w:szCs w:val="24"/>
        </w:rPr>
        <w:t>Results</w:t>
      </w:r>
    </w:p>
    <w:p w14:paraId="68390561" w14:textId="77777777" w:rsidR="00F45CCC" w:rsidRPr="004328EA" w:rsidRDefault="00F45CCC" w:rsidP="001208D8">
      <w:pPr>
        <w:spacing w:line="480" w:lineRule="auto"/>
        <w:outlineLvl w:val="0"/>
        <w:rPr>
          <w:b/>
        </w:rPr>
      </w:pPr>
      <w:r w:rsidRPr="004328EA">
        <w:rPr>
          <w:b/>
        </w:rPr>
        <w:t>Participant characteristics</w:t>
      </w:r>
    </w:p>
    <w:p w14:paraId="6E903E91" w14:textId="17338AC5" w:rsidR="003E19BB" w:rsidRDefault="00374EF3" w:rsidP="007337BF">
      <w:pPr>
        <w:spacing w:after="0" w:line="480" w:lineRule="auto"/>
        <w:ind w:firstLine="720"/>
      </w:pPr>
      <w:r w:rsidRPr="004328EA">
        <w:t>At</w:t>
      </w:r>
      <w:r w:rsidR="00621804" w:rsidRPr="004328EA">
        <w:t xml:space="preserve"> </w:t>
      </w:r>
      <w:r w:rsidR="006D4FAA">
        <w:rPr>
          <w:lang w:val="en-US"/>
        </w:rPr>
        <w:t>6 weeks</w:t>
      </w:r>
      <w:r w:rsidR="00621804" w:rsidRPr="004328EA">
        <w:t xml:space="preserve">, 12 </w:t>
      </w:r>
      <w:r w:rsidR="00470A48" w:rsidRPr="004328EA">
        <w:t xml:space="preserve">patients </w:t>
      </w:r>
      <w:r w:rsidRPr="004328EA">
        <w:t>had</w:t>
      </w:r>
      <w:r w:rsidR="00621804" w:rsidRPr="004328EA">
        <w:t xml:space="preserve"> dropped out due to akathisia (2), other side effects (2), loss of contact (1), insufficient antipsychotic effect of aripiprazole (2), mistakenly treated with another antipsychotic compound or antidepressants</w:t>
      </w:r>
      <w:r w:rsidR="00AF7278">
        <w:t xml:space="preserve"> (3)</w:t>
      </w:r>
      <w:r w:rsidR="00DF064D" w:rsidRPr="004328EA">
        <w:t>,</w:t>
      </w:r>
      <w:r w:rsidR="00A3368A" w:rsidRPr="004328EA">
        <w:t xml:space="preserve"> or</w:t>
      </w:r>
      <w:r w:rsidR="00621804" w:rsidRPr="004328EA">
        <w:t xml:space="preserve"> </w:t>
      </w:r>
      <w:r w:rsidR="00B1399D">
        <w:t xml:space="preserve">because the patient </w:t>
      </w:r>
      <w:r w:rsidR="00621804" w:rsidRPr="004328EA">
        <w:t xml:space="preserve">wanted to terminate </w:t>
      </w:r>
      <w:r w:rsidR="003B420C" w:rsidRPr="004328EA">
        <w:t xml:space="preserve">participation </w:t>
      </w:r>
      <w:r w:rsidR="00A3368A" w:rsidRPr="004328EA">
        <w:t xml:space="preserve">in </w:t>
      </w:r>
      <w:r w:rsidR="00621804" w:rsidRPr="004328EA">
        <w:t>the study (</w:t>
      </w:r>
      <w:r w:rsidR="00A3368A" w:rsidRPr="004328EA">
        <w:t>2</w:t>
      </w:r>
      <w:r w:rsidR="00621804" w:rsidRPr="004328EA">
        <w:t>)</w:t>
      </w:r>
      <w:r w:rsidR="00A3368A" w:rsidRPr="004328EA">
        <w:t xml:space="preserve">. </w:t>
      </w:r>
      <w:r w:rsidR="003B420C" w:rsidRPr="004328EA">
        <w:t xml:space="preserve">One </w:t>
      </w:r>
      <w:r w:rsidR="00A70E53" w:rsidRPr="004328EA">
        <w:t>HC</w:t>
      </w:r>
      <w:r w:rsidR="00A3368A" w:rsidRPr="004328EA">
        <w:t xml:space="preserve"> </w:t>
      </w:r>
      <w:r w:rsidR="003B420C" w:rsidRPr="004328EA">
        <w:t xml:space="preserve">also </w:t>
      </w:r>
      <w:r w:rsidR="00A3368A" w:rsidRPr="004328EA">
        <w:t xml:space="preserve">wanted to terminate </w:t>
      </w:r>
      <w:r w:rsidR="003B420C" w:rsidRPr="004328EA">
        <w:t xml:space="preserve">participation </w:t>
      </w:r>
      <w:r w:rsidR="00511DB5">
        <w:t>in the study.</w:t>
      </w:r>
      <w:r w:rsidR="00621804" w:rsidRPr="004328EA">
        <w:t xml:space="preserve"> </w:t>
      </w:r>
      <w:r w:rsidRPr="004328EA">
        <w:t>At</w:t>
      </w:r>
      <w:r w:rsidR="00A3368A" w:rsidRPr="004328EA">
        <w:t xml:space="preserve"> </w:t>
      </w:r>
      <w:r w:rsidR="006D4FAA">
        <w:t>2</w:t>
      </w:r>
      <w:r w:rsidR="006D4FAA">
        <w:rPr>
          <w:lang w:val="en-US"/>
        </w:rPr>
        <w:t>6 weeks</w:t>
      </w:r>
      <w:r w:rsidR="00A3368A" w:rsidRPr="004328EA">
        <w:t xml:space="preserve">, 11 </w:t>
      </w:r>
      <w:r w:rsidR="00470A48" w:rsidRPr="004328EA">
        <w:t xml:space="preserve">patients </w:t>
      </w:r>
      <w:r w:rsidRPr="004328EA">
        <w:t xml:space="preserve">had </w:t>
      </w:r>
      <w:r w:rsidR="00A3368A" w:rsidRPr="004328EA">
        <w:t xml:space="preserve">dropped out due to loss of contact </w:t>
      </w:r>
      <w:r w:rsidR="00AF7278">
        <w:t>(3)</w:t>
      </w:r>
      <w:r w:rsidR="00A3368A" w:rsidRPr="004328EA">
        <w:t xml:space="preserve"> or </w:t>
      </w:r>
      <w:r w:rsidR="00B1399D">
        <w:t>because the patient</w:t>
      </w:r>
      <w:r w:rsidR="004D7754">
        <w:t>s</w:t>
      </w:r>
      <w:r w:rsidR="00A3368A" w:rsidRPr="004328EA">
        <w:t xml:space="preserve"> wanted to terminate </w:t>
      </w:r>
      <w:r w:rsidR="003B420C" w:rsidRPr="004328EA">
        <w:t xml:space="preserve">participation </w:t>
      </w:r>
      <w:r w:rsidR="00A3368A" w:rsidRPr="004328EA">
        <w:t xml:space="preserve">in the study (8). </w:t>
      </w:r>
      <w:r w:rsidR="003B420C" w:rsidRPr="004328EA">
        <w:t xml:space="preserve">Two </w:t>
      </w:r>
      <w:r w:rsidR="003A2E77" w:rsidRPr="004328EA">
        <w:t>HCs</w:t>
      </w:r>
      <w:r w:rsidR="00A3368A" w:rsidRPr="004328EA">
        <w:t xml:space="preserve"> </w:t>
      </w:r>
      <w:r w:rsidR="003B420C" w:rsidRPr="004328EA">
        <w:t xml:space="preserve">also </w:t>
      </w:r>
      <w:r w:rsidR="00A3368A" w:rsidRPr="004328EA">
        <w:t>dropped out</w:t>
      </w:r>
      <w:r w:rsidR="00473184" w:rsidRPr="004328EA">
        <w:t>, one</w:t>
      </w:r>
      <w:r w:rsidR="00A3368A" w:rsidRPr="004328EA">
        <w:t xml:space="preserve"> due to loss of contact (1) and </w:t>
      </w:r>
      <w:r w:rsidR="003B420C" w:rsidRPr="004328EA">
        <w:t xml:space="preserve">one </w:t>
      </w:r>
      <w:r w:rsidR="00A3368A" w:rsidRPr="004328EA">
        <w:t xml:space="preserve">wanted to terminate </w:t>
      </w:r>
      <w:r w:rsidR="003B420C" w:rsidRPr="004328EA">
        <w:t xml:space="preserve">participation </w:t>
      </w:r>
      <w:r w:rsidR="00A3368A" w:rsidRPr="004328EA">
        <w:t>in the study (1).</w:t>
      </w:r>
    </w:p>
    <w:p w14:paraId="2EBD22D5" w14:textId="54989F03" w:rsidR="00CF05C0" w:rsidRDefault="006E37B6" w:rsidP="00FC3BD1">
      <w:pPr>
        <w:spacing w:line="480" w:lineRule="auto"/>
        <w:ind w:firstLine="720"/>
      </w:pPr>
      <w:r w:rsidRPr="008E46B0">
        <w:rPr>
          <w:lang w:val="en-US"/>
        </w:rPr>
        <w:t>Baseline glutamate</w:t>
      </w:r>
      <w:r>
        <w:rPr>
          <w:lang w:val="en-US"/>
        </w:rPr>
        <w:t>/Cr and GABA/Cr</w:t>
      </w:r>
      <w:r w:rsidRPr="008E46B0">
        <w:rPr>
          <w:lang w:val="en-US"/>
        </w:rPr>
        <w:t xml:space="preserve"> levels </w:t>
      </w:r>
      <w:r>
        <w:rPr>
          <w:lang w:val="en-US"/>
        </w:rPr>
        <w:t xml:space="preserve">did not differ between </w:t>
      </w:r>
      <w:r w:rsidRPr="008E46B0">
        <w:rPr>
          <w:lang w:val="en-US"/>
        </w:rPr>
        <w:t>drop-out patients and study completers</w:t>
      </w:r>
      <w:r w:rsidR="00001CC7">
        <w:rPr>
          <w:lang w:val="en-US"/>
        </w:rPr>
        <w:t xml:space="preserve"> in </w:t>
      </w:r>
      <w:r>
        <w:rPr>
          <w:lang w:val="en-US"/>
        </w:rPr>
        <w:t xml:space="preserve">ACC </w:t>
      </w:r>
      <w:r w:rsidRPr="004328EA">
        <w:t>(</w:t>
      </w:r>
      <w:r>
        <w:t xml:space="preserve">ACC glutamate: </w:t>
      </w:r>
      <w:r w:rsidRPr="004328EA">
        <w:t>p</w:t>
      </w:r>
      <w:r w:rsidR="004D7754">
        <w:rPr>
          <w:vertAlign w:val="subscript"/>
        </w:rPr>
        <w:t>6weeks</w:t>
      </w:r>
      <w:r w:rsidRPr="004328EA">
        <w:t>=0.73</w:t>
      </w:r>
      <w:r>
        <w:t xml:space="preserve">, </w:t>
      </w:r>
      <w:r w:rsidRPr="004328EA">
        <w:t>p</w:t>
      </w:r>
      <w:r w:rsidR="004D7754" w:rsidRPr="004D7754">
        <w:rPr>
          <w:vertAlign w:val="subscript"/>
        </w:rPr>
        <w:t>2</w:t>
      </w:r>
      <w:r w:rsidR="004D7754">
        <w:rPr>
          <w:vertAlign w:val="subscript"/>
        </w:rPr>
        <w:t>6weeks</w:t>
      </w:r>
      <w:r w:rsidRPr="004328EA">
        <w:t>=0.</w:t>
      </w:r>
      <w:r>
        <w:t xml:space="preserve">40; ACC GABA: </w:t>
      </w:r>
      <w:r w:rsidRPr="004328EA">
        <w:t>p</w:t>
      </w:r>
      <w:r w:rsidR="004D7754">
        <w:rPr>
          <w:vertAlign w:val="subscript"/>
        </w:rPr>
        <w:t>6weeks</w:t>
      </w:r>
      <w:r w:rsidRPr="004328EA">
        <w:t>=0.</w:t>
      </w:r>
      <w:r>
        <w:t xml:space="preserve">50, </w:t>
      </w:r>
      <w:r w:rsidRPr="004328EA">
        <w:t>p</w:t>
      </w:r>
      <w:r w:rsidR="004D7754" w:rsidRPr="004D7754">
        <w:rPr>
          <w:vertAlign w:val="subscript"/>
        </w:rPr>
        <w:t>2</w:t>
      </w:r>
      <w:r w:rsidR="004D7754">
        <w:rPr>
          <w:vertAlign w:val="subscript"/>
        </w:rPr>
        <w:t>6weeks</w:t>
      </w:r>
      <w:r w:rsidRPr="004328EA">
        <w:t>=0.</w:t>
      </w:r>
      <w:r>
        <w:t>27</w:t>
      </w:r>
      <w:r w:rsidRPr="004328EA">
        <w:t>)</w:t>
      </w:r>
      <w:r w:rsidR="00001CC7">
        <w:t xml:space="preserve"> or in </w:t>
      </w:r>
      <w:r>
        <w:t>left thalamus for</w:t>
      </w:r>
      <w:r w:rsidR="00E5363F">
        <w:t xml:space="preserve"> the</w:t>
      </w:r>
      <w:r>
        <w:t xml:space="preserve"> </w:t>
      </w:r>
      <w:r w:rsidR="006D4FAA">
        <w:rPr>
          <w:lang w:val="en-US"/>
        </w:rPr>
        <w:t>6 weeks</w:t>
      </w:r>
      <w:r w:rsidR="006D4FAA" w:rsidDel="006D4FAA">
        <w:t xml:space="preserve"> </w:t>
      </w:r>
      <w:r>
        <w:t>examinations (</w:t>
      </w:r>
      <w:r w:rsidRPr="004328EA">
        <w:t>p=0.73)</w:t>
      </w:r>
      <w:r>
        <w:t xml:space="preserve">, but baseline glutamate/Cr levels were </w:t>
      </w:r>
      <w:r w:rsidRPr="004328EA">
        <w:t>significantly lower</w:t>
      </w:r>
      <w:r>
        <w:t xml:space="preserve"> in </w:t>
      </w:r>
      <w:r w:rsidR="00E5363F">
        <w:t xml:space="preserve">left thalamus of </w:t>
      </w:r>
      <w:r w:rsidRPr="004328EA">
        <w:t>patients</w:t>
      </w:r>
      <w:r>
        <w:t xml:space="preserve"> who </w:t>
      </w:r>
      <w:r w:rsidRPr="004328EA">
        <w:t xml:space="preserve">dropped out of the </w:t>
      </w:r>
      <w:r w:rsidR="006D4FAA">
        <w:t>2</w:t>
      </w:r>
      <w:r w:rsidR="006D4FAA">
        <w:rPr>
          <w:lang w:val="en-US"/>
        </w:rPr>
        <w:t>6 weeks</w:t>
      </w:r>
      <w:r w:rsidR="006D4FAA" w:rsidDel="006D4FAA">
        <w:t xml:space="preserve"> </w:t>
      </w:r>
      <w:r w:rsidRPr="004328EA">
        <w:t>examinations</w:t>
      </w:r>
      <w:r>
        <w:rPr>
          <w:lang w:val="en-US"/>
        </w:rPr>
        <w:t xml:space="preserve"> </w:t>
      </w:r>
      <w:r w:rsidRPr="004328EA">
        <w:t>(T</w:t>
      </w:r>
      <w:r w:rsidR="00A34A3C">
        <w:t>[</w:t>
      </w:r>
      <w:r w:rsidRPr="004328EA">
        <w:t>36</w:t>
      </w:r>
      <w:r w:rsidR="00A34A3C">
        <w:t>]</w:t>
      </w:r>
      <w:r w:rsidR="00A34A3C" w:rsidRPr="004328EA">
        <w:t>=</w:t>
      </w:r>
      <w:r w:rsidRPr="004328EA">
        <w:t>2.29, p=0.03).</w:t>
      </w:r>
    </w:p>
    <w:p w14:paraId="28EE1D6C" w14:textId="77777777" w:rsidR="00FC3BD1" w:rsidRPr="004328EA" w:rsidRDefault="00FC3BD1" w:rsidP="00FC3BD1">
      <w:pPr>
        <w:spacing w:line="480" w:lineRule="auto"/>
        <w:ind w:firstLine="720"/>
      </w:pPr>
    </w:p>
    <w:p w14:paraId="51EB7C1E" w14:textId="77777777" w:rsidR="00952F6A" w:rsidRPr="00F83441" w:rsidRDefault="00686818" w:rsidP="001208D8">
      <w:pPr>
        <w:spacing w:line="480" w:lineRule="auto"/>
        <w:outlineLvl w:val="0"/>
        <w:rPr>
          <w:b/>
        </w:rPr>
      </w:pPr>
      <w:r w:rsidRPr="00F83441">
        <w:rPr>
          <w:b/>
        </w:rPr>
        <w:t>Proton magnetic resonance spectroscopy (</w:t>
      </w:r>
      <w:r w:rsidR="006969CB" w:rsidRPr="00F83441">
        <w:rPr>
          <w:b/>
        </w:rPr>
        <w:t>1H</w:t>
      </w:r>
      <w:r w:rsidR="007B7B04" w:rsidRPr="00F83441">
        <w:rPr>
          <w:b/>
        </w:rPr>
        <w:t>-</w:t>
      </w:r>
      <w:r w:rsidR="006969CB" w:rsidRPr="00F83441">
        <w:rPr>
          <w:b/>
        </w:rPr>
        <w:t>MRS</w:t>
      </w:r>
      <w:r w:rsidRPr="00F83441">
        <w:rPr>
          <w:b/>
        </w:rPr>
        <w:t>)</w:t>
      </w:r>
      <w:r w:rsidR="006969CB" w:rsidRPr="00F83441">
        <w:rPr>
          <w:b/>
        </w:rPr>
        <w:t xml:space="preserve"> quality</w:t>
      </w:r>
      <w:r w:rsidR="00376F71" w:rsidRPr="00F83441">
        <w:rPr>
          <w:b/>
        </w:rPr>
        <w:t xml:space="preserve"> </w:t>
      </w:r>
    </w:p>
    <w:p w14:paraId="2AAD33EC" w14:textId="77777777" w:rsidR="00B75B4A" w:rsidRDefault="00B75B4A" w:rsidP="00B75B4A">
      <w:pPr>
        <w:spacing w:after="0" w:line="480" w:lineRule="auto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 xml:space="preserve">The spectral quality of the 1H-MRS data and the fit of individual metabolites were judged good as described in </w:t>
      </w:r>
      <w:r w:rsidRPr="00F83441">
        <w:t xml:space="preserve">detail below. </w:t>
      </w:r>
      <w:r w:rsidRPr="00F83441">
        <w:rPr>
          <w:rFonts w:asciiTheme="majorHAnsi" w:hAnsiTheme="majorHAnsi" w:cstheme="majorHAnsi"/>
          <w:lang w:val="en-US"/>
        </w:rPr>
        <w:t xml:space="preserve">Signal-to-noise ratios, </w:t>
      </w:r>
      <w:r w:rsidRPr="00F83441">
        <w:rPr>
          <w:rFonts w:asciiTheme="majorHAnsi" w:hAnsiTheme="majorHAnsi" w:cstheme="majorHAnsi"/>
        </w:rPr>
        <w:t>full-width half-maximum, and CRLB values are</w:t>
      </w:r>
      <w:r w:rsidRPr="00F83441">
        <w:t xml:space="preserve"> summarised for baseline data in Tables S2 and S3, for </w:t>
      </w:r>
      <w:r w:rsidRPr="00F83441">
        <w:rPr>
          <w:lang w:val="en-US"/>
        </w:rPr>
        <w:t>6 weeks</w:t>
      </w:r>
      <w:r w:rsidRPr="00F83441" w:rsidDel="006D4FAA">
        <w:t xml:space="preserve"> </w:t>
      </w:r>
      <w:r w:rsidRPr="00F83441">
        <w:t>data in Table S4 and S5, and for 2</w:t>
      </w:r>
      <w:r w:rsidRPr="00F83441">
        <w:rPr>
          <w:lang w:val="en-US"/>
        </w:rPr>
        <w:t>6 weeks</w:t>
      </w:r>
      <w:r w:rsidRPr="00F83441">
        <w:t xml:space="preserve"> data in Tables S6 and S7.</w:t>
      </w:r>
    </w:p>
    <w:p w14:paraId="0BD6DC6A" w14:textId="51ADAE77" w:rsidR="00B75B4A" w:rsidRPr="004328EA" w:rsidRDefault="00B75B4A" w:rsidP="00B75B4A">
      <w:pPr>
        <w:spacing w:after="0" w:line="480" w:lineRule="auto"/>
      </w:pPr>
      <w:r w:rsidRPr="004328EA">
        <w:t xml:space="preserve"> </w:t>
      </w:r>
    </w:p>
    <w:p w14:paraId="373812D4" w14:textId="77777777" w:rsidR="00C056B4" w:rsidRDefault="00622110" w:rsidP="004328EA">
      <w:pPr>
        <w:spacing w:after="0" w:line="480" w:lineRule="auto"/>
        <w:rPr>
          <w:i/>
        </w:rPr>
      </w:pPr>
      <w:r w:rsidRPr="004328EA">
        <w:rPr>
          <w:i/>
        </w:rPr>
        <w:t>1H</w:t>
      </w:r>
      <w:r w:rsidR="007B7B04" w:rsidRPr="004328EA">
        <w:rPr>
          <w:i/>
        </w:rPr>
        <w:t>-</w:t>
      </w:r>
      <w:r w:rsidRPr="004328EA">
        <w:rPr>
          <w:i/>
        </w:rPr>
        <w:t>MRS b</w:t>
      </w:r>
      <w:r w:rsidR="00C056B4" w:rsidRPr="004328EA">
        <w:rPr>
          <w:i/>
        </w:rPr>
        <w:t>aseline data</w:t>
      </w:r>
      <w:r w:rsidR="003E19BB" w:rsidRPr="004328EA">
        <w:rPr>
          <w:i/>
        </w:rPr>
        <w:t>:</w:t>
      </w:r>
    </w:p>
    <w:p w14:paraId="7D37228F" w14:textId="25538ECE" w:rsidR="006873EB" w:rsidRPr="006873EB" w:rsidRDefault="006873EB" w:rsidP="006873EB">
      <w:pPr>
        <w:spacing w:after="0" w:line="480" w:lineRule="auto"/>
      </w:pPr>
      <w:r>
        <w:t xml:space="preserve">At baseline, 44 patients and 36 HCs were recruited. Of these, 5 </w:t>
      </w:r>
      <w:r w:rsidR="00C97D61">
        <w:t xml:space="preserve">patients </w:t>
      </w:r>
      <w:r>
        <w:t>did not get a MRI scan due to a technical upgrade of the scanner.</w:t>
      </w:r>
    </w:p>
    <w:p w14:paraId="4735B618" w14:textId="77E3D2F3" w:rsidR="00C056B4" w:rsidRPr="004328EA" w:rsidRDefault="00C056B4" w:rsidP="007337BF">
      <w:pPr>
        <w:spacing w:after="0" w:line="480" w:lineRule="auto"/>
        <w:ind w:firstLine="720"/>
      </w:pPr>
      <w:proofErr w:type="spellStart"/>
      <w:r w:rsidRPr="004328EA">
        <w:rPr>
          <w:b/>
        </w:rPr>
        <w:lastRenderedPageBreak/>
        <w:t>Thalamus</w:t>
      </w:r>
      <w:r w:rsidRPr="004328EA">
        <w:rPr>
          <w:b/>
          <w:vertAlign w:val="subscript"/>
        </w:rPr>
        <w:t>PRESS</w:t>
      </w:r>
      <w:proofErr w:type="spellEnd"/>
      <w:r w:rsidRPr="004328EA">
        <w:t>: Three spectra were excluded from left thalamus by visual inspection (2</w:t>
      </w:r>
      <w:r w:rsidR="00686818" w:rsidRPr="004328EA">
        <w:t xml:space="preserve"> </w:t>
      </w:r>
      <w:r w:rsidR="003A2E77" w:rsidRPr="004328EA">
        <w:t>HCs</w:t>
      </w:r>
      <w:r w:rsidRPr="004328EA">
        <w:t xml:space="preserve"> and 1</w:t>
      </w:r>
      <w:r w:rsidR="00686818" w:rsidRPr="004328EA">
        <w:t xml:space="preserve"> </w:t>
      </w:r>
      <w:r w:rsidR="00001CC7">
        <w:t>patient</w:t>
      </w:r>
      <w:r w:rsidRPr="004328EA">
        <w:t>)</w:t>
      </w:r>
      <w:r w:rsidR="00A845CF" w:rsidRPr="004328EA">
        <w:t xml:space="preserve"> and </w:t>
      </w:r>
      <w:r w:rsidR="00D01805">
        <w:t>1HC</w:t>
      </w:r>
      <w:r w:rsidR="00A845CF" w:rsidRPr="004328EA">
        <w:t xml:space="preserve"> did not get the acquisition </w:t>
      </w:r>
      <w:r w:rsidR="007B7B04" w:rsidRPr="004328EA">
        <w:t>due to</w:t>
      </w:r>
      <w:r w:rsidR="00A845CF" w:rsidRPr="004328EA">
        <w:t xml:space="preserve"> technical problems with the sequence </w:t>
      </w:r>
      <w:r w:rsidRPr="004328EA">
        <w:t xml:space="preserve">leaving a total of 38 </w:t>
      </w:r>
      <w:r w:rsidR="0037616D" w:rsidRPr="004328EA">
        <w:t xml:space="preserve">patients </w:t>
      </w:r>
      <w:r w:rsidRPr="004328EA">
        <w:t xml:space="preserve">and 33 </w:t>
      </w:r>
      <w:r w:rsidR="003A2E77" w:rsidRPr="004328EA">
        <w:t>HC</w:t>
      </w:r>
      <w:r w:rsidR="00063432">
        <w:t>s</w:t>
      </w:r>
      <w:r w:rsidRPr="004328EA">
        <w:t xml:space="preserve"> spectra. For individual metabolites, exclusion due to </w:t>
      </w:r>
      <w:proofErr w:type="spellStart"/>
      <w:r w:rsidRPr="004328EA">
        <w:t>Cram</w:t>
      </w:r>
      <w:r w:rsidR="008C7ACA" w:rsidRPr="004328EA">
        <w:t>é</w:t>
      </w:r>
      <w:r w:rsidRPr="004328EA">
        <w:t>r</w:t>
      </w:r>
      <w:proofErr w:type="spellEnd"/>
      <w:r w:rsidRPr="004328EA">
        <w:t xml:space="preserve">-Rao </w:t>
      </w:r>
      <w:r w:rsidR="005470F3" w:rsidRPr="004328EA">
        <w:t>l</w:t>
      </w:r>
      <w:r w:rsidRPr="004328EA">
        <w:t xml:space="preserve">ower </w:t>
      </w:r>
      <w:r w:rsidR="005470F3" w:rsidRPr="004328EA">
        <w:t>b</w:t>
      </w:r>
      <w:r w:rsidRPr="004328EA">
        <w:t xml:space="preserve">ound </w:t>
      </w:r>
      <w:r w:rsidR="005470F3" w:rsidRPr="004328EA">
        <w:t xml:space="preserve">(CRLB) </w:t>
      </w:r>
      <w:r w:rsidRPr="004328EA">
        <w:t xml:space="preserve">&gt;20% was done for </w:t>
      </w:r>
      <w:r w:rsidR="0090405F">
        <w:t>1</w:t>
      </w:r>
      <w:r w:rsidRPr="004328EA">
        <w:t xml:space="preserve"> glutamate (1</w:t>
      </w:r>
      <w:r w:rsidR="005470F3" w:rsidRPr="004328EA">
        <w:t xml:space="preserve"> </w:t>
      </w:r>
      <w:r w:rsidR="003A2E77" w:rsidRPr="004328EA">
        <w:t>HC</w:t>
      </w:r>
      <w:r w:rsidR="00D01805">
        <w:t xml:space="preserve">) and </w:t>
      </w:r>
      <w:r w:rsidRPr="004328EA">
        <w:t>62 glutamine (</w:t>
      </w:r>
      <w:r w:rsidR="005470F3" w:rsidRPr="004328EA">
        <w:t xml:space="preserve">which is </w:t>
      </w:r>
      <w:r w:rsidRPr="004328EA">
        <w:t xml:space="preserve">why glutamine </w:t>
      </w:r>
      <w:r w:rsidR="005470F3" w:rsidRPr="004328EA">
        <w:t>is</w:t>
      </w:r>
      <w:r w:rsidRPr="004328EA">
        <w:t xml:space="preserve"> not reported at all</w:t>
      </w:r>
      <w:r w:rsidR="004D7754">
        <w:t xml:space="preserve"> for the left thalamus</w:t>
      </w:r>
      <w:r w:rsidRPr="004328EA">
        <w:t>) data, whereas no CRLB values &gt;20% w</w:t>
      </w:r>
      <w:r w:rsidR="005470F3" w:rsidRPr="004328EA">
        <w:t>ere</w:t>
      </w:r>
      <w:r w:rsidRPr="004328EA">
        <w:t xml:space="preserve"> observed for </w:t>
      </w:r>
      <w:r w:rsidR="00F62AB3" w:rsidRPr="004328EA">
        <w:rPr>
          <w:lang w:val="en-US"/>
        </w:rPr>
        <w:t>glutamate + glutamine</w:t>
      </w:r>
      <w:r w:rsidR="00F62AB3" w:rsidRPr="004328EA">
        <w:t xml:space="preserve"> (</w:t>
      </w:r>
      <w:r w:rsidRPr="004328EA">
        <w:t>glx</w:t>
      </w:r>
      <w:r w:rsidR="00F62AB3" w:rsidRPr="004328EA">
        <w:t>)</w:t>
      </w:r>
      <w:r w:rsidRPr="004328EA">
        <w:t xml:space="preserve">, </w:t>
      </w:r>
      <w:r w:rsidR="00F62AB3" w:rsidRPr="004328EA">
        <w:t>N-acetyl aspartate (</w:t>
      </w:r>
      <w:r w:rsidRPr="004328EA">
        <w:t>NAA</w:t>
      </w:r>
      <w:r w:rsidR="00F62AB3" w:rsidRPr="004328EA">
        <w:t>)</w:t>
      </w:r>
      <w:r w:rsidRPr="004328EA">
        <w:t xml:space="preserve">, </w:t>
      </w:r>
      <w:proofErr w:type="spellStart"/>
      <w:r w:rsidRPr="004328EA">
        <w:t>Cr+PCr</w:t>
      </w:r>
      <w:proofErr w:type="spellEnd"/>
      <w:r w:rsidRPr="004328EA">
        <w:t xml:space="preserve"> (total creatine used as reference by </w:t>
      </w:r>
      <w:proofErr w:type="spellStart"/>
      <w:r w:rsidRPr="004328EA">
        <w:t>LCModel</w:t>
      </w:r>
      <w:proofErr w:type="spellEnd"/>
      <w:r w:rsidRPr="004328EA">
        <w:t>), myo-inositol</w:t>
      </w:r>
      <w:r w:rsidR="007B7B04" w:rsidRPr="004328EA">
        <w:t>,</w:t>
      </w:r>
      <w:r w:rsidR="00F62AB3" w:rsidRPr="004328EA">
        <w:t xml:space="preserve"> or</w:t>
      </w:r>
      <w:r w:rsidRPr="004328EA">
        <w:t xml:space="preserve"> choline.</w:t>
      </w:r>
      <w:r w:rsidR="000B1E5B" w:rsidRPr="004328EA">
        <w:t xml:space="preserve"> </w:t>
      </w:r>
      <w:r w:rsidR="00F62AB3" w:rsidRPr="004328EA">
        <w:t xml:space="preserve">Table </w:t>
      </w:r>
      <w:r w:rsidR="00D96951" w:rsidRPr="004328EA">
        <w:t>S</w:t>
      </w:r>
      <w:r w:rsidR="00063432">
        <w:t>2 summariz</w:t>
      </w:r>
      <w:r w:rsidR="00F62AB3" w:rsidRPr="004328EA">
        <w:t xml:space="preserve">es </w:t>
      </w:r>
      <w:r w:rsidR="00A34A3C">
        <w:t>the</w:t>
      </w:r>
      <w:r w:rsidR="000B1E5B" w:rsidRPr="004328EA">
        <w:t xml:space="preserve"> spectral quality</w:t>
      </w:r>
      <w:r w:rsidR="00A34A3C" w:rsidRPr="00A34A3C">
        <w:t xml:space="preserve"> </w:t>
      </w:r>
      <w:r w:rsidR="00A34A3C" w:rsidRPr="004328EA">
        <w:t>data</w:t>
      </w:r>
      <w:r w:rsidR="000B1E5B" w:rsidRPr="004328EA">
        <w:t xml:space="preserve">. </w:t>
      </w:r>
      <w:r w:rsidRPr="004328EA">
        <w:t xml:space="preserve"> </w:t>
      </w:r>
    </w:p>
    <w:p w14:paraId="72979128" w14:textId="414C8258" w:rsidR="000B1E5B" w:rsidRPr="004328EA" w:rsidRDefault="00C056B4" w:rsidP="007337BF">
      <w:pPr>
        <w:spacing w:after="0" w:line="480" w:lineRule="auto"/>
        <w:ind w:firstLine="720"/>
      </w:pPr>
      <w:r w:rsidRPr="004328EA">
        <w:rPr>
          <w:b/>
        </w:rPr>
        <w:t>ACC</w:t>
      </w:r>
      <w:r w:rsidRPr="004328EA">
        <w:rPr>
          <w:b/>
          <w:vertAlign w:val="subscript"/>
        </w:rPr>
        <w:t>PRESS</w:t>
      </w:r>
      <w:r w:rsidRPr="004328EA">
        <w:t xml:space="preserve">: </w:t>
      </w:r>
      <w:r w:rsidR="00A845CF" w:rsidRPr="004328EA">
        <w:t>Two spectra from the ACC</w:t>
      </w:r>
      <w:r w:rsidR="00A845CF" w:rsidRPr="004328EA">
        <w:rPr>
          <w:vertAlign w:val="subscript"/>
        </w:rPr>
        <w:t xml:space="preserve">PRESS </w:t>
      </w:r>
      <w:r w:rsidR="00A845CF" w:rsidRPr="004328EA">
        <w:t>(2</w:t>
      </w:r>
      <w:r w:rsidR="00F62AB3" w:rsidRPr="004328EA">
        <w:t xml:space="preserve"> </w:t>
      </w:r>
      <w:r w:rsidR="00001CC7">
        <w:t>patients</w:t>
      </w:r>
      <w:r w:rsidR="00A845CF" w:rsidRPr="004328EA">
        <w:t xml:space="preserve">) were excluded by visual inspection, leaving a total of </w:t>
      </w:r>
      <w:r w:rsidR="000B1E5B" w:rsidRPr="004328EA">
        <w:t xml:space="preserve">37 </w:t>
      </w:r>
      <w:r w:rsidR="0037616D" w:rsidRPr="004328EA">
        <w:t xml:space="preserve">patients </w:t>
      </w:r>
      <w:r w:rsidR="000B1E5B" w:rsidRPr="004328EA">
        <w:t xml:space="preserve">and 36 </w:t>
      </w:r>
      <w:r w:rsidR="003A2E77" w:rsidRPr="004328EA">
        <w:t>HC</w:t>
      </w:r>
      <w:r w:rsidR="00063432">
        <w:t>s</w:t>
      </w:r>
      <w:r w:rsidR="000B1E5B" w:rsidRPr="004328EA">
        <w:t xml:space="preserve"> spectra. Exclusion due to CRLB &gt;20% was done for 14 glutamine data (9</w:t>
      </w:r>
      <w:r w:rsidR="00F62AB3" w:rsidRPr="004328EA">
        <w:t xml:space="preserve"> </w:t>
      </w:r>
      <w:r w:rsidR="003A2E77" w:rsidRPr="004328EA">
        <w:t>HCs</w:t>
      </w:r>
      <w:r w:rsidR="000B1E5B" w:rsidRPr="004328EA">
        <w:t xml:space="preserve"> and 5</w:t>
      </w:r>
      <w:r w:rsidR="00F62AB3" w:rsidRPr="004328EA">
        <w:t xml:space="preserve"> </w:t>
      </w:r>
      <w:r w:rsidR="00001CC7">
        <w:t>patients</w:t>
      </w:r>
      <w:r w:rsidR="000B1E5B" w:rsidRPr="004328EA">
        <w:t xml:space="preserve">), whereas no CRLB values &gt;20% was observed for </w:t>
      </w:r>
      <w:proofErr w:type="spellStart"/>
      <w:r w:rsidR="000B1E5B" w:rsidRPr="004328EA">
        <w:t>glx</w:t>
      </w:r>
      <w:proofErr w:type="spellEnd"/>
      <w:r w:rsidR="000B1E5B" w:rsidRPr="004328EA">
        <w:t xml:space="preserve">, NAA, </w:t>
      </w:r>
      <w:proofErr w:type="spellStart"/>
      <w:r w:rsidR="000B1E5B" w:rsidRPr="004328EA">
        <w:t>Cr+PCr</w:t>
      </w:r>
      <w:proofErr w:type="spellEnd"/>
      <w:r w:rsidR="000B1E5B" w:rsidRPr="004328EA">
        <w:t>, myo-inositol</w:t>
      </w:r>
      <w:r w:rsidR="007B7B04" w:rsidRPr="004328EA">
        <w:t>,</w:t>
      </w:r>
      <w:r w:rsidR="000B1E5B" w:rsidRPr="004328EA">
        <w:t xml:space="preserve"> and choline. </w:t>
      </w:r>
      <w:r w:rsidR="00F62AB3" w:rsidRPr="004328EA">
        <w:t xml:space="preserve">Table </w:t>
      </w:r>
      <w:r w:rsidR="00D96951" w:rsidRPr="004328EA">
        <w:t>S</w:t>
      </w:r>
      <w:r w:rsidR="00F62AB3" w:rsidRPr="004328EA">
        <w:t>2 summarises the</w:t>
      </w:r>
      <w:r w:rsidR="00AB0312">
        <w:t xml:space="preserve"> </w:t>
      </w:r>
      <w:r w:rsidR="000B1E5B" w:rsidRPr="004328EA">
        <w:t>spectral quality</w:t>
      </w:r>
      <w:r w:rsidR="00AB0312" w:rsidRPr="00AB0312">
        <w:t xml:space="preserve"> </w:t>
      </w:r>
      <w:r w:rsidR="00AB0312" w:rsidRPr="004328EA">
        <w:t>data</w:t>
      </w:r>
      <w:r w:rsidR="000B1E5B" w:rsidRPr="004328EA">
        <w:t xml:space="preserve">.  </w:t>
      </w:r>
    </w:p>
    <w:p w14:paraId="3BA88E96" w14:textId="56EE1FDD" w:rsidR="004328EA" w:rsidRPr="00876F55" w:rsidRDefault="00A845CF" w:rsidP="00EF6DEC">
      <w:pPr>
        <w:spacing w:line="480" w:lineRule="auto"/>
        <w:ind w:firstLine="720"/>
      </w:pPr>
      <w:r w:rsidRPr="004328EA">
        <w:rPr>
          <w:b/>
        </w:rPr>
        <w:t>ACC</w:t>
      </w:r>
      <w:r w:rsidRPr="004328EA">
        <w:rPr>
          <w:b/>
          <w:vertAlign w:val="subscript"/>
        </w:rPr>
        <w:t>MEGAPRESS</w:t>
      </w:r>
      <w:r w:rsidRPr="004328EA">
        <w:t>: Six spectra from the ACC</w:t>
      </w:r>
      <w:r w:rsidRPr="004328EA">
        <w:rPr>
          <w:vertAlign w:val="subscript"/>
        </w:rPr>
        <w:t>MEGAPRESS</w:t>
      </w:r>
      <w:r w:rsidRPr="004328EA">
        <w:t xml:space="preserve"> (2</w:t>
      </w:r>
      <w:r w:rsidR="00F62AB3" w:rsidRPr="004328EA">
        <w:t xml:space="preserve"> </w:t>
      </w:r>
      <w:r w:rsidR="003A2E77" w:rsidRPr="004328EA">
        <w:t>HCs</w:t>
      </w:r>
      <w:r w:rsidRPr="004328EA">
        <w:t xml:space="preserve"> and 4</w:t>
      </w:r>
      <w:r w:rsidR="00F62AB3" w:rsidRPr="004328EA">
        <w:t xml:space="preserve"> </w:t>
      </w:r>
      <w:r w:rsidR="00001CC7">
        <w:t>patients</w:t>
      </w:r>
      <w:r w:rsidRPr="004328EA">
        <w:t>) were excluded by visual inspection</w:t>
      </w:r>
      <w:r w:rsidR="00AB0312">
        <w:t>,</w:t>
      </w:r>
      <w:r w:rsidRPr="004328EA">
        <w:t xml:space="preserve"> </w:t>
      </w:r>
      <w:r w:rsidR="00EF6DEC">
        <w:t>and in one spectrum</w:t>
      </w:r>
      <w:r w:rsidR="00EF6DEC" w:rsidRPr="00F61782">
        <w:t xml:space="preserve"> the water was not </w:t>
      </w:r>
      <w:r w:rsidR="00EF6DEC" w:rsidRPr="00545782">
        <w:rPr>
          <w:rFonts w:eastAsia="Times New Roman" w:cs="Arial"/>
          <w:shd w:val="clear" w:color="auto" w:fill="FFFFFF"/>
        </w:rPr>
        <w:t>quantifiable</w:t>
      </w:r>
      <w:r w:rsidR="00EF6DEC" w:rsidRPr="00F61782">
        <w:rPr>
          <w:rFonts w:eastAsia="Times New Roman" w:cs="Arial"/>
          <w:shd w:val="clear" w:color="auto" w:fill="FFFFFF"/>
        </w:rPr>
        <w:t xml:space="preserve"> </w:t>
      </w:r>
      <w:r w:rsidR="00EF6DEC">
        <w:rPr>
          <w:rFonts w:eastAsia="Times New Roman" w:cs="Arial"/>
          <w:shd w:val="clear" w:color="auto" w:fill="FFFFFF"/>
        </w:rPr>
        <w:t>(1</w:t>
      </w:r>
      <w:r w:rsidR="00EF6DEC" w:rsidRPr="00F61782">
        <w:rPr>
          <w:rFonts w:eastAsia="Times New Roman" w:cs="Arial"/>
          <w:shd w:val="clear" w:color="auto" w:fill="FFFFFF"/>
        </w:rPr>
        <w:t xml:space="preserve"> patient</w:t>
      </w:r>
      <w:r w:rsidR="00EF6DEC">
        <w:rPr>
          <w:rFonts w:eastAsia="Times New Roman" w:cs="Arial"/>
          <w:shd w:val="clear" w:color="auto" w:fill="FFFFFF"/>
        </w:rPr>
        <w:t xml:space="preserve">) and therefore only </w:t>
      </w:r>
      <w:r w:rsidR="00EF6DEC" w:rsidRPr="00F61782">
        <w:rPr>
          <w:rFonts w:eastAsia="Times New Roman" w:cs="Arial"/>
          <w:shd w:val="clear" w:color="auto" w:fill="FFFFFF"/>
        </w:rPr>
        <w:t xml:space="preserve">the </w:t>
      </w:r>
      <w:r w:rsidR="00EF6DEC">
        <w:t>creatine scaled</w:t>
      </w:r>
      <w:r w:rsidR="00EF6DEC" w:rsidRPr="00F61782">
        <w:t xml:space="preserve"> value</w:t>
      </w:r>
      <w:r w:rsidR="00EF6DEC">
        <w:t>s, but not the water scaled values</w:t>
      </w:r>
      <w:r w:rsidR="00EF6DEC" w:rsidRPr="00F61782">
        <w:t xml:space="preserve"> </w:t>
      </w:r>
      <w:r w:rsidR="00EF6DEC">
        <w:t>could be</w:t>
      </w:r>
      <w:r w:rsidR="00EF6DEC" w:rsidRPr="00F61782">
        <w:t xml:space="preserve"> used.</w:t>
      </w:r>
      <w:r w:rsidR="00EF6DEC">
        <w:t xml:space="preserve"> Nine</w:t>
      </w:r>
      <w:r w:rsidRPr="004328EA">
        <w:t xml:space="preserve"> participants did not get the MEGAPRESS scan (2</w:t>
      </w:r>
      <w:r w:rsidR="00F62AB3" w:rsidRPr="004328EA">
        <w:t xml:space="preserve"> </w:t>
      </w:r>
      <w:r w:rsidR="003A2E77" w:rsidRPr="004328EA">
        <w:t>HCs</w:t>
      </w:r>
      <w:r w:rsidRPr="004328EA">
        <w:t xml:space="preserve"> and 6</w:t>
      </w:r>
      <w:r w:rsidR="00F62AB3" w:rsidRPr="004328EA">
        <w:t xml:space="preserve"> </w:t>
      </w:r>
      <w:r w:rsidR="00001CC7">
        <w:t>patients</w:t>
      </w:r>
      <w:r w:rsidR="000B1E5B" w:rsidRPr="004328EA">
        <w:t>)</w:t>
      </w:r>
      <w:r w:rsidRPr="004328EA">
        <w:t xml:space="preserve"> due to technical problems with the sequence and </w:t>
      </w:r>
      <w:r w:rsidR="000B1E5B" w:rsidRPr="004328EA">
        <w:t>discomfort in the scanner (</w:t>
      </w:r>
      <w:r w:rsidRPr="004328EA">
        <w:t>1</w:t>
      </w:r>
      <w:r w:rsidR="00F62AB3" w:rsidRPr="004328EA">
        <w:t xml:space="preserve"> </w:t>
      </w:r>
      <w:r w:rsidR="00001CC7">
        <w:t>patient</w:t>
      </w:r>
      <w:r w:rsidR="000B1E5B" w:rsidRPr="004328EA">
        <w:t>)</w:t>
      </w:r>
      <w:r w:rsidR="00622110" w:rsidRPr="004328EA">
        <w:t>, leaving a total of 28</w:t>
      </w:r>
      <w:r w:rsidR="003A2E77" w:rsidRPr="004328EA">
        <w:t xml:space="preserve"> </w:t>
      </w:r>
      <w:r w:rsidR="0037616D" w:rsidRPr="004328EA">
        <w:t>patients</w:t>
      </w:r>
      <w:r w:rsidR="00EF6DEC">
        <w:t xml:space="preserve"> with creatine scaled values and 27 patients with water scaled values</w:t>
      </w:r>
      <w:r w:rsidR="0037616D" w:rsidRPr="004328EA">
        <w:t xml:space="preserve"> </w:t>
      </w:r>
      <w:r w:rsidR="00622110" w:rsidRPr="004328EA">
        <w:t>and 32</w:t>
      </w:r>
      <w:r w:rsidR="00F62AB3" w:rsidRPr="004328EA">
        <w:t xml:space="preserve"> </w:t>
      </w:r>
      <w:r w:rsidR="003A2E77" w:rsidRPr="004328EA">
        <w:t>HC</w:t>
      </w:r>
      <w:r w:rsidR="00063432">
        <w:t>s</w:t>
      </w:r>
      <w:r w:rsidR="00622110" w:rsidRPr="004328EA">
        <w:t xml:space="preserve"> spectra</w:t>
      </w:r>
      <w:r w:rsidR="000B1E5B" w:rsidRPr="004328EA">
        <w:t>. There w</w:t>
      </w:r>
      <w:r w:rsidR="00112D7A" w:rsidRPr="004328EA">
        <w:t>ere</w:t>
      </w:r>
      <w:r w:rsidR="000B1E5B" w:rsidRPr="004328EA">
        <w:t xml:space="preserve"> no fit-erro</w:t>
      </w:r>
      <w:r w:rsidR="000B1E5B" w:rsidRPr="00F61782">
        <w:t>r values &gt;15% for GABA or glx</w:t>
      </w:r>
      <w:r w:rsidR="00EF6DEC">
        <w:t>.</w:t>
      </w:r>
      <w:r w:rsidR="00F61782" w:rsidRPr="00F61782">
        <w:t xml:space="preserve"> </w:t>
      </w:r>
      <w:r w:rsidR="00112D7A" w:rsidRPr="00F61782">
        <w:t xml:space="preserve">Table </w:t>
      </w:r>
      <w:r w:rsidR="00D96951" w:rsidRPr="00F61782">
        <w:t>S</w:t>
      </w:r>
      <w:r w:rsidR="00112D7A" w:rsidRPr="00F61782">
        <w:t>3 summa</w:t>
      </w:r>
      <w:r w:rsidR="00112D7A" w:rsidRPr="004328EA">
        <w:t xml:space="preserve">rises </w:t>
      </w:r>
      <w:r w:rsidR="00AB0312">
        <w:t>the</w:t>
      </w:r>
      <w:r w:rsidR="00622110" w:rsidRPr="004328EA">
        <w:t xml:space="preserve"> spectral quality</w:t>
      </w:r>
      <w:r w:rsidR="00AB0312" w:rsidRPr="00AB0312">
        <w:t xml:space="preserve"> </w:t>
      </w:r>
      <w:r w:rsidR="00AB0312" w:rsidRPr="004328EA">
        <w:t>data</w:t>
      </w:r>
      <w:r w:rsidR="00622110" w:rsidRPr="004328EA">
        <w:t>.</w:t>
      </w:r>
    </w:p>
    <w:p w14:paraId="4C72EF6D" w14:textId="1BD5B0BF" w:rsidR="000B1E5B" w:rsidRDefault="00622110" w:rsidP="004328EA">
      <w:pPr>
        <w:spacing w:after="0" w:line="480" w:lineRule="auto"/>
        <w:rPr>
          <w:i/>
        </w:rPr>
      </w:pPr>
      <w:r w:rsidRPr="004328EA">
        <w:rPr>
          <w:i/>
        </w:rPr>
        <w:t>1H</w:t>
      </w:r>
      <w:r w:rsidR="004979DC" w:rsidRPr="004328EA">
        <w:rPr>
          <w:i/>
        </w:rPr>
        <w:t>-</w:t>
      </w:r>
      <w:r w:rsidRPr="004328EA">
        <w:rPr>
          <w:i/>
        </w:rPr>
        <w:t xml:space="preserve">MRS </w:t>
      </w:r>
      <w:r w:rsidR="006D4FAA">
        <w:rPr>
          <w:i/>
        </w:rPr>
        <w:t>at 6 weeks</w:t>
      </w:r>
      <w:r w:rsidR="003E19BB" w:rsidRPr="004328EA">
        <w:rPr>
          <w:i/>
        </w:rPr>
        <w:t>:</w:t>
      </w:r>
    </w:p>
    <w:p w14:paraId="244D1241" w14:textId="3C1CC0CA" w:rsidR="00EB5277" w:rsidRPr="006873EB" w:rsidRDefault="00EB5277" w:rsidP="00EB5277">
      <w:pPr>
        <w:spacing w:after="0" w:line="480" w:lineRule="auto"/>
      </w:pPr>
      <w:r>
        <w:t xml:space="preserve">At </w:t>
      </w:r>
      <w:r w:rsidR="006D4FAA">
        <w:rPr>
          <w:lang w:val="en-US"/>
        </w:rPr>
        <w:t>6 weeks</w:t>
      </w:r>
      <w:r>
        <w:t>, 32 patients and 35 HCs completed the visit. Of these, 1 patient did not get a MRI scan due to a technical upgrade of the scanner.</w:t>
      </w:r>
    </w:p>
    <w:p w14:paraId="1BD28520" w14:textId="3C959BE3" w:rsidR="008373A9" w:rsidRPr="004328EA" w:rsidRDefault="00622110" w:rsidP="007337BF">
      <w:pPr>
        <w:spacing w:after="0" w:line="480" w:lineRule="auto"/>
        <w:ind w:firstLine="720"/>
      </w:pPr>
      <w:proofErr w:type="spellStart"/>
      <w:r w:rsidRPr="004328EA">
        <w:rPr>
          <w:b/>
        </w:rPr>
        <w:t>Thalamus</w:t>
      </w:r>
      <w:r w:rsidRPr="004328EA">
        <w:rPr>
          <w:b/>
          <w:vertAlign w:val="subscript"/>
        </w:rPr>
        <w:t>PRESS</w:t>
      </w:r>
      <w:proofErr w:type="spellEnd"/>
      <w:r w:rsidRPr="004328EA">
        <w:t>: Six</w:t>
      </w:r>
      <w:r w:rsidR="005D6707" w:rsidRPr="004328EA">
        <w:t xml:space="preserve"> spectra were excluded by visual inspection (2</w:t>
      </w:r>
      <w:r w:rsidR="00112D7A" w:rsidRPr="004328EA">
        <w:t xml:space="preserve"> </w:t>
      </w:r>
      <w:r w:rsidR="003A2E77" w:rsidRPr="004328EA">
        <w:t>HC</w:t>
      </w:r>
      <w:r w:rsidR="00362CF8" w:rsidRPr="004328EA">
        <w:t>s</w:t>
      </w:r>
      <w:r w:rsidR="005D6707" w:rsidRPr="004328EA">
        <w:t xml:space="preserve"> and 4</w:t>
      </w:r>
      <w:r w:rsidR="00112D7A" w:rsidRPr="004328EA">
        <w:t xml:space="preserve"> </w:t>
      </w:r>
      <w:r w:rsidR="00001CC7">
        <w:t>patients</w:t>
      </w:r>
      <w:r w:rsidR="005D6707" w:rsidRPr="004328EA">
        <w:t>)</w:t>
      </w:r>
      <w:r w:rsidR="00AB0312">
        <w:t>,</w:t>
      </w:r>
      <w:r w:rsidR="005D6707" w:rsidRPr="004328EA">
        <w:t xml:space="preserve"> and </w:t>
      </w:r>
      <w:r w:rsidR="0090405F">
        <w:t>5</w:t>
      </w:r>
      <w:r w:rsidR="005D6707" w:rsidRPr="004328EA">
        <w:t xml:space="preserve"> participants did not get the acquisition due to technical problems with the sequence (2</w:t>
      </w:r>
      <w:r w:rsidR="00112D7A" w:rsidRPr="004328EA">
        <w:t xml:space="preserve"> </w:t>
      </w:r>
      <w:r w:rsidR="003A2E77" w:rsidRPr="004328EA">
        <w:t>HC</w:t>
      </w:r>
      <w:r w:rsidR="00BA64B3" w:rsidRPr="004328EA">
        <w:t>s</w:t>
      </w:r>
      <w:r w:rsidR="005D6707" w:rsidRPr="004328EA">
        <w:t xml:space="preserve">) and discomfort in the scanner (3 </w:t>
      </w:r>
      <w:r w:rsidR="00001CC7">
        <w:t>patients</w:t>
      </w:r>
      <w:r w:rsidR="005D6707" w:rsidRPr="004328EA">
        <w:t>)</w:t>
      </w:r>
      <w:r w:rsidR="00112D7A" w:rsidRPr="004328EA">
        <w:t>,</w:t>
      </w:r>
      <w:r w:rsidR="005D6707" w:rsidRPr="004328EA">
        <w:t xml:space="preserve"> leaving a total of 24</w:t>
      </w:r>
      <w:r w:rsidR="0037616D" w:rsidRPr="004328EA">
        <w:t xml:space="preserve"> patients </w:t>
      </w:r>
      <w:r w:rsidR="005D6707" w:rsidRPr="004328EA">
        <w:t>and 31</w:t>
      </w:r>
      <w:r w:rsidR="0037616D" w:rsidRPr="004328EA">
        <w:t xml:space="preserve"> </w:t>
      </w:r>
      <w:r w:rsidR="003A2E77" w:rsidRPr="004328EA">
        <w:t>HC</w:t>
      </w:r>
      <w:r w:rsidR="00063432">
        <w:t>s</w:t>
      </w:r>
      <w:r w:rsidR="005D6707" w:rsidRPr="004328EA">
        <w:t xml:space="preserve"> spectra.</w:t>
      </w:r>
      <w:r w:rsidR="008373A9" w:rsidRPr="004328EA">
        <w:t xml:space="preserve"> Exclusion due to CRLB &gt;20% was done for 65 glutamine data (</w:t>
      </w:r>
      <w:r w:rsidR="00F62AB3" w:rsidRPr="004328EA">
        <w:t xml:space="preserve">which is </w:t>
      </w:r>
      <w:r w:rsidR="008373A9" w:rsidRPr="004328EA">
        <w:t xml:space="preserve">why glutamine </w:t>
      </w:r>
      <w:r w:rsidR="00112D7A" w:rsidRPr="004328EA">
        <w:t>is</w:t>
      </w:r>
      <w:r w:rsidR="008373A9" w:rsidRPr="004328EA">
        <w:t xml:space="preserve"> not reported at all</w:t>
      </w:r>
      <w:r w:rsidR="004D7754">
        <w:t xml:space="preserve"> for the left thalamus</w:t>
      </w:r>
      <w:r w:rsidR="008373A9" w:rsidRPr="004328EA">
        <w:t xml:space="preserve">), but no </w:t>
      </w:r>
      <w:r w:rsidR="008373A9" w:rsidRPr="004328EA">
        <w:lastRenderedPageBreak/>
        <w:t xml:space="preserve">CRLB values &gt;20% were found for glutamate, </w:t>
      </w:r>
      <w:proofErr w:type="spellStart"/>
      <w:r w:rsidR="008373A9" w:rsidRPr="004328EA">
        <w:t>glx</w:t>
      </w:r>
      <w:proofErr w:type="spellEnd"/>
      <w:r w:rsidR="008373A9" w:rsidRPr="004328EA">
        <w:t xml:space="preserve">, NAA, </w:t>
      </w:r>
      <w:proofErr w:type="spellStart"/>
      <w:r w:rsidR="008373A9" w:rsidRPr="004328EA">
        <w:t>Cr+PCr</w:t>
      </w:r>
      <w:proofErr w:type="spellEnd"/>
      <w:r w:rsidR="008373A9" w:rsidRPr="004328EA">
        <w:t xml:space="preserve"> (total creatine used as reference by </w:t>
      </w:r>
      <w:proofErr w:type="spellStart"/>
      <w:r w:rsidR="008373A9" w:rsidRPr="004328EA">
        <w:t>LCModel</w:t>
      </w:r>
      <w:proofErr w:type="spellEnd"/>
      <w:r w:rsidR="008373A9" w:rsidRPr="004328EA">
        <w:t>), myo-inositol</w:t>
      </w:r>
      <w:r w:rsidR="004979DC" w:rsidRPr="004328EA">
        <w:t>,</w:t>
      </w:r>
      <w:r w:rsidR="008373A9" w:rsidRPr="004328EA">
        <w:t xml:space="preserve"> or choline.</w:t>
      </w:r>
      <w:r w:rsidRPr="004328EA">
        <w:t xml:space="preserve"> </w:t>
      </w:r>
      <w:r w:rsidR="00F62AB3" w:rsidRPr="004328EA">
        <w:t xml:space="preserve">Table </w:t>
      </w:r>
      <w:r w:rsidR="00D96951" w:rsidRPr="004328EA">
        <w:t>S</w:t>
      </w:r>
      <w:r w:rsidR="00F62AB3" w:rsidRPr="004328EA">
        <w:t xml:space="preserve">4 summarises </w:t>
      </w:r>
      <w:r w:rsidR="00AB0312">
        <w:t>the</w:t>
      </w:r>
      <w:r w:rsidR="008373A9" w:rsidRPr="004328EA">
        <w:t xml:space="preserve"> spectral quality</w:t>
      </w:r>
      <w:r w:rsidR="00AB0312" w:rsidRPr="00AB0312">
        <w:t xml:space="preserve"> </w:t>
      </w:r>
      <w:r w:rsidR="00AB0312" w:rsidRPr="004328EA">
        <w:t>data</w:t>
      </w:r>
      <w:r w:rsidR="008373A9" w:rsidRPr="004328EA">
        <w:t>.</w:t>
      </w:r>
    </w:p>
    <w:p w14:paraId="7649E620" w14:textId="288F3118" w:rsidR="00C056B4" w:rsidRPr="004328EA" w:rsidRDefault="00622110" w:rsidP="007337BF">
      <w:pPr>
        <w:spacing w:after="0" w:line="480" w:lineRule="auto"/>
        <w:ind w:firstLine="720"/>
      </w:pPr>
      <w:r w:rsidRPr="004328EA">
        <w:rPr>
          <w:b/>
        </w:rPr>
        <w:t>ACC</w:t>
      </w:r>
      <w:r w:rsidRPr="004328EA">
        <w:rPr>
          <w:b/>
          <w:vertAlign w:val="subscript"/>
        </w:rPr>
        <w:t>PRESS</w:t>
      </w:r>
      <w:r w:rsidRPr="004328EA">
        <w:t>:</w:t>
      </w:r>
      <w:r w:rsidR="008373A9" w:rsidRPr="004328EA">
        <w:t xml:space="preserve"> Three spectra were excluded by visual inspection (1</w:t>
      </w:r>
      <w:r w:rsidR="00112D7A" w:rsidRPr="004328EA">
        <w:t xml:space="preserve"> </w:t>
      </w:r>
      <w:r w:rsidR="003A2E77" w:rsidRPr="004328EA">
        <w:t>HC</w:t>
      </w:r>
      <w:r w:rsidR="00362CF8" w:rsidRPr="004328EA">
        <w:t>s</w:t>
      </w:r>
      <w:r w:rsidR="008373A9" w:rsidRPr="004328EA">
        <w:t xml:space="preserve"> and 2</w:t>
      </w:r>
      <w:r w:rsidR="00112D7A" w:rsidRPr="004328EA">
        <w:t xml:space="preserve"> </w:t>
      </w:r>
      <w:r w:rsidR="00001CC7">
        <w:t>patients</w:t>
      </w:r>
      <w:r w:rsidR="008373A9" w:rsidRPr="004328EA">
        <w:t>)</w:t>
      </w:r>
      <w:r w:rsidR="00AB0312">
        <w:t>,</w:t>
      </w:r>
      <w:r w:rsidR="008373A9" w:rsidRPr="004328EA">
        <w:t xml:space="preserve"> and </w:t>
      </w:r>
      <w:r w:rsidR="0090405F">
        <w:t>4</w:t>
      </w:r>
      <w:r w:rsidR="008373A9" w:rsidRPr="004328EA">
        <w:t xml:space="preserve"> participants did not get the acquisition due to technical problems with the sequence (2</w:t>
      </w:r>
      <w:r w:rsidR="00112D7A" w:rsidRPr="004328EA">
        <w:t xml:space="preserve"> </w:t>
      </w:r>
      <w:r w:rsidR="003A2E77" w:rsidRPr="004328EA">
        <w:t>HC</w:t>
      </w:r>
      <w:r w:rsidR="00362CF8" w:rsidRPr="004328EA">
        <w:t>s</w:t>
      </w:r>
      <w:r w:rsidR="008373A9" w:rsidRPr="004328EA">
        <w:t>) and discomfort in the scanner (2</w:t>
      </w:r>
      <w:r w:rsidR="00112D7A" w:rsidRPr="004328EA">
        <w:t xml:space="preserve"> </w:t>
      </w:r>
      <w:r w:rsidR="00001CC7">
        <w:t>patients</w:t>
      </w:r>
      <w:r w:rsidR="008373A9" w:rsidRPr="004328EA">
        <w:t>), leaving a total of 27</w:t>
      </w:r>
      <w:r w:rsidR="00362CF8" w:rsidRPr="004328EA">
        <w:t xml:space="preserve"> </w:t>
      </w:r>
      <w:r w:rsidR="0037616D" w:rsidRPr="004328EA">
        <w:t xml:space="preserve">patients </w:t>
      </w:r>
      <w:r w:rsidR="008373A9" w:rsidRPr="004328EA">
        <w:t>and 32</w:t>
      </w:r>
      <w:r w:rsidR="00362CF8" w:rsidRPr="004328EA">
        <w:t xml:space="preserve"> </w:t>
      </w:r>
      <w:r w:rsidR="003A2E77" w:rsidRPr="004328EA">
        <w:t>HC</w:t>
      </w:r>
      <w:r w:rsidR="00063432">
        <w:t>s</w:t>
      </w:r>
      <w:r w:rsidR="008373A9" w:rsidRPr="004328EA">
        <w:t xml:space="preserve"> spectra. Exclusion due to CRLB &gt;20% was done for </w:t>
      </w:r>
      <w:r w:rsidR="0090405F">
        <w:t>8</w:t>
      </w:r>
      <w:r w:rsidR="008373A9" w:rsidRPr="004328EA">
        <w:t xml:space="preserve"> glutamine data (3</w:t>
      </w:r>
      <w:r w:rsidR="00112D7A" w:rsidRPr="004328EA">
        <w:t xml:space="preserve"> </w:t>
      </w:r>
      <w:r w:rsidR="003A2E77" w:rsidRPr="004328EA">
        <w:t>HC</w:t>
      </w:r>
      <w:r w:rsidR="00362CF8" w:rsidRPr="004328EA">
        <w:t>s</w:t>
      </w:r>
      <w:r w:rsidR="008373A9" w:rsidRPr="004328EA">
        <w:t xml:space="preserve"> and 5</w:t>
      </w:r>
      <w:r w:rsidR="00112D7A" w:rsidRPr="004328EA">
        <w:t xml:space="preserve"> </w:t>
      </w:r>
      <w:r w:rsidR="00E733BC">
        <w:t>patients</w:t>
      </w:r>
      <w:r w:rsidR="008373A9" w:rsidRPr="004328EA">
        <w:t xml:space="preserve">), but no CRLB values &gt;20% were found for glutamate, </w:t>
      </w:r>
      <w:proofErr w:type="spellStart"/>
      <w:r w:rsidR="008373A9" w:rsidRPr="004328EA">
        <w:t>glx</w:t>
      </w:r>
      <w:proofErr w:type="spellEnd"/>
      <w:r w:rsidR="008373A9" w:rsidRPr="004328EA">
        <w:t xml:space="preserve">, NAA, </w:t>
      </w:r>
      <w:proofErr w:type="spellStart"/>
      <w:r w:rsidR="008373A9" w:rsidRPr="004328EA">
        <w:t>Cr+PCr</w:t>
      </w:r>
      <w:proofErr w:type="spellEnd"/>
      <w:r w:rsidR="008373A9" w:rsidRPr="004328EA">
        <w:t xml:space="preserve"> (total creatine used as reference by </w:t>
      </w:r>
      <w:proofErr w:type="spellStart"/>
      <w:r w:rsidR="008373A9" w:rsidRPr="004328EA">
        <w:t>LCModel</w:t>
      </w:r>
      <w:proofErr w:type="spellEnd"/>
      <w:r w:rsidR="008373A9" w:rsidRPr="004328EA">
        <w:t>), myo-inositol</w:t>
      </w:r>
      <w:r w:rsidR="00DF064D" w:rsidRPr="004328EA">
        <w:t>,</w:t>
      </w:r>
      <w:r w:rsidR="008373A9" w:rsidRPr="004328EA">
        <w:t xml:space="preserve"> or choline. </w:t>
      </w:r>
      <w:r w:rsidR="00F62AB3" w:rsidRPr="004328EA">
        <w:t xml:space="preserve">Table </w:t>
      </w:r>
      <w:r w:rsidR="00D96951" w:rsidRPr="004328EA">
        <w:t>S</w:t>
      </w:r>
      <w:r w:rsidR="00F62AB3" w:rsidRPr="004328EA">
        <w:t xml:space="preserve">4 summarises </w:t>
      </w:r>
      <w:r w:rsidR="00AB0312">
        <w:t>the</w:t>
      </w:r>
      <w:r w:rsidR="008373A9" w:rsidRPr="004328EA">
        <w:t xml:space="preserve"> spectral quality</w:t>
      </w:r>
      <w:r w:rsidR="00AB0312" w:rsidRPr="00AB0312">
        <w:t xml:space="preserve"> </w:t>
      </w:r>
      <w:r w:rsidR="00AB0312" w:rsidRPr="004328EA">
        <w:t>data</w:t>
      </w:r>
      <w:r w:rsidR="008373A9" w:rsidRPr="004328EA">
        <w:t>.</w:t>
      </w:r>
    </w:p>
    <w:p w14:paraId="0C0E6119" w14:textId="07B37175" w:rsidR="008B01B4" w:rsidRPr="004328EA" w:rsidRDefault="00622110" w:rsidP="0090405F">
      <w:pPr>
        <w:spacing w:line="480" w:lineRule="auto"/>
        <w:ind w:firstLine="720"/>
      </w:pPr>
      <w:r w:rsidRPr="004328EA">
        <w:rPr>
          <w:b/>
        </w:rPr>
        <w:t>ACC</w:t>
      </w:r>
      <w:r w:rsidRPr="004328EA">
        <w:rPr>
          <w:b/>
          <w:vertAlign w:val="subscript"/>
        </w:rPr>
        <w:t>MEGAPRESS</w:t>
      </w:r>
      <w:r w:rsidRPr="004328EA">
        <w:t>:</w:t>
      </w:r>
      <w:r w:rsidR="008373A9" w:rsidRPr="004328EA">
        <w:t xml:space="preserve"> One spectrum was excluded by visual inspection (1</w:t>
      </w:r>
      <w:r w:rsidR="00AB0312">
        <w:t xml:space="preserve"> </w:t>
      </w:r>
      <w:r w:rsidR="00E733BC">
        <w:t>patient</w:t>
      </w:r>
      <w:r w:rsidR="008373A9" w:rsidRPr="004328EA">
        <w:t>)</w:t>
      </w:r>
      <w:r w:rsidR="00AB0312">
        <w:t>,</w:t>
      </w:r>
      <w:r w:rsidR="00192EEB" w:rsidRPr="004328EA">
        <w:t xml:space="preserve"> and</w:t>
      </w:r>
      <w:r w:rsidR="008373A9" w:rsidRPr="004328EA">
        <w:t xml:space="preserve"> 12 participants did not get the acquisition due to technical problems with the sequence (2</w:t>
      </w:r>
      <w:r w:rsidR="00F62AB3" w:rsidRPr="004328EA">
        <w:t xml:space="preserve"> </w:t>
      </w:r>
      <w:r w:rsidR="003A2E77" w:rsidRPr="004328EA">
        <w:t>HC</w:t>
      </w:r>
      <w:r w:rsidR="00362CF8" w:rsidRPr="004328EA">
        <w:t>s</w:t>
      </w:r>
      <w:r w:rsidR="008373A9" w:rsidRPr="004328EA">
        <w:t xml:space="preserve"> and 6</w:t>
      </w:r>
      <w:r w:rsidR="00F62AB3" w:rsidRPr="004328EA">
        <w:t xml:space="preserve"> </w:t>
      </w:r>
      <w:r w:rsidR="00E733BC">
        <w:t>patients</w:t>
      </w:r>
      <w:r w:rsidR="008373A9" w:rsidRPr="004328EA">
        <w:t>), data that was mistakenly not transferred (1</w:t>
      </w:r>
      <w:r w:rsidR="00F62AB3" w:rsidRPr="004328EA">
        <w:t xml:space="preserve"> </w:t>
      </w:r>
      <w:r w:rsidR="003A2E77" w:rsidRPr="004328EA">
        <w:t>HC</w:t>
      </w:r>
      <w:r w:rsidR="00362CF8" w:rsidRPr="004328EA">
        <w:t>s</w:t>
      </w:r>
      <w:r w:rsidR="008373A9" w:rsidRPr="004328EA">
        <w:t>), and discomfort in the scanner (4</w:t>
      </w:r>
      <w:r w:rsidR="00F62AB3" w:rsidRPr="004328EA">
        <w:t xml:space="preserve"> </w:t>
      </w:r>
      <w:r w:rsidR="00E733BC">
        <w:t>patients</w:t>
      </w:r>
      <w:r w:rsidR="008373A9" w:rsidRPr="004328EA">
        <w:t>). There w</w:t>
      </w:r>
      <w:r w:rsidR="00F62AB3" w:rsidRPr="004328EA">
        <w:t>ere</w:t>
      </w:r>
      <w:r w:rsidR="008373A9" w:rsidRPr="004328EA">
        <w:t xml:space="preserve"> no fit-error values &gt;15% for GABA or glx. </w:t>
      </w:r>
      <w:r w:rsidR="00F62AB3" w:rsidRPr="004328EA">
        <w:t xml:space="preserve">Table </w:t>
      </w:r>
      <w:r w:rsidR="00D96951" w:rsidRPr="004328EA">
        <w:t>S</w:t>
      </w:r>
      <w:r w:rsidR="00F62AB3" w:rsidRPr="004328EA">
        <w:t xml:space="preserve">5 summarises </w:t>
      </w:r>
      <w:r w:rsidR="00AB0312">
        <w:t>the</w:t>
      </w:r>
      <w:r w:rsidR="008373A9" w:rsidRPr="004328EA">
        <w:t xml:space="preserve"> spectral quality</w:t>
      </w:r>
      <w:r w:rsidR="00AB0312">
        <w:t xml:space="preserve"> </w:t>
      </w:r>
      <w:r w:rsidR="00AB0312" w:rsidRPr="004328EA">
        <w:t>data</w:t>
      </w:r>
      <w:r w:rsidR="008373A9" w:rsidRPr="004328EA">
        <w:t>.</w:t>
      </w:r>
    </w:p>
    <w:p w14:paraId="1EAFBF25" w14:textId="059C5E6A" w:rsidR="00EB3BAC" w:rsidRDefault="00EB3BAC" w:rsidP="004328EA">
      <w:pPr>
        <w:spacing w:after="0" w:line="480" w:lineRule="auto"/>
        <w:rPr>
          <w:i/>
        </w:rPr>
      </w:pPr>
      <w:r w:rsidRPr="004328EA">
        <w:rPr>
          <w:i/>
        </w:rPr>
        <w:t>1H</w:t>
      </w:r>
      <w:r w:rsidR="004979DC" w:rsidRPr="004328EA">
        <w:rPr>
          <w:i/>
        </w:rPr>
        <w:t>-</w:t>
      </w:r>
      <w:r w:rsidRPr="004328EA">
        <w:rPr>
          <w:i/>
        </w:rPr>
        <w:t xml:space="preserve">MRS </w:t>
      </w:r>
      <w:r w:rsidR="006D4FAA">
        <w:rPr>
          <w:i/>
        </w:rPr>
        <w:t>at 26 weeks</w:t>
      </w:r>
      <w:r w:rsidR="003E19BB" w:rsidRPr="004328EA">
        <w:rPr>
          <w:i/>
        </w:rPr>
        <w:t>:</w:t>
      </w:r>
    </w:p>
    <w:p w14:paraId="40CEDED6" w14:textId="26514926" w:rsidR="004B0F67" w:rsidRPr="004B0F67" w:rsidRDefault="004B0F67" w:rsidP="004B0F67">
      <w:pPr>
        <w:spacing w:after="0" w:line="480" w:lineRule="auto"/>
      </w:pPr>
      <w:r>
        <w:t xml:space="preserve">At </w:t>
      </w:r>
      <w:r w:rsidR="006D4FAA">
        <w:t>2</w:t>
      </w:r>
      <w:r w:rsidR="008C77C6">
        <w:t>6</w:t>
      </w:r>
      <w:r>
        <w:t xml:space="preserve"> </w:t>
      </w:r>
      <w:r w:rsidR="006D4FAA">
        <w:t>weeks</w:t>
      </w:r>
      <w:r>
        <w:t xml:space="preserve">, 30 patients and 32 HCs completed the visit. Of these, </w:t>
      </w:r>
      <w:r w:rsidR="008C77C6">
        <w:t>4</w:t>
      </w:r>
      <w:r>
        <w:t xml:space="preserve"> patients and 1</w:t>
      </w:r>
      <w:r w:rsidR="007C003D">
        <w:t xml:space="preserve"> </w:t>
      </w:r>
      <w:r>
        <w:t xml:space="preserve">HC did not get a MRI scan due to </w:t>
      </w:r>
      <w:r w:rsidR="008C77C6">
        <w:t>discomfort in</w:t>
      </w:r>
      <w:r>
        <w:t xml:space="preserve"> the scanner</w:t>
      </w:r>
      <w:r w:rsidR="008C77C6">
        <w:t xml:space="preserve"> </w:t>
      </w:r>
      <w:r w:rsidR="00486355">
        <w:t>initially after placement</w:t>
      </w:r>
      <w:r w:rsidR="008C77C6">
        <w:t xml:space="preserve"> (3 </w:t>
      </w:r>
      <w:r w:rsidR="00E733BC">
        <w:t>patients</w:t>
      </w:r>
      <w:r w:rsidR="008C77C6">
        <w:t xml:space="preserve">), </w:t>
      </w:r>
      <w:r w:rsidR="008C77C6" w:rsidRPr="004328EA">
        <w:t xml:space="preserve">loss of contact after PANSS assessment (1 </w:t>
      </w:r>
      <w:r w:rsidR="00E733BC">
        <w:t>patient</w:t>
      </w:r>
      <w:r w:rsidR="008C77C6" w:rsidRPr="004328EA">
        <w:t>)</w:t>
      </w:r>
      <w:r w:rsidR="008C77C6">
        <w:t>, and due to a technical upgrade of the scanner (1HC).</w:t>
      </w:r>
    </w:p>
    <w:p w14:paraId="5744B7B8" w14:textId="5018F38E" w:rsidR="00EB3BAC" w:rsidRPr="004328EA" w:rsidRDefault="00EB3BAC" w:rsidP="007337BF">
      <w:pPr>
        <w:spacing w:after="0" w:line="480" w:lineRule="auto"/>
        <w:ind w:firstLine="720"/>
      </w:pPr>
      <w:proofErr w:type="spellStart"/>
      <w:r w:rsidRPr="004328EA">
        <w:rPr>
          <w:b/>
        </w:rPr>
        <w:t>Thalamus</w:t>
      </w:r>
      <w:r w:rsidRPr="004328EA">
        <w:rPr>
          <w:b/>
          <w:vertAlign w:val="subscript"/>
        </w:rPr>
        <w:t>PRESS</w:t>
      </w:r>
      <w:proofErr w:type="spellEnd"/>
      <w:r w:rsidRPr="004328EA">
        <w:t>: Four spectra were excluded by visual inspection from the left thalamus (3</w:t>
      </w:r>
      <w:r w:rsidR="00112D7A" w:rsidRPr="004328EA">
        <w:t xml:space="preserve"> </w:t>
      </w:r>
      <w:r w:rsidR="003A2E77" w:rsidRPr="004328EA">
        <w:t>HC</w:t>
      </w:r>
      <w:r w:rsidR="00362CF8" w:rsidRPr="004328EA">
        <w:t>s</w:t>
      </w:r>
      <w:r w:rsidRPr="004328EA">
        <w:t xml:space="preserve"> and 1</w:t>
      </w:r>
      <w:r w:rsidR="00112D7A" w:rsidRPr="004328EA">
        <w:t xml:space="preserve"> </w:t>
      </w:r>
      <w:r w:rsidR="00E733BC">
        <w:t>patient</w:t>
      </w:r>
      <w:r w:rsidRPr="004328EA">
        <w:t>)</w:t>
      </w:r>
      <w:r w:rsidR="003967A7">
        <w:t>,</w:t>
      </w:r>
      <w:r w:rsidRPr="004328EA">
        <w:t xml:space="preserve"> and </w:t>
      </w:r>
      <w:r w:rsidR="00486355">
        <w:t xml:space="preserve">2HC did not get the </w:t>
      </w:r>
      <w:proofErr w:type="spellStart"/>
      <w:r w:rsidR="00486355">
        <w:t>thalamus</w:t>
      </w:r>
      <w:r w:rsidR="00486355" w:rsidRPr="00486355">
        <w:rPr>
          <w:vertAlign w:val="subscript"/>
        </w:rPr>
        <w:t>PRESS</w:t>
      </w:r>
      <w:proofErr w:type="spellEnd"/>
      <w:r w:rsidR="00486355">
        <w:t xml:space="preserve"> scan due to</w:t>
      </w:r>
      <w:r w:rsidRPr="004328EA">
        <w:t xml:space="preserve"> technical problems with the sequence</w:t>
      </w:r>
      <w:r w:rsidR="00112D7A" w:rsidRPr="004328EA">
        <w:t>,</w:t>
      </w:r>
      <w:r w:rsidR="00F75B58" w:rsidRPr="004328EA">
        <w:t xml:space="preserve"> leaving a total of 25</w:t>
      </w:r>
      <w:r w:rsidR="00362CF8" w:rsidRPr="004328EA">
        <w:t xml:space="preserve"> </w:t>
      </w:r>
      <w:r w:rsidR="0037616D" w:rsidRPr="004328EA">
        <w:t>patients</w:t>
      </w:r>
      <w:r w:rsidR="00F75B58" w:rsidRPr="004328EA">
        <w:t xml:space="preserve"> and 26</w:t>
      </w:r>
      <w:r w:rsidR="00112D7A" w:rsidRPr="004328EA">
        <w:t xml:space="preserve"> </w:t>
      </w:r>
      <w:r w:rsidR="003A2E77" w:rsidRPr="004328EA">
        <w:t>HC</w:t>
      </w:r>
      <w:r w:rsidR="00063432">
        <w:t>s</w:t>
      </w:r>
      <w:r w:rsidR="00F75B58" w:rsidRPr="004328EA">
        <w:t xml:space="preserve"> spectra</w:t>
      </w:r>
      <w:r w:rsidRPr="004328EA">
        <w:t>. Exclusion due to CRLB &gt;20% was done for 46 glutamine data (</w:t>
      </w:r>
      <w:r w:rsidR="00112D7A" w:rsidRPr="004328EA">
        <w:t xml:space="preserve">which is </w:t>
      </w:r>
      <w:r w:rsidRPr="004328EA">
        <w:t xml:space="preserve">why glutamine </w:t>
      </w:r>
      <w:r w:rsidR="00112D7A" w:rsidRPr="004328EA">
        <w:t>is</w:t>
      </w:r>
      <w:r w:rsidRPr="004328EA">
        <w:t xml:space="preserve"> not reported at all</w:t>
      </w:r>
      <w:r w:rsidR="004D7754">
        <w:t xml:space="preserve"> for left thalamus</w:t>
      </w:r>
      <w:r w:rsidRPr="004328EA">
        <w:t xml:space="preserve">), but no CRLB values &gt; 20% were found for glutamate, </w:t>
      </w:r>
      <w:proofErr w:type="spellStart"/>
      <w:r w:rsidRPr="004328EA">
        <w:t>glx</w:t>
      </w:r>
      <w:proofErr w:type="spellEnd"/>
      <w:r w:rsidRPr="004328EA">
        <w:t xml:space="preserve">, NAA, </w:t>
      </w:r>
      <w:proofErr w:type="spellStart"/>
      <w:r w:rsidRPr="004328EA">
        <w:t>Cr+PCr</w:t>
      </w:r>
      <w:proofErr w:type="spellEnd"/>
      <w:r w:rsidRPr="004328EA">
        <w:t xml:space="preserve">, myo-inositol, or choline. </w:t>
      </w:r>
      <w:r w:rsidR="00F62AB3" w:rsidRPr="004328EA">
        <w:t xml:space="preserve">Table </w:t>
      </w:r>
      <w:r w:rsidR="00D96951" w:rsidRPr="004328EA">
        <w:t>S</w:t>
      </w:r>
      <w:r w:rsidR="00F62AB3" w:rsidRPr="004328EA">
        <w:t xml:space="preserve">6 summarises </w:t>
      </w:r>
      <w:r w:rsidR="003967A7">
        <w:t>the</w:t>
      </w:r>
      <w:r w:rsidRPr="004328EA">
        <w:t xml:space="preserve"> spectral quality</w:t>
      </w:r>
      <w:r w:rsidR="003967A7" w:rsidRPr="003967A7">
        <w:t xml:space="preserve"> </w:t>
      </w:r>
      <w:r w:rsidR="003967A7" w:rsidRPr="004328EA">
        <w:t>data</w:t>
      </w:r>
      <w:r w:rsidRPr="004328EA">
        <w:t>.</w:t>
      </w:r>
    </w:p>
    <w:p w14:paraId="0249006A" w14:textId="0B52CDE0" w:rsidR="00EB3BAC" w:rsidRPr="004328EA" w:rsidRDefault="00EB3BAC" w:rsidP="007337BF">
      <w:pPr>
        <w:spacing w:after="0" w:line="480" w:lineRule="auto"/>
        <w:ind w:firstLine="720"/>
      </w:pPr>
      <w:r w:rsidRPr="004328EA">
        <w:rPr>
          <w:b/>
        </w:rPr>
        <w:t>ACC</w:t>
      </w:r>
      <w:r w:rsidRPr="004328EA">
        <w:rPr>
          <w:b/>
          <w:vertAlign w:val="subscript"/>
        </w:rPr>
        <w:t>PRESS</w:t>
      </w:r>
      <w:r w:rsidRPr="004328EA">
        <w:t>:</w:t>
      </w:r>
      <w:r w:rsidR="00F75B58" w:rsidRPr="004328EA">
        <w:t xml:space="preserve"> No spectra were excluded after visual inspection, leaving a total of 26</w:t>
      </w:r>
      <w:r w:rsidR="00362CF8" w:rsidRPr="004328EA">
        <w:t xml:space="preserve"> </w:t>
      </w:r>
      <w:r w:rsidR="0037616D" w:rsidRPr="004328EA">
        <w:t xml:space="preserve">patients </w:t>
      </w:r>
      <w:r w:rsidR="00F75B58" w:rsidRPr="004328EA">
        <w:t>and 31</w:t>
      </w:r>
      <w:r w:rsidR="001B305F" w:rsidRPr="004328EA">
        <w:t xml:space="preserve"> </w:t>
      </w:r>
      <w:r w:rsidR="003A2E77" w:rsidRPr="004328EA">
        <w:t>HC</w:t>
      </w:r>
      <w:r w:rsidR="00063432">
        <w:t>s</w:t>
      </w:r>
      <w:r w:rsidR="00F75B58" w:rsidRPr="004328EA">
        <w:t xml:space="preserve"> spectra. Exclusion due to CRLB &gt;20% was done for </w:t>
      </w:r>
      <w:r w:rsidR="0090405F">
        <w:t>7</w:t>
      </w:r>
      <w:r w:rsidR="00F75B58" w:rsidRPr="004328EA">
        <w:t xml:space="preserve"> glutamine data (2</w:t>
      </w:r>
      <w:r w:rsidR="003F6012" w:rsidRPr="004328EA">
        <w:t xml:space="preserve"> </w:t>
      </w:r>
      <w:r w:rsidR="003A2E77" w:rsidRPr="004328EA">
        <w:t>HC</w:t>
      </w:r>
      <w:r w:rsidR="00362CF8" w:rsidRPr="004328EA">
        <w:t>s</w:t>
      </w:r>
      <w:r w:rsidR="00F75B58" w:rsidRPr="004328EA">
        <w:t xml:space="preserve"> and 5</w:t>
      </w:r>
      <w:r w:rsidR="003F6012" w:rsidRPr="004328EA">
        <w:t xml:space="preserve"> </w:t>
      </w:r>
      <w:r w:rsidR="00E733BC">
        <w:t>patients</w:t>
      </w:r>
      <w:r w:rsidR="00F75B58" w:rsidRPr="004328EA">
        <w:t xml:space="preserve">), but no CRLB values &gt;20% were found for glutamate, </w:t>
      </w:r>
      <w:proofErr w:type="spellStart"/>
      <w:r w:rsidR="00F75B58" w:rsidRPr="004328EA">
        <w:t>glx</w:t>
      </w:r>
      <w:proofErr w:type="spellEnd"/>
      <w:r w:rsidR="00F75B58" w:rsidRPr="004328EA">
        <w:t xml:space="preserve">, NAA, </w:t>
      </w:r>
      <w:proofErr w:type="spellStart"/>
      <w:r w:rsidR="00F75B58" w:rsidRPr="004328EA">
        <w:t>Cr+PCr</w:t>
      </w:r>
      <w:proofErr w:type="spellEnd"/>
      <w:r w:rsidR="00F75B58" w:rsidRPr="004328EA">
        <w:t>, myo-inositol</w:t>
      </w:r>
      <w:r w:rsidR="004979DC" w:rsidRPr="004328EA">
        <w:t>,</w:t>
      </w:r>
      <w:r w:rsidR="00F75B58" w:rsidRPr="004328EA">
        <w:t xml:space="preserve"> or choline. </w:t>
      </w:r>
      <w:r w:rsidR="00F62AB3" w:rsidRPr="004328EA">
        <w:t xml:space="preserve">Table </w:t>
      </w:r>
      <w:r w:rsidR="00D96951" w:rsidRPr="004328EA">
        <w:t>S</w:t>
      </w:r>
      <w:r w:rsidR="00F62AB3" w:rsidRPr="004328EA">
        <w:t xml:space="preserve">6 summarises </w:t>
      </w:r>
      <w:r w:rsidR="003967A7">
        <w:t>the</w:t>
      </w:r>
      <w:r w:rsidR="003967A7" w:rsidRPr="004328EA">
        <w:t xml:space="preserve"> spectral quality</w:t>
      </w:r>
      <w:r w:rsidR="003967A7" w:rsidRPr="003967A7">
        <w:t xml:space="preserve"> </w:t>
      </w:r>
      <w:r w:rsidR="003967A7" w:rsidRPr="004328EA">
        <w:t>data</w:t>
      </w:r>
      <w:r w:rsidR="00F75B58" w:rsidRPr="004328EA">
        <w:t>.</w:t>
      </w:r>
    </w:p>
    <w:p w14:paraId="45A18B92" w14:textId="49F3D8AB" w:rsidR="00F75B58" w:rsidRPr="004328EA" w:rsidRDefault="00EB3BAC" w:rsidP="007337BF">
      <w:pPr>
        <w:spacing w:line="480" w:lineRule="auto"/>
        <w:ind w:firstLine="720"/>
      </w:pPr>
      <w:r w:rsidRPr="004328EA">
        <w:rPr>
          <w:b/>
        </w:rPr>
        <w:lastRenderedPageBreak/>
        <w:t>ACC</w:t>
      </w:r>
      <w:r w:rsidRPr="004328EA">
        <w:rPr>
          <w:b/>
          <w:vertAlign w:val="subscript"/>
        </w:rPr>
        <w:t>MEGAPRESS</w:t>
      </w:r>
      <w:r w:rsidRPr="004328EA">
        <w:t>:</w:t>
      </w:r>
      <w:r w:rsidR="00F75B58" w:rsidRPr="004328EA">
        <w:t xml:space="preserve"> Three spectra were excluded after visual inspection (1</w:t>
      </w:r>
      <w:r w:rsidR="003F6012" w:rsidRPr="004328EA">
        <w:t xml:space="preserve"> </w:t>
      </w:r>
      <w:r w:rsidR="00B05155">
        <w:t>patient</w:t>
      </w:r>
      <w:r w:rsidR="00F75B58" w:rsidRPr="004328EA">
        <w:t>, 2</w:t>
      </w:r>
      <w:r w:rsidR="003F6012" w:rsidRPr="004328EA">
        <w:t xml:space="preserve"> </w:t>
      </w:r>
      <w:r w:rsidR="003A2E77" w:rsidRPr="004328EA">
        <w:t>HC</w:t>
      </w:r>
      <w:r w:rsidR="00362CF8" w:rsidRPr="004328EA">
        <w:t>s</w:t>
      </w:r>
      <w:r w:rsidR="00F75B58" w:rsidRPr="004328EA">
        <w:t>)</w:t>
      </w:r>
      <w:r w:rsidR="00A361AD">
        <w:t xml:space="preserve"> and</w:t>
      </w:r>
      <w:r w:rsidR="00F75B58" w:rsidRPr="004328EA">
        <w:t xml:space="preserve"> </w:t>
      </w:r>
      <w:r w:rsidR="00E47BC6">
        <w:t xml:space="preserve">1 patient did not get the </w:t>
      </w:r>
      <w:r w:rsidR="00F75B58" w:rsidRPr="004328EA">
        <w:t>acquisition due to discomfort in the scanner</w:t>
      </w:r>
      <w:r w:rsidR="003F6012" w:rsidRPr="004328EA">
        <w:t>,</w:t>
      </w:r>
      <w:r w:rsidR="00F75B58" w:rsidRPr="004328EA">
        <w:t xml:space="preserve"> leaving a total of 24</w:t>
      </w:r>
      <w:r w:rsidR="0037616D" w:rsidRPr="004328EA">
        <w:t xml:space="preserve"> patients </w:t>
      </w:r>
      <w:r w:rsidR="00F75B58" w:rsidRPr="004328EA">
        <w:t>and 29</w:t>
      </w:r>
      <w:r w:rsidR="0037616D" w:rsidRPr="004328EA">
        <w:t xml:space="preserve"> </w:t>
      </w:r>
      <w:r w:rsidR="003A2E77" w:rsidRPr="004328EA">
        <w:t>HC</w:t>
      </w:r>
      <w:r w:rsidR="00063432">
        <w:t>s</w:t>
      </w:r>
      <w:r w:rsidR="00F75B58" w:rsidRPr="004328EA">
        <w:t xml:space="preserve"> spectra. There w</w:t>
      </w:r>
      <w:r w:rsidR="003F6012" w:rsidRPr="004328EA">
        <w:t>ere</w:t>
      </w:r>
      <w:r w:rsidR="00F75B58" w:rsidRPr="004328EA">
        <w:t xml:space="preserve"> no fit-error values &gt;15% for GABA or glx. </w:t>
      </w:r>
      <w:r w:rsidR="003F6012" w:rsidRPr="004328EA">
        <w:t xml:space="preserve">Table </w:t>
      </w:r>
      <w:r w:rsidR="00D96951" w:rsidRPr="004328EA">
        <w:t>S</w:t>
      </w:r>
      <w:r w:rsidR="003F6012" w:rsidRPr="004328EA">
        <w:t xml:space="preserve">7 summarises </w:t>
      </w:r>
      <w:r w:rsidR="003967A7">
        <w:t>the</w:t>
      </w:r>
      <w:r w:rsidR="003967A7" w:rsidRPr="004328EA">
        <w:t xml:space="preserve"> spectral quality</w:t>
      </w:r>
      <w:r w:rsidR="003967A7" w:rsidRPr="003967A7">
        <w:t xml:space="preserve"> </w:t>
      </w:r>
      <w:r w:rsidR="003967A7" w:rsidRPr="004328EA">
        <w:t>data</w:t>
      </w:r>
      <w:r w:rsidR="00F75B58" w:rsidRPr="004328EA">
        <w:t>.</w:t>
      </w:r>
    </w:p>
    <w:p w14:paraId="61742832" w14:textId="77777777" w:rsidR="003E19BB" w:rsidRPr="004328EA" w:rsidRDefault="002922DB" w:rsidP="004328EA">
      <w:pPr>
        <w:spacing w:after="0" w:line="480" w:lineRule="auto"/>
      </w:pPr>
      <w:r w:rsidRPr="004328EA">
        <w:rPr>
          <w:i/>
        </w:rPr>
        <w:t>Segmentation</w:t>
      </w:r>
      <w:r w:rsidR="003E19BB" w:rsidRPr="004328EA">
        <w:rPr>
          <w:i/>
        </w:rPr>
        <w:t>:</w:t>
      </w:r>
    </w:p>
    <w:p w14:paraId="4036F3EF" w14:textId="5E8CE4AC" w:rsidR="004328EA" w:rsidRDefault="003967A7" w:rsidP="004328EA">
      <w:pPr>
        <w:spacing w:line="480" w:lineRule="auto"/>
      </w:pPr>
      <w:r>
        <w:t xml:space="preserve">The </w:t>
      </w:r>
      <w:r w:rsidRPr="004328EA">
        <w:t>seg</w:t>
      </w:r>
      <w:r w:rsidR="002922DB" w:rsidRPr="004328EA">
        <w:t xml:space="preserve">mentation of grey and white matter could not be done for 1 </w:t>
      </w:r>
      <w:r w:rsidR="00192EEB" w:rsidRPr="004328EA">
        <w:t>HC</w:t>
      </w:r>
      <w:r w:rsidR="002922DB" w:rsidRPr="004328EA">
        <w:t xml:space="preserve"> </w:t>
      </w:r>
      <w:r w:rsidR="00192EEB" w:rsidRPr="004328EA">
        <w:t>at</w:t>
      </w:r>
      <w:r w:rsidR="002922DB" w:rsidRPr="004328EA">
        <w:t xml:space="preserve"> </w:t>
      </w:r>
      <w:r w:rsidR="003F6012" w:rsidRPr="004328EA">
        <w:t xml:space="preserve">the </w:t>
      </w:r>
      <w:r w:rsidR="00AA2980">
        <w:t>6 weeks</w:t>
      </w:r>
      <w:r w:rsidR="002922DB" w:rsidRPr="004328EA">
        <w:t xml:space="preserve"> </w:t>
      </w:r>
      <w:r w:rsidR="00192EEB" w:rsidRPr="004328EA">
        <w:t>examination</w:t>
      </w:r>
      <w:r w:rsidR="002922DB" w:rsidRPr="004328EA">
        <w:t xml:space="preserve">.   </w:t>
      </w:r>
    </w:p>
    <w:p w14:paraId="01E4AEF0" w14:textId="77777777" w:rsidR="008A2B76" w:rsidRDefault="008A2B76" w:rsidP="004328EA">
      <w:pPr>
        <w:spacing w:line="480" w:lineRule="auto"/>
      </w:pPr>
    </w:p>
    <w:p w14:paraId="73D13535" w14:textId="0CEA59C7" w:rsidR="00B742E4" w:rsidRPr="004328EA" w:rsidRDefault="00B742E4" w:rsidP="001208D8">
      <w:pPr>
        <w:spacing w:line="480" w:lineRule="auto"/>
        <w:outlineLvl w:val="0"/>
      </w:pPr>
      <w:r w:rsidRPr="004328EA">
        <w:rPr>
          <w:b/>
        </w:rPr>
        <w:t xml:space="preserve">The </w:t>
      </w:r>
      <w:r w:rsidR="0037616D" w:rsidRPr="004328EA">
        <w:rPr>
          <w:b/>
        </w:rPr>
        <w:t>effect</w:t>
      </w:r>
      <w:r w:rsidRPr="004328EA">
        <w:rPr>
          <w:b/>
        </w:rPr>
        <w:t xml:space="preserve"> of</w:t>
      </w:r>
      <w:r w:rsidR="0037616D" w:rsidRPr="004328EA">
        <w:rPr>
          <w:b/>
        </w:rPr>
        <w:t xml:space="preserve"> treatment on</w:t>
      </w:r>
      <w:r w:rsidRPr="004328EA">
        <w:rPr>
          <w:b/>
        </w:rPr>
        <w:t xml:space="preserve"> glutamate</w:t>
      </w:r>
      <w:r w:rsidR="004328EA" w:rsidRPr="004328EA">
        <w:rPr>
          <w:b/>
        </w:rPr>
        <w:t xml:space="preserve"> and GABA</w:t>
      </w:r>
      <w:r w:rsidRPr="004328EA">
        <w:rPr>
          <w:b/>
        </w:rPr>
        <w:t xml:space="preserve"> </w:t>
      </w:r>
      <w:r w:rsidR="00532E54">
        <w:rPr>
          <w:b/>
        </w:rPr>
        <w:t xml:space="preserve">levels in </w:t>
      </w:r>
      <w:r w:rsidR="004E2BBD">
        <w:rPr>
          <w:b/>
        </w:rPr>
        <w:t>IU</w:t>
      </w:r>
      <w:r w:rsidR="003F6012" w:rsidRPr="004328EA">
        <w:rPr>
          <w:b/>
        </w:rPr>
        <w:t xml:space="preserve"> </w:t>
      </w:r>
    </w:p>
    <w:p w14:paraId="3BF32A71" w14:textId="77777777" w:rsidR="00F33223" w:rsidRPr="004328EA" w:rsidRDefault="00B742E4" w:rsidP="001208D8">
      <w:pPr>
        <w:spacing w:after="0" w:line="480" w:lineRule="auto"/>
        <w:outlineLvl w:val="0"/>
      </w:pPr>
      <w:r w:rsidRPr="004328EA">
        <w:rPr>
          <w:i/>
        </w:rPr>
        <w:t>Left thalamus</w:t>
      </w:r>
    </w:p>
    <w:p w14:paraId="7AAFF203" w14:textId="3163C0F9" w:rsidR="00B742E4" w:rsidRPr="004328EA" w:rsidRDefault="00B742E4" w:rsidP="007337BF">
      <w:pPr>
        <w:spacing w:line="480" w:lineRule="auto"/>
        <w:ind w:firstLine="720"/>
      </w:pPr>
      <w:r w:rsidRPr="004328EA">
        <w:rPr>
          <w:i/>
        </w:rPr>
        <w:t>Glutamate</w:t>
      </w:r>
      <w:r w:rsidR="00CB0647" w:rsidRPr="004328EA">
        <w:rPr>
          <w:i/>
        </w:rPr>
        <w:t xml:space="preserve"> IU</w:t>
      </w:r>
      <w:r w:rsidRPr="004328EA">
        <w:t xml:space="preserve">: There was </w:t>
      </w:r>
      <w:r w:rsidR="00CB0647" w:rsidRPr="004328EA">
        <w:t xml:space="preserve">trend toward </w:t>
      </w:r>
      <w:r w:rsidRPr="004328EA">
        <w:t>a group*time interaction (F</w:t>
      </w:r>
      <w:r w:rsidR="003967A7">
        <w:t>[</w:t>
      </w:r>
      <w:r w:rsidRPr="004328EA">
        <w:t>2,6</w:t>
      </w:r>
      <w:r w:rsidR="00CB0647" w:rsidRPr="004328EA">
        <w:t>0</w:t>
      </w:r>
      <w:r w:rsidRPr="004328EA">
        <w:t>.</w:t>
      </w:r>
      <w:r w:rsidR="00CB0647" w:rsidRPr="004328EA">
        <w:t>6</w:t>
      </w:r>
      <w:r w:rsidR="003967A7">
        <w:t>]</w:t>
      </w:r>
      <w:r w:rsidR="003967A7" w:rsidRPr="004328EA">
        <w:t>=</w:t>
      </w:r>
      <w:r w:rsidR="00CB0647" w:rsidRPr="004328EA">
        <w:t>2</w:t>
      </w:r>
      <w:r w:rsidRPr="004328EA">
        <w:t>.</w:t>
      </w:r>
      <w:r w:rsidR="00CB0647" w:rsidRPr="004328EA">
        <w:t>47</w:t>
      </w:r>
      <w:r w:rsidRPr="004328EA">
        <w:t>, p=0.0</w:t>
      </w:r>
      <w:r w:rsidR="00CB0647" w:rsidRPr="004328EA">
        <w:t>9</w:t>
      </w:r>
      <w:r w:rsidRPr="004328EA">
        <w:t>) due to</w:t>
      </w:r>
      <w:r w:rsidR="00CB0647" w:rsidRPr="004328EA">
        <w:t xml:space="preserve"> a trend for</w:t>
      </w:r>
      <w:r w:rsidRPr="004328EA">
        <w:t xml:space="preserve"> increased </w:t>
      </w:r>
      <w:r w:rsidR="00CB0647" w:rsidRPr="004328EA">
        <w:t>glutamate IU</w:t>
      </w:r>
      <w:r w:rsidRPr="004328EA">
        <w:t xml:space="preserve"> in </w:t>
      </w:r>
      <w:r w:rsidR="0037616D" w:rsidRPr="004328EA">
        <w:t xml:space="preserve">patients </w:t>
      </w:r>
      <w:r w:rsidRPr="004328EA">
        <w:t>at baseline (T</w:t>
      </w:r>
      <w:r w:rsidR="003967A7">
        <w:t>[</w:t>
      </w:r>
      <w:r w:rsidR="00CB0647" w:rsidRPr="004328EA">
        <w:t>68</w:t>
      </w:r>
      <w:r w:rsidRPr="004328EA">
        <w:t>.</w:t>
      </w:r>
      <w:r w:rsidR="00CB0647" w:rsidRPr="004328EA">
        <w:t>7</w:t>
      </w:r>
      <w:r w:rsidR="003967A7">
        <w:t>]</w:t>
      </w:r>
      <w:r w:rsidR="003967A7" w:rsidRPr="004328EA">
        <w:t>=</w:t>
      </w:r>
      <w:r w:rsidR="00CB0647" w:rsidRPr="004328EA">
        <w:t>1</w:t>
      </w:r>
      <w:r w:rsidRPr="004328EA">
        <w:t>.</w:t>
      </w:r>
      <w:r w:rsidR="00CB0647" w:rsidRPr="004328EA">
        <w:t>70</w:t>
      </w:r>
      <w:r w:rsidRPr="004328EA">
        <w:t>, p=0.0</w:t>
      </w:r>
      <w:r w:rsidR="00CB0647" w:rsidRPr="004328EA">
        <w:t>9</w:t>
      </w:r>
      <w:r w:rsidRPr="004328EA">
        <w:t>, estimate=0.</w:t>
      </w:r>
      <w:r w:rsidR="00CB0647" w:rsidRPr="004328EA">
        <w:t>34</w:t>
      </w:r>
      <w:r w:rsidRPr="004328EA">
        <w:t xml:space="preserve"> </w:t>
      </w:r>
      <w:r w:rsidR="003967A7">
        <w:t>[</w:t>
      </w:r>
      <w:r w:rsidR="00362CF8" w:rsidRPr="004328EA">
        <w:t>CI:</w:t>
      </w:r>
      <w:r w:rsidR="00CB0647" w:rsidRPr="004328EA">
        <w:t>-</w:t>
      </w:r>
      <w:r w:rsidRPr="004328EA">
        <w:t>0.0</w:t>
      </w:r>
      <w:r w:rsidR="00CB0647" w:rsidRPr="004328EA">
        <w:t>6</w:t>
      </w:r>
      <w:r w:rsidRPr="004328EA">
        <w:t xml:space="preserve"> – 0.</w:t>
      </w:r>
      <w:r w:rsidR="00CB0647" w:rsidRPr="004328EA">
        <w:t>74</w:t>
      </w:r>
      <w:r w:rsidR="003967A7">
        <w:t>]</w:t>
      </w:r>
      <w:r w:rsidR="003967A7" w:rsidRPr="004328EA">
        <w:t xml:space="preserve">), </w:t>
      </w:r>
      <w:r w:rsidRPr="004328EA">
        <w:t>whereas there were no differences between groups a</w:t>
      </w:r>
      <w:r w:rsidR="00374EF3" w:rsidRPr="004328EA">
        <w:t>t</w:t>
      </w:r>
      <w:r w:rsidRPr="004328EA">
        <w:t xml:space="preserve"> </w:t>
      </w:r>
      <w:r w:rsidR="00AA2980">
        <w:t>6</w:t>
      </w:r>
      <w:r w:rsidRPr="004328EA">
        <w:t xml:space="preserve"> </w:t>
      </w:r>
      <w:r w:rsidR="004E2BBD">
        <w:t xml:space="preserve">weeks </w:t>
      </w:r>
      <w:r w:rsidRPr="004328EA">
        <w:t>(p=0.</w:t>
      </w:r>
      <w:r w:rsidR="00CB0647" w:rsidRPr="004328EA">
        <w:t>26</w:t>
      </w:r>
      <w:r w:rsidRPr="004328EA">
        <w:t xml:space="preserve">) and </w:t>
      </w:r>
      <w:r w:rsidR="00AA2980">
        <w:t>2</w:t>
      </w:r>
      <w:r w:rsidR="003967A7">
        <w:t>6</w:t>
      </w:r>
      <w:r w:rsidR="003967A7" w:rsidRPr="004328EA">
        <w:t xml:space="preserve"> </w:t>
      </w:r>
      <w:r w:rsidR="00AA2980">
        <w:t>weeks</w:t>
      </w:r>
      <w:r w:rsidR="00AA2980" w:rsidRPr="004328EA">
        <w:t xml:space="preserve"> </w:t>
      </w:r>
      <w:r w:rsidRPr="004328EA">
        <w:t>(p=0.</w:t>
      </w:r>
      <w:r w:rsidR="00CB0647" w:rsidRPr="004328EA">
        <w:t>19</w:t>
      </w:r>
      <w:r w:rsidRPr="004328EA">
        <w:t xml:space="preserve">). </w:t>
      </w:r>
      <w:r w:rsidR="00CB0647" w:rsidRPr="004328EA">
        <w:t xml:space="preserve">A similar trend for an </w:t>
      </w:r>
      <w:r w:rsidRPr="004328EA">
        <w:t xml:space="preserve">interaction was also </w:t>
      </w:r>
      <w:r w:rsidR="00CB0647" w:rsidRPr="004328EA">
        <w:t>observed</w:t>
      </w:r>
      <w:r w:rsidRPr="004328EA">
        <w:t xml:space="preserve"> after adjusting for age (p=0.0</w:t>
      </w:r>
      <w:r w:rsidR="004A15D4" w:rsidRPr="004328EA">
        <w:t>9</w:t>
      </w:r>
      <w:r w:rsidRPr="004328EA">
        <w:t>), sex (p=0.0</w:t>
      </w:r>
      <w:r w:rsidR="004A15D4" w:rsidRPr="004328EA">
        <w:t>8</w:t>
      </w:r>
      <w:r w:rsidRPr="004328EA">
        <w:t>), smoking status (p=0.0</w:t>
      </w:r>
      <w:r w:rsidR="004A15D4" w:rsidRPr="004328EA">
        <w:t>9</w:t>
      </w:r>
      <w:r w:rsidRPr="004328EA">
        <w:t>)</w:t>
      </w:r>
      <w:r w:rsidR="00DF064D" w:rsidRPr="004328EA">
        <w:t>,</w:t>
      </w:r>
      <w:r w:rsidRPr="004328EA">
        <w:t xml:space="preserve"> </w:t>
      </w:r>
      <w:r w:rsidR="00CA30DE">
        <w:t xml:space="preserve">cannabis use (p=0.09), </w:t>
      </w:r>
      <w:r w:rsidRPr="004328EA">
        <w:t>and scanner upgrade (p=0.</w:t>
      </w:r>
      <w:r w:rsidR="00783382" w:rsidRPr="004328EA">
        <w:t>12</w:t>
      </w:r>
      <w:r w:rsidRPr="004328EA">
        <w:t xml:space="preserve">). </w:t>
      </w:r>
    </w:p>
    <w:p w14:paraId="4AE44970" w14:textId="77777777" w:rsidR="00B742E4" w:rsidRPr="004328EA" w:rsidRDefault="00B742E4" w:rsidP="001208D8">
      <w:pPr>
        <w:spacing w:after="0" w:line="480" w:lineRule="auto"/>
        <w:outlineLvl w:val="0"/>
      </w:pPr>
      <w:r w:rsidRPr="004328EA">
        <w:rPr>
          <w:i/>
        </w:rPr>
        <w:t>ACC</w:t>
      </w:r>
    </w:p>
    <w:p w14:paraId="32E21A57" w14:textId="60E7084B" w:rsidR="00074D9D" w:rsidRPr="004328EA" w:rsidRDefault="00074D9D" w:rsidP="007337BF">
      <w:pPr>
        <w:spacing w:after="0" w:line="480" w:lineRule="auto"/>
        <w:ind w:firstLine="720"/>
      </w:pPr>
      <w:r w:rsidRPr="004328EA">
        <w:rPr>
          <w:i/>
        </w:rPr>
        <w:t>Glutamate</w:t>
      </w:r>
      <w:r w:rsidRPr="004328EA">
        <w:t xml:space="preserve">: The group*time interaction and main effects of group and time were </w:t>
      </w:r>
      <w:r w:rsidR="009356D0" w:rsidRPr="004328EA">
        <w:t>both</w:t>
      </w:r>
      <w:r w:rsidR="00603B6B">
        <w:t xml:space="preserve"> insignificant</w:t>
      </w:r>
      <w:r w:rsidR="0084528D">
        <w:t xml:space="preserve"> (p=0.52-0.91)</w:t>
      </w:r>
      <w:r w:rsidR="00603B6B">
        <w:t>. The main effect was</w:t>
      </w:r>
      <w:r w:rsidRPr="004328EA">
        <w:t xml:space="preserve"> </w:t>
      </w:r>
      <w:r w:rsidR="003967A7">
        <w:t>a</w:t>
      </w:r>
      <w:r w:rsidR="0090405F">
        <w:t>lso</w:t>
      </w:r>
      <w:r w:rsidR="00603B6B">
        <w:t xml:space="preserve"> insignificant</w:t>
      </w:r>
      <w:r w:rsidR="003967A7" w:rsidRPr="004328EA">
        <w:t xml:space="preserve"> </w:t>
      </w:r>
      <w:r w:rsidRPr="004328EA">
        <w:t>when removing the group*time interaction and adjusting for age, sex, smoking status</w:t>
      </w:r>
      <w:r w:rsidR="004979DC" w:rsidRPr="004328EA">
        <w:t>,</w:t>
      </w:r>
      <w:r w:rsidRPr="004328EA">
        <w:t xml:space="preserve"> </w:t>
      </w:r>
      <w:r w:rsidR="00CA30DE">
        <w:t xml:space="preserve">cannabis use, </w:t>
      </w:r>
      <w:r w:rsidRPr="004328EA">
        <w:t>and scanner upgrade (all p&gt;0.05).</w:t>
      </w:r>
    </w:p>
    <w:p w14:paraId="27194E7A" w14:textId="79D4754A" w:rsidR="00D96951" w:rsidRDefault="00402774" w:rsidP="007337BF">
      <w:pPr>
        <w:spacing w:after="0" w:line="480" w:lineRule="auto"/>
        <w:ind w:firstLine="720"/>
      </w:pPr>
      <w:r w:rsidRPr="004328EA">
        <w:rPr>
          <w:i/>
        </w:rPr>
        <w:t>GABA</w:t>
      </w:r>
      <w:r w:rsidRPr="004328EA">
        <w:t>:</w:t>
      </w:r>
      <w:r w:rsidR="00AC2517" w:rsidRPr="004328EA">
        <w:t xml:space="preserve"> </w:t>
      </w:r>
      <w:r w:rsidR="009356D0" w:rsidRPr="004328EA">
        <w:t>The group*time interaction was insignificant</w:t>
      </w:r>
      <w:r w:rsidR="00BE0F1E">
        <w:t xml:space="preserve"> </w:t>
      </w:r>
      <w:r w:rsidR="003D56DE">
        <w:t>(p=0.61)</w:t>
      </w:r>
      <w:r w:rsidR="00BE0F1E">
        <w:t>. T</w:t>
      </w:r>
      <w:r w:rsidR="009356D0" w:rsidRPr="004328EA">
        <w:t>here was a borderline significant main effect</w:t>
      </w:r>
      <w:r w:rsidR="00195128">
        <w:t xml:space="preserve"> of group</w:t>
      </w:r>
      <w:r w:rsidR="0009551A">
        <w:t xml:space="preserve"> </w:t>
      </w:r>
      <w:r w:rsidR="00362CF8" w:rsidRPr="004328EA">
        <w:t>due to lower GABA in</w:t>
      </w:r>
      <w:r w:rsidR="0009551A">
        <w:t xml:space="preserve"> </w:t>
      </w:r>
      <w:r w:rsidR="0037616D" w:rsidRPr="004328EA">
        <w:t xml:space="preserve">patients </w:t>
      </w:r>
      <w:r w:rsidR="009356D0" w:rsidRPr="004328EA">
        <w:t>(</w:t>
      </w:r>
      <w:proofErr w:type="gramStart"/>
      <w:r w:rsidR="009356D0" w:rsidRPr="004328EA">
        <w:t>F</w:t>
      </w:r>
      <w:r w:rsidR="0009551A">
        <w:t>[</w:t>
      </w:r>
      <w:proofErr w:type="gramEnd"/>
      <w:r w:rsidR="009356D0" w:rsidRPr="004328EA">
        <w:t>1,7</w:t>
      </w:r>
      <w:r w:rsidR="00BE0F1E">
        <w:t>3.3</w:t>
      </w:r>
      <w:r w:rsidR="0009551A">
        <w:t>]</w:t>
      </w:r>
      <w:r w:rsidR="0009551A" w:rsidRPr="004328EA">
        <w:t>=</w:t>
      </w:r>
      <w:r w:rsidR="00BE0F1E">
        <w:t>3.63</w:t>
      </w:r>
      <w:r w:rsidR="009356D0" w:rsidRPr="004328EA">
        <w:t>, p=0.0</w:t>
      </w:r>
      <w:r w:rsidR="00BE0F1E">
        <w:t>6</w:t>
      </w:r>
      <w:r w:rsidR="009356D0" w:rsidRPr="004328EA">
        <w:t>)</w:t>
      </w:r>
      <w:r w:rsidR="00BE0F1E">
        <w:t xml:space="preserve">, also after removing </w:t>
      </w:r>
      <w:r w:rsidR="009356D0" w:rsidRPr="004328EA">
        <w:t>the group*time interaction</w:t>
      </w:r>
      <w:r w:rsidR="00BE0F1E">
        <w:t xml:space="preserve"> (p=0.05</w:t>
      </w:r>
      <w:r w:rsidR="008022C4" w:rsidRPr="004328EA">
        <w:t>)</w:t>
      </w:r>
      <w:r w:rsidR="00BE0F1E">
        <w:t>. The main effect of group was significant when</w:t>
      </w:r>
      <w:r w:rsidR="009356D0" w:rsidRPr="004328EA">
        <w:t xml:space="preserve"> adjusting</w:t>
      </w:r>
      <w:r w:rsidR="00BE0F1E">
        <w:t xml:space="preserve"> for sex (p=0.04</w:t>
      </w:r>
      <w:r w:rsidR="009356D0" w:rsidRPr="004328EA">
        <w:t>)</w:t>
      </w:r>
      <w:r w:rsidR="00BE0F1E">
        <w:t xml:space="preserve">, </w:t>
      </w:r>
      <w:r w:rsidR="008022C4" w:rsidRPr="004328EA">
        <w:t>but only trend</w:t>
      </w:r>
      <w:r w:rsidR="006B478F" w:rsidRPr="004328EA">
        <w:t>-</w:t>
      </w:r>
      <w:r w:rsidR="008022C4" w:rsidRPr="004328EA">
        <w:t xml:space="preserve">level significant when adjusting for </w:t>
      </w:r>
      <w:r w:rsidR="009356D0" w:rsidRPr="004328EA">
        <w:t>age (p=0.05), smoking status (p=0.0</w:t>
      </w:r>
      <w:r w:rsidR="00BE0F1E">
        <w:t>7</w:t>
      </w:r>
      <w:r w:rsidR="009356D0" w:rsidRPr="004328EA">
        <w:t xml:space="preserve">), </w:t>
      </w:r>
      <w:r w:rsidR="000A69C6">
        <w:t xml:space="preserve">cannabis use </w:t>
      </w:r>
      <w:r w:rsidR="000A69C6">
        <w:lastRenderedPageBreak/>
        <w:t>(p=0.0</w:t>
      </w:r>
      <w:r w:rsidR="00BE0F1E">
        <w:t>6</w:t>
      </w:r>
      <w:r w:rsidR="000A69C6">
        <w:t xml:space="preserve">), </w:t>
      </w:r>
      <w:r w:rsidR="009356D0" w:rsidRPr="004328EA">
        <w:t>scanner upgrade (p=0.0</w:t>
      </w:r>
      <w:r w:rsidR="00BE0F1E">
        <w:t>6</w:t>
      </w:r>
      <w:r w:rsidR="009356D0" w:rsidRPr="004328EA">
        <w:t>)</w:t>
      </w:r>
      <w:r w:rsidR="004979DC" w:rsidRPr="004328EA">
        <w:t>,</w:t>
      </w:r>
      <w:r w:rsidR="008022C4" w:rsidRPr="004328EA">
        <w:t xml:space="preserve"> and </w:t>
      </w:r>
      <w:r w:rsidR="006B478F" w:rsidRPr="004328EA">
        <w:t xml:space="preserve">the </w:t>
      </w:r>
      <w:r w:rsidR="008022C4" w:rsidRPr="004328EA">
        <w:t>exclu</w:t>
      </w:r>
      <w:r w:rsidR="006B478F" w:rsidRPr="004328EA">
        <w:t>sion of</w:t>
      </w:r>
      <w:r w:rsidR="008022C4" w:rsidRPr="004328EA">
        <w:t xml:space="preserve"> subjects </w:t>
      </w:r>
      <w:r w:rsidR="006B478F" w:rsidRPr="004328EA">
        <w:t>who</w:t>
      </w:r>
      <w:r w:rsidR="008022C4" w:rsidRPr="004328EA">
        <w:t xml:space="preserve"> regularly used benzodiazepines </w:t>
      </w:r>
      <w:r w:rsidR="004E2BBD">
        <w:t>occasionally or regularly</w:t>
      </w:r>
      <w:r w:rsidR="008022C4" w:rsidRPr="004328EA">
        <w:t xml:space="preserve"> (p=0.09). </w:t>
      </w:r>
    </w:p>
    <w:p w14:paraId="6AD4C5F8" w14:textId="77777777" w:rsidR="00532E54" w:rsidRDefault="00532E54" w:rsidP="007337BF">
      <w:pPr>
        <w:spacing w:after="0" w:line="480" w:lineRule="auto"/>
        <w:ind w:firstLine="720"/>
      </w:pPr>
    </w:p>
    <w:p w14:paraId="18D23DC3" w14:textId="37944D74" w:rsidR="001318F4" w:rsidRDefault="001318F4" w:rsidP="00C81F12">
      <w:pPr>
        <w:spacing w:line="240" w:lineRule="auto"/>
        <w:outlineLvl w:val="0"/>
        <w:rPr>
          <w:rFonts w:asciiTheme="majorHAnsi" w:hAnsiTheme="majorHAnsi" w:cstheme="majorHAnsi"/>
          <w:b/>
          <w:lang w:val="en-US"/>
        </w:rPr>
      </w:pPr>
      <w:r w:rsidRPr="00F91A2F">
        <w:rPr>
          <w:rFonts w:asciiTheme="majorHAnsi" w:hAnsiTheme="majorHAnsi" w:cstheme="majorHAnsi"/>
          <w:b/>
          <w:lang w:val="en-US"/>
        </w:rPr>
        <w:t xml:space="preserve">Baseline glutamate and GABA </w:t>
      </w:r>
      <w:r w:rsidR="0019187D">
        <w:rPr>
          <w:rFonts w:asciiTheme="majorHAnsi" w:hAnsiTheme="majorHAnsi" w:cstheme="majorHAnsi"/>
          <w:b/>
          <w:lang w:val="en-US"/>
        </w:rPr>
        <w:t xml:space="preserve">levels in </w:t>
      </w:r>
      <w:r>
        <w:rPr>
          <w:rFonts w:asciiTheme="majorHAnsi" w:hAnsiTheme="majorHAnsi" w:cstheme="majorHAnsi"/>
          <w:b/>
          <w:lang w:val="en-US"/>
        </w:rPr>
        <w:t xml:space="preserve">IU </w:t>
      </w:r>
      <w:r w:rsidRPr="00F91A2F">
        <w:rPr>
          <w:rFonts w:asciiTheme="majorHAnsi" w:hAnsiTheme="majorHAnsi" w:cstheme="majorHAnsi"/>
          <w:b/>
          <w:lang w:val="en-US"/>
        </w:rPr>
        <w:t xml:space="preserve">in non-responders and responders compared with </w:t>
      </w:r>
      <w:r w:rsidR="00C81F12">
        <w:rPr>
          <w:rFonts w:asciiTheme="majorHAnsi" w:hAnsiTheme="majorHAnsi" w:cstheme="majorHAnsi"/>
          <w:b/>
          <w:lang w:val="en-US"/>
        </w:rPr>
        <w:t xml:space="preserve">healthy </w:t>
      </w:r>
      <w:r>
        <w:rPr>
          <w:rFonts w:asciiTheme="majorHAnsi" w:hAnsiTheme="majorHAnsi" w:cstheme="majorHAnsi"/>
          <w:b/>
          <w:lang w:val="en-US"/>
        </w:rPr>
        <w:t>controls</w:t>
      </w:r>
    </w:p>
    <w:p w14:paraId="4DE825C8" w14:textId="6CCADE36" w:rsidR="001318F4" w:rsidRPr="00F83441" w:rsidRDefault="001318F4" w:rsidP="001318F4">
      <w:pPr>
        <w:spacing w:line="240" w:lineRule="auto"/>
        <w:outlineLvl w:val="0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i/>
          <w:lang w:val="en-US"/>
        </w:rPr>
        <w:t>Baseline glutamate</w:t>
      </w:r>
      <w:r w:rsidR="00DB7140" w:rsidRPr="00F83441">
        <w:rPr>
          <w:rFonts w:asciiTheme="majorHAnsi" w:hAnsiTheme="majorHAnsi" w:cstheme="majorHAnsi"/>
          <w:i/>
          <w:lang w:val="en-US"/>
        </w:rPr>
        <w:t xml:space="preserve"> levels in</w:t>
      </w:r>
      <w:r w:rsidRPr="00F83441">
        <w:rPr>
          <w:rFonts w:asciiTheme="majorHAnsi" w:hAnsiTheme="majorHAnsi" w:cstheme="majorHAnsi"/>
          <w:i/>
          <w:lang w:val="en-US"/>
        </w:rPr>
        <w:t xml:space="preserve"> IU in left thalamus</w:t>
      </w:r>
    </w:p>
    <w:p w14:paraId="25DBCEBA" w14:textId="77777777" w:rsidR="00DB7140" w:rsidRPr="00F83441" w:rsidRDefault="00DB7140" w:rsidP="00DB7140">
      <w:pPr>
        <w:spacing w:line="480" w:lineRule="auto"/>
        <w:outlineLvl w:val="0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 xml:space="preserve">Baseline glutamate levels in IU in thalamus were significantly higher in patients not responding to treatment after 26 weeks compared with HCs, although the overall model only was trend-level significant, whereas there was no difference between HCs and responding patients (overall model: F(2,49=2.54), p=0.09, post hoc test: </w:t>
      </w:r>
      <w:proofErr w:type="spellStart"/>
      <w:r w:rsidRPr="00F83441">
        <w:rPr>
          <w:rFonts w:asciiTheme="majorHAnsi" w:hAnsiTheme="majorHAnsi" w:cstheme="majorHAnsi"/>
          <w:lang w:val="en-US"/>
        </w:rPr>
        <w:t>p</w:t>
      </w:r>
      <w:r w:rsidRPr="00F83441">
        <w:rPr>
          <w:rFonts w:asciiTheme="majorHAnsi" w:hAnsiTheme="majorHAnsi" w:cstheme="majorHAnsi"/>
          <w:vertAlign w:val="subscript"/>
          <w:lang w:val="en-US"/>
        </w:rPr>
        <w:t>Non</w:t>
      </w:r>
      <w:proofErr w:type="spellEnd"/>
      <w:r w:rsidRPr="00F83441">
        <w:rPr>
          <w:rFonts w:asciiTheme="majorHAnsi" w:hAnsiTheme="majorHAnsi" w:cstheme="majorHAnsi"/>
          <w:vertAlign w:val="subscript"/>
          <w:lang w:val="en-US"/>
        </w:rPr>
        <w:t>-responder</w:t>
      </w:r>
      <w:r w:rsidRPr="00F83441">
        <w:rPr>
          <w:rFonts w:asciiTheme="majorHAnsi" w:hAnsiTheme="majorHAnsi" w:cstheme="majorHAnsi"/>
          <w:lang w:val="en-US"/>
        </w:rPr>
        <w:t xml:space="preserve">=0.04, </w:t>
      </w:r>
      <w:proofErr w:type="spellStart"/>
      <w:r w:rsidRPr="00F83441">
        <w:rPr>
          <w:rFonts w:asciiTheme="majorHAnsi" w:hAnsiTheme="majorHAnsi" w:cstheme="majorHAnsi"/>
          <w:lang w:val="en-US"/>
        </w:rPr>
        <w:t>p</w:t>
      </w:r>
      <w:r w:rsidRPr="00F83441">
        <w:rPr>
          <w:rFonts w:asciiTheme="majorHAnsi" w:hAnsiTheme="majorHAnsi" w:cstheme="majorHAnsi"/>
          <w:vertAlign w:val="subscript"/>
          <w:lang w:val="en-US"/>
        </w:rPr>
        <w:t>Responder</w:t>
      </w:r>
      <w:proofErr w:type="spellEnd"/>
      <w:r w:rsidRPr="00F83441">
        <w:rPr>
          <w:rFonts w:asciiTheme="majorHAnsi" w:hAnsiTheme="majorHAnsi" w:cstheme="majorHAnsi"/>
          <w:lang w:val="en-US"/>
        </w:rPr>
        <w:t xml:space="preserve">=0.20; overall model after adjustment for age and sex: p=0.08, post hoc test: </w:t>
      </w:r>
      <w:proofErr w:type="spellStart"/>
      <w:r w:rsidRPr="00F83441">
        <w:rPr>
          <w:rFonts w:asciiTheme="majorHAnsi" w:hAnsiTheme="majorHAnsi" w:cstheme="majorHAnsi"/>
          <w:lang w:val="en-US"/>
        </w:rPr>
        <w:t>p</w:t>
      </w:r>
      <w:r w:rsidRPr="00F83441">
        <w:rPr>
          <w:rFonts w:asciiTheme="majorHAnsi" w:hAnsiTheme="majorHAnsi" w:cstheme="majorHAnsi"/>
          <w:vertAlign w:val="subscript"/>
          <w:lang w:val="en-US"/>
        </w:rPr>
        <w:t>Non</w:t>
      </w:r>
      <w:proofErr w:type="spellEnd"/>
      <w:r w:rsidRPr="00F83441">
        <w:rPr>
          <w:rFonts w:asciiTheme="majorHAnsi" w:hAnsiTheme="majorHAnsi" w:cstheme="majorHAnsi"/>
          <w:vertAlign w:val="subscript"/>
          <w:lang w:val="en-US"/>
        </w:rPr>
        <w:t>-responder</w:t>
      </w:r>
      <w:r w:rsidRPr="00F83441">
        <w:rPr>
          <w:rFonts w:asciiTheme="majorHAnsi" w:hAnsiTheme="majorHAnsi" w:cstheme="majorHAnsi"/>
          <w:lang w:val="en-US"/>
        </w:rPr>
        <w:t xml:space="preserve">=0.03, </w:t>
      </w:r>
      <w:proofErr w:type="spellStart"/>
      <w:r w:rsidRPr="00F83441">
        <w:rPr>
          <w:rFonts w:asciiTheme="majorHAnsi" w:hAnsiTheme="majorHAnsi" w:cstheme="majorHAnsi"/>
          <w:lang w:val="en-US"/>
        </w:rPr>
        <w:t>p</w:t>
      </w:r>
      <w:r w:rsidRPr="00F83441">
        <w:rPr>
          <w:rFonts w:asciiTheme="majorHAnsi" w:hAnsiTheme="majorHAnsi" w:cstheme="majorHAnsi"/>
          <w:vertAlign w:val="subscript"/>
          <w:lang w:val="en-US"/>
        </w:rPr>
        <w:t>Responder</w:t>
      </w:r>
      <w:proofErr w:type="spellEnd"/>
      <w:r w:rsidRPr="00F83441">
        <w:rPr>
          <w:rFonts w:asciiTheme="majorHAnsi" w:hAnsiTheme="majorHAnsi" w:cstheme="majorHAnsi"/>
          <w:lang w:val="en-US"/>
        </w:rPr>
        <w:t>=0.28). There were no significant differences in baseline IU values neither between patients who were non-responders nor responders after 6 weeks and HCs (overall model: p=0.38; after adjustment for age and sex: p=0.58).</w:t>
      </w:r>
    </w:p>
    <w:p w14:paraId="36634FC1" w14:textId="65E60AEC" w:rsidR="00FB0110" w:rsidRPr="00F83441" w:rsidRDefault="00FB0110" w:rsidP="00FB0110">
      <w:pPr>
        <w:spacing w:line="240" w:lineRule="auto"/>
        <w:outlineLvl w:val="0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i/>
          <w:lang w:val="en-US"/>
        </w:rPr>
        <w:t>Baseline glutamate</w:t>
      </w:r>
      <w:r w:rsidR="00DB7140" w:rsidRPr="00F83441">
        <w:rPr>
          <w:rFonts w:asciiTheme="majorHAnsi" w:hAnsiTheme="majorHAnsi" w:cstheme="majorHAnsi"/>
          <w:i/>
          <w:lang w:val="en-US"/>
        </w:rPr>
        <w:t xml:space="preserve"> levels in</w:t>
      </w:r>
      <w:r w:rsidRPr="00F83441">
        <w:rPr>
          <w:rFonts w:asciiTheme="majorHAnsi" w:hAnsiTheme="majorHAnsi" w:cstheme="majorHAnsi"/>
          <w:i/>
          <w:lang w:val="en-US"/>
        </w:rPr>
        <w:t xml:space="preserve"> IU in ACC</w:t>
      </w:r>
    </w:p>
    <w:p w14:paraId="1DAC3623" w14:textId="2ABA407F" w:rsidR="00FB0110" w:rsidRPr="00F83441" w:rsidRDefault="00FB0110" w:rsidP="00FB0110">
      <w:pPr>
        <w:spacing w:line="480" w:lineRule="auto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>For glutamate levels in IU in ACC, there were no baseline differences between patients</w:t>
      </w:r>
      <w:r w:rsidR="009A3383" w:rsidRPr="00F83441">
        <w:rPr>
          <w:rFonts w:asciiTheme="majorHAnsi" w:hAnsiTheme="majorHAnsi" w:cstheme="majorHAnsi"/>
          <w:lang w:val="en-US"/>
        </w:rPr>
        <w:t xml:space="preserve"> not responding</w:t>
      </w:r>
      <w:r w:rsidR="00461555" w:rsidRPr="00F83441">
        <w:rPr>
          <w:rFonts w:asciiTheme="majorHAnsi" w:hAnsiTheme="majorHAnsi" w:cstheme="majorHAnsi"/>
          <w:lang w:val="en-US"/>
        </w:rPr>
        <w:t xml:space="preserve"> at 6 weeks or 26 weeks</w:t>
      </w:r>
      <w:r w:rsidRPr="00F83441">
        <w:rPr>
          <w:rFonts w:asciiTheme="majorHAnsi" w:hAnsiTheme="majorHAnsi" w:cstheme="majorHAnsi"/>
          <w:lang w:val="en-US"/>
        </w:rPr>
        <w:t xml:space="preserve"> and HCs</w:t>
      </w:r>
      <w:r w:rsidR="00461555" w:rsidRPr="00F83441">
        <w:rPr>
          <w:rFonts w:asciiTheme="majorHAnsi" w:hAnsiTheme="majorHAnsi" w:cstheme="majorHAnsi"/>
          <w:lang w:val="en-US"/>
        </w:rPr>
        <w:t>,</w:t>
      </w:r>
      <w:r w:rsidRPr="00F83441">
        <w:rPr>
          <w:rFonts w:asciiTheme="majorHAnsi" w:hAnsiTheme="majorHAnsi" w:cstheme="majorHAnsi"/>
          <w:lang w:val="en-US"/>
        </w:rPr>
        <w:t xml:space="preserve"> </w:t>
      </w:r>
      <w:r w:rsidR="009A3383" w:rsidRPr="00F83441">
        <w:rPr>
          <w:rFonts w:asciiTheme="majorHAnsi" w:hAnsiTheme="majorHAnsi" w:cstheme="majorHAnsi"/>
          <w:lang w:val="en-US"/>
        </w:rPr>
        <w:t>n</w:t>
      </w:r>
      <w:r w:rsidRPr="00F83441">
        <w:rPr>
          <w:rFonts w:asciiTheme="majorHAnsi" w:hAnsiTheme="majorHAnsi" w:cstheme="majorHAnsi"/>
          <w:lang w:val="en-US"/>
        </w:rPr>
        <w:t>or between responders</w:t>
      </w:r>
      <w:r w:rsidR="00461555" w:rsidRPr="00F83441">
        <w:rPr>
          <w:rFonts w:asciiTheme="majorHAnsi" w:hAnsiTheme="majorHAnsi" w:cstheme="majorHAnsi"/>
          <w:lang w:val="en-US"/>
        </w:rPr>
        <w:t xml:space="preserve"> at</w:t>
      </w:r>
      <w:r w:rsidRPr="00F83441">
        <w:rPr>
          <w:rFonts w:asciiTheme="majorHAnsi" w:hAnsiTheme="majorHAnsi" w:cstheme="majorHAnsi"/>
          <w:lang w:val="en-US"/>
        </w:rPr>
        <w:t xml:space="preserve"> </w:t>
      </w:r>
      <w:r w:rsidR="00461555" w:rsidRPr="00F83441">
        <w:rPr>
          <w:rFonts w:asciiTheme="majorHAnsi" w:hAnsiTheme="majorHAnsi" w:cstheme="majorHAnsi"/>
          <w:lang w:val="en-US"/>
        </w:rPr>
        <w:t xml:space="preserve">6 weeks or 26 weeks </w:t>
      </w:r>
      <w:r w:rsidRPr="00F83441">
        <w:rPr>
          <w:rFonts w:asciiTheme="majorHAnsi" w:hAnsiTheme="majorHAnsi" w:cstheme="majorHAnsi"/>
          <w:lang w:val="en-US"/>
        </w:rPr>
        <w:t>and HCs (</w:t>
      </w:r>
      <w:r w:rsidR="00461555" w:rsidRPr="00F83441">
        <w:rPr>
          <w:rFonts w:asciiTheme="majorHAnsi" w:hAnsiTheme="majorHAnsi" w:cstheme="majorHAnsi"/>
          <w:lang w:val="en-US"/>
        </w:rPr>
        <w:t xml:space="preserve">Overall models: </w:t>
      </w:r>
      <w:r w:rsidR="00C2284D" w:rsidRPr="00F83441">
        <w:rPr>
          <w:rFonts w:asciiTheme="majorHAnsi" w:hAnsiTheme="majorHAnsi" w:cstheme="majorHAnsi"/>
          <w:lang w:val="en-US"/>
        </w:rPr>
        <w:t xml:space="preserve">p-values </w:t>
      </w:r>
      <w:r w:rsidR="00195128" w:rsidRPr="00F83441">
        <w:rPr>
          <w:rFonts w:asciiTheme="majorHAnsi" w:hAnsiTheme="majorHAnsi" w:cstheme="majorHAnsi"/>
          <w:lang w:val="en-US"/>
        </w:rPr>
        <w:t xml:space="preserve">with and without adjustment for age and sex: </w:t>
      </w:r>
      <w:r w:rsidRPr="00F83441">
        <w:rPr>
          <w:rFonts w:asciiTheme="majorHAnsi" w:hAnsiTheme="majorHAnsi" w:cstheme="majorHAnsi"/>
          <w:lang w:val="en-US"/>
        </w:rPr>
        <w:t>0.19-0.85).</w:t>
      </w:r>
    </w:p>
    <w:p w14:paraId="3A7A31F7" w14:textId="737FAF2A" w:rsidR="0019187D" w:rsidRPr="00F83441" w:rsidRDefault="0019187D" w:rsidP="0019187D">
      <w:pPr>
        <w:spacing w:line="240" w:lineRule="auto"/>
        <w:outlineLvl w:val="0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i/>
          <w:lang w:val="en-US"/>
        </w:rPr>
        <w:t>Baseline GABA</w:t>
      </w:r>
      <w:r w:rsidR="00DB7140" w:rsidRPr="00F83441">
        <w:rPr>
          <w:rFonts w:asciiTheme="majorHAnsi" w:hAnsiTheme="majorHAnsi" w:cstheme="majorHAnsi"/>
          <w:i/>
          <w:lang w:val="en-US"/>
        </w:rPr>
        <w:t xml:space="preserve"> levels in</w:t>
      </w:r>
      <w:r w:rsidRPr="00F83441">
        <w:rPr>
          <w:rFonts w:asciiTheme="majorHAnsi" w:hAnsiTheme="majorHAnsi" w:cstheme="majorHAnsi"/>
          <w:i/>
          <w:lang w:val="en-US"/>
        </w:rPr>
        <w:t xml:space="preserve"> IU in ACC</w:t>
      </w:r>
    </w:p>
    <w:p w14:paraId="4A209B1E" w14:textId="70634A78" w:rsidR="00574931" w:rsidRDefault="00574931" w:rsidP="00574931">
      <w:pPr>
        <w:spacing w:line="480" w:lineRule="auto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>For GABA levels in IU in ACC, there were no baseline differences between patients</w:t>
      </w:r>
      <w:r w:rsidR="009A3383" w:rsidRPr="00F83441">
        <w:rPr>
          <w:rFonts w:asciiTheme="majorHAnsi" w:hAnsiTheme="majorHAnsi" w:cstheme="majorHAnsi"/>
          <w:lang w:val="en-US"/>
        </w:rPr>
        <w:t xml:space="preserve"> not responding</w:t>
      </w:r>
      <w:r w:rsidRPr="00F83441">
        <w:rPr>
          <w:rFonts w:asciiTheme="majorHAnsi" w:hAnsiTheme="majorHAnsi" w:cstheme="majorHAnsi"/>
          <w:lang w:val="en-US"/>
        </w:rPr>
        <w:t xml:space="preserve"> </w:t>
      </w:r>
      <w:r w:rsidR="00461555" w:rsidRPr="00F83441">
        <w:rPr>
          <w:rFonts w:asciiTheme="majorHAnsi" w:hAnsiTheme="majorHAnsi" w:cstheme="majorHAnsi"/>
          <w:lang w:val="en-US"/>
        </w:rPr>
        <w:t xml:space="preserve">at 6 weeks or 26 weeks </w:t>
      </w:r>
      <w:r w:rsidRPr="00F83441">
        <w:rPr>
          <w:rFonts w:asciiTheme="majorHAnsi" w:hAnsiTheme="majorHAnsi" w:cstheme="majorHAnsi"/>
          <w:lang w:val="en-US"/>
        </w:rPr>
        <w:t>and HCs</w:t>
      </w:r>
      <w:r w:rsidR="00461555" w:rsidRPr="00F83441">
        <w:rPr>
          <w:rFonts w:asciiTheme="majorHAnsi" w:hAnsiTheme="majorHAnsi" w:cstheme="majorHAnsi"/>
          <w:lang w:val="en-US"/>
        </w:rPr>
        <w:t>,</w:t>
      </w:r>
      <w:r w:rsidRPr="00F83441">
        <w:rPr>
          <w:rFonts w:asciiTheme="majorHAnsi" w:hAnsiTheme="majorHAnsi" w:cstheme="majorHAnsi"/>
          <w:lang w:val="en-US"/>
        </w:rPr>
        <w:t xml:space="preserve"> </w:t>
      </w:r>
      <w:r w:rsidR="009A3383" w:rsidRPr="00F83441">
        <w:rPr>
          <w:rFonts w:asciiTheme="majorHAnsi" w:hAnsiTheme="majorHAnsi" w:cstheme="majorHAnsi"/>
          <w:lang w:val="en-US"/>
        </w:rPr>
        <w:t>n</w:t>
      </w:r>
      <w:r w:rsidRPr="00F83441">
        <w:rPr>
          <w:rFonts w:asciiTheme="majorHAnsi" w:hAnsiTheme="majorHAnsi" w:cstheme="majorHAnsi"/>
          <w:lang w:val="en-US"/>
        </w:rPr>
        <w:t>or between responder</w:t>
      </w:r>
      <w:r w:rsidR="009A3383" w:rsidRPr="00F83441">
        <w:rPr>
          <w:rFonts w:asciiTheme="majorHAnsi" w:hAnsiTheme="majorHAnsi" w:cstheme="majorHAnsi"/>
          <w:lang w:val="en-US"/>
        </w:rPr>
        <w:t>s</w:t>
      </w:r>
      <w:r w:rsidR="00461555" w:rsidRPr="00F83441">
        <w:rPr>
          <w:rFonts w:asciiTheme="majorHAnsi" w:hAnsiTheme="majorHAnsi" w:cstheme="majorHAnsi"/>
          <w:lang w:val="en-US"/>
        </w:rPr>
        <w:t xml:space="preserve"> at 6 weeks or 26 weeks</w:t>
      </w:r>
      <w:r w:rsidRPr="00F83441">
        <w:rPr>
          <w:rFonts w:asciiTheme="majorHAnsi" w:hAnsiTheme="majorHAnsi" w:cstheme="majorHAnsi"/>
          <w:lang w:val="en-US"/>
        </w:rPr>
        <w:t xml:space="preserve"> and HCs (</w:t>
      </w:r>
      <w:r w:rsidR="00641F38" w:rsidRPr="00F83441">
        <w:rPr>
          <w:rFonts w:asciiTheme="majorHAnsi" w:hAnsiTheme="majorHAnsi" w:cstheme="majorHAnsi"/>
          <w:lang w:val="en-US"/>
        </w:rPr>
        <w:t xml:space="preserve">Overall models: </w:t>
      </w:r>
      <w:r w:rsidR="00C2284D" w:rsidRPr="00F83441">
        <w:rPr>
          <w:rFonts w:asciiTheme="majorHAnsi" w:hAnsiTheme="majorHAnsi" w:cstheme="majorHAnsi"/>
          <w:lang w:val="en-US"/>
        </w:rPr>
        <w:t xml:space="preserve">p-values </w:t>
      </w:r>
      <w:r w:rsidR="00195128" w:rsidRPr="00F83441">
        <w:rPr>
          <w:rFonts w:asciiTheme="majorHAnsi" w:hAnsiTheme="majorHAnsi" w:cstheme="majorHAnsi"/>
          <w:lang w:val="en-US"/>
        </w:rPr>
        <w:t xml:space="preserve">with and without adjustment for age and sex: </w:t>
      </w:r>
      <w:r w:rsidRPr="00F83441">
        <w:rPr>
          <w:rFonts w:asciiTheme="majorHAnsi" w:hAnsiTheme="majorHAnsi" w:cstheme="majorHAnsi"/>
          <w:lang w:val="en-US"/>
        </w:rPr>
        <w:t>0.06-0.5</w:t>
      </w:r>
      <w:r w:rsidR="006D3F36" w:rsidRPr="00F83441">
        <w:rPr>
          <w:rFonts w:asciiTheme="majorHAnsi" w:hAnsiTheme="majorHAnsi" w:cstheme="majorHAnsi"/>
          <w:lang w:val="en-US"/>
        </w:rPr>
        <w:t>8</w:t>
      </w:r>
      <w:r w:rsidRPr="00F83441">
        <w:rPr>
          <w:rFonts w:asciiTheme="majorHAnsi" w:hAnsiTheme="majorHAnsi" w:cstheme="majorHAnsi"/>
          <w:lang w:val="en-US"/>
        </w:rPr>
        <w:t>).</w:t>
      </w:r>
    </w:p>
    <w:p w14:paraId="29D48230" w14:textId="77777777" w:rsidR="003824B3" w:rsidRDefault="003824B3" w:rsidP="00574931">
      <w:pPr>
        <w:spacing w:line="480" w:lineRule="auto"/>
        <w:outlineLvl w:val="0"/>
        <w:rPr>
          <w:rFonts w:asciiTheme="majorHAnsi" w:hAnsiTheme="majorHAnsi" w:cstheme="majorHAnsi"/>
          <w:lang w:val="en-US"/>
        </w:rPr>
      </w:pPr>
    </w:p>
    <w:p w14:paraId="2D32D4B1" w14:textId="77777777" w:rsidR="00195128" w:rsidRDefault="00195128" w:rsidP="00574931">
      <w:pPr>
        <w:spacing w:line="480" w:lineRule="auto"/>
        <w:outlineLvl w:val="0"/>
        <w:rPr>
          <w:rFonts w:asciiTheme="majorHAnsi" w:hAnsiTheme="majorHAnsi" w:cstheme="majorHAnsi"/>
          <w:lang w:val="en-US"/>
        </w:rPr>
      </w:pPr>
    </w:p>
    <w:p w14:paraId="121642CD" w14:textId="77777777" w:rsidR="00195128" w:rsidRDefault="00195128" w:rsidP="00574931">
      <w:pPr>
        <w:spacing w:line="480" w:lineRule="auto"/>
        <w:outlineLvl w:val="0"/>
        <w:rPr>
          <w:rFonts w:asciiTheme="majorHAnsi" w:hAnsiTheme="majorHAnsi" w:cstheme="majorHAnsi"/>
          <w:lang w:val="en-US"/>
        </w:rPr>
      </w:pPr>
    </w:p>
    <w:p w14:paraId="6D63DCC8" w14:textId="16999548" w:rsidR="00574931" w:rsidRPr="00F83441" w:rsidRDefault="00574931" w:rsidP="00574931">
      <w:pPr>
        <w:spacing w:line="480" w:lineRule="auto"/>
        <w:outlineLvl w:val="0"/>
        <w:rPr>
          <w:rFonts w:asciiTheme="majorHAnsi" w:hAnsiTheme="majorHAnsi" w:cstheme="majorHAnsi"/>
          <w:b/>
          <w:lang w:val="en-US"/>
        </w:rPr>
      </w:pPr>
      <w:r w:rsidRPr="00F83441">
        <w:rPr>
          <w:rFonts w:asciiTheme="majorHAnsi" w:hAnsiTheme="majorHAnsi" w:cstheme="majorHAnsi"/>
          <w:b/>
          <w:lang w:val="en-US"/>
        </w:rPr>
        <w:lastRenderedPageBreak/>
        <w:t xml:space="preserve">Baseline glutamate and GABA levels in IU and prediction of non-response </w:t>
      </w:r>
    </w:p>
    <w:p w14:paraId="0B46E844" w14:textId="289CE4DA" w:rsidR="00574931" w:rsidRPr="00F83441" w:rsidRDefault="00574931" w:rsidP="00574931">
      <w:pPr>
        <w:spacing w:line="240" w:lineRule="auto"/>
        <w:outlineLvl w:val="0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i/>
          <w:lang w:val="en-US"/>
        </w:rPr>
        <w:t xml:space="preserve">Predictive value of glutamate </w:t>
      </w:r>
      <w:r w:rsidR="00282AFE" w:rsidRPr="00F83441">
        <w:rPr>
          <w:rFonts w:asciiTheme="majorHAnsi" w:hAnsiTheme="majorHAnsi" w:cstheme="majorHAnsi"/>
          <w:i/>
          <w:lang w:val="en-US"/>
        </w:rPr>
        <w:t xml:space="preserve">levels in </w:t>
      </w:r>
      <w:r w:rsidRPr="00F83441">
        <w:rPr>
          <w:rFonts w:asciiTheme="majorHAnsi" w:hAnsiTheme="majorHAnsi" w:cstheme="majorHAnsi"/>
          <w:i/>
          <w:lang w:val="en-US"/>
        </w:rPr>
        <w:t>IU in left thalamus</w:t>
      </w:r>
    </w:p>
    <w:p w14:paraId="37BCC1AD" w14:textId="375EC390" w:rsidR="008D3C22" w:rsidRPr="00F83441" w:rsidRDefault="00574931" w:rsidP="00D66D74">
      <w:pPr>
        <w:spacing w:line="480" w:lineRule="auto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>Higher glutamate levels in IU were borderline significantly associated with the likelihood of being a non-responder at 26 weeks (p=0.05</w:t>
      </w:r>
      <w:r w:rsidR="00C20695" w:rsidRPr="00F83441">
        <w:rPr>
          <w:rFonts w:asciiTheme="majorHAnsi" w:hAnsiTheme="majorHAnsi" w:cstheme="majorHAnsi"/>
          <w:lang w:val="en-US"/>
        </w:rPr>
        <w:t>, b=0.92, SE=0.47, Wald χ</w:t>
      </w:r>
      <w:r w:rsidR="00C20695" w:rsidRPr="00F83441">
        <w:rPr>
          <w:rFonts w:asciiTheme="majorHAnsi" w:hAnsiTheme="majorHAnsi" w:cstheme="majorHAnsi"/>
          <w:vertAlign w:val="superscript"/>
          <w:lang w:val="en-US"/>
        </w:rPr>
        <w:t>2</w:t>
      </w:r>
      <w:r w:rsidR="00C20695" w:rsidRPr="00F83441">
        <w:rPr>
          <w:rFonts w:asciiTheme="majorHAnsi" w:hAnsiTheme="majorHAnsi" w:cstheme="majorHAnsi"/>
          <w:lang w:val="en-US"/>
        </w:rPr>
        <w:t>=</w:t>
      </w:r>
      <w:r w:rsidR="00F268D2" w:rsidRPr="00F83441">
        <w:rPr>
          <w:rFonts w:asciiTheme="majorHAnsi" w:hAnsiTheme="majorHAnsi" w:cstheme="majorHAnsi"/>
          <w:lang w:val="en-US"/>
        </w:rPr>
        <w:t>3.82</w:t>
      </w:r>
      <w:r w:rsidRPr="00F83441">
        <w:rPr>
          <w:rFonts w:asciiTheme="majorHAnsi" w:hAnsiTheme="majorHAnsi" w:cstheme="majorHAnsi"/>
          <w:lang w:val="en-US"/>
        </w:rPr>
        <w:t xml:space="preserve">) and significantly when adjusting for </w:t>
      </w:r>
      <w:r w:rsidR="00195128" w:rsidRPr="00F83441">
        <w:rPr>
          <w:rFonts w:asciiTheme="majorHAnsi" w:hAnsiTheme="majorHAnsi" w:cstheme="majorHAnsi"/>
          <w:lang w:val="en-US"/>
        </w:rPr>
        <w:t>age and sex</w:t>
      </w:r>
      <w:r w:rsidRPr="00F83441">
        <w:rPr>
          <w:rFonts w:asciiTheme="majorHAnsi" w:hAnsiTheme="majorHAnsi" w:cstheme="majorHAnsi"/>
          <w:lang w:val="en-US"/>
        </w:rPr>
        <w:t xml:space="preserve"> (p=0.034-0.049), but the association was not significant for non-responders at 6 weeks (p=0.28; after adjustment for </w:t>
      </w:r>
      <w:r w:rsidR="00195128" w:rsidRPr="00F83441">
        <w:rPr>
          <w:rFonts w:asciiTheme="majorHAnsi" w:hAnsiTheme="majorHAnsi" w:cstheme="majorHAnsi"/>
          <w:lang w:val="en-US"/>
        </w:rPr>
        <w:t>age and sex</w:t>
      </w:r>
      <w:r w:rsidRPr="00F83441">
        <w:rPr>
          <w:rFonts w:asciiTheme="majorHAnsi" w:hAnsiTheme="majorHAnsi" w:cstheme="majorHAnsi"/>
          <w:lang w:val="en-US"/>
        </w:rPr>
        <w:t xml:space="preserve">: p=0.20-0.32). </w:t>
      </w:r>
    </w:p>
    <w:p w14:paraId="19E5177A" w14:textId="7C026EEB" w:rsidR="00574931" w:rsidRPr="00F83441" w:rsidRDefault="00574931" w:rsidP="00574931">
      <w:pPr>
        <w:spacing w:after="0" w:line="480" w:lineRule="auto"/>
        <w:outlineLvl w:val="0"/>
        <w:rPr>
          <w:rFonts w:asciiTheme="majorHAnsi" w:hAnsiTheme="majorHAnsi" w:cstheme="majorHAnsi"/>
          <w:i/>
          <w:lang w:val="en-US"/>
        </w:rPr>
      </w:pPr>
      <w:r w:rsidRPr="00F83441">
        <w:rPr>
          <w:rFonts w:asciiTheme="majorHAnsi" w:hAnsiTheme="majorHAnsi" w:cstheme="majorHAnsi"/>
          <w:i/>
          <w:lang w:val="en-US"/>
        </w:rPr>
        <w:t xml:space="preserve">Predictive value of glutamate </w:t>
      </w:r>
      <w:r w:rsidR="00282AFE" w:rsidRPr="00F83441">
        <w:rPr>
          <w:rFonts w:asciiTheme="majorHAnsi" w:hAnsiTheme="majorHAnsi" w:cstheme="majorHAnsi"/>
          <w:i/>
          <w:lang w:val="en-US"/>
        </w:rPr>
        <w:t xml:space="preserve">levels in </w:t>
      </w:r>
      <w:r w:rsidR="00C2318A" w:rsidRPr="00F83441">
        <w:rPr>
          <w:rFonts w:asciiTheme="majorHAnsi" w:hAnsiTheme="majorHAnsi" w:cstheme="majorHAnsi"/>
          <w:i/>
          <w:lang w:val="en-US"/>
        </w:rPr>
        <w:t>IU</w:t>
      </w:r>
      <w:r w:rsidRPr="00F83441">
        <w:rPr>
          <w:rFonts w:asciiTheme="majorHAnsi" w:hAnsiTheme="majorHAnsi" w:cstheme="majorHAnsi"/>
          <w:i/>
          <w:lang w:val="en-US"/>
        </w:rPr>
        <w:t xml:space="preserve"> in ACC</w:t>
      </w:r>
    </w:p>
    <w:p w14:paraId="5D134788" w14:textId="05A6AB09" w:rsidR="00C2318A" w:rsidRPr="00F83441" w:rsidRDefault="00C2318A" w:rsidP="009D5061">
      <w:pPr>
        <w:spacing w:line="480" w:lineRule="auto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 xml:space="preserve">Glutamate levels in IU were not significantly associated with the likelihood of being a non-responder at 6 weeks (p=0.36) or at 26 weeks (p=0.84) and adjustment for </w:t>
      </w:r>
      <w:r w:rsidR="00195128" w:rsidRPr="00F83441">
        <w:rPr>
          <w:rFonts w:asciiTheme="majorHAnsi" w:hAnsiTheme="majorHAnsi" w:cstheme="majorHAnsi"/>
          <w:lang w:val="en-US"/>
        </w:rPr>
        <w:t>age and sex</w:t>
      </w:r>
      <w:r w:rsidRPr="00F83441">
        <w:rPr>
          <w:rFonts w:asciiTheme="majorHAnsi" w:hAnsiTheme="majorHAnsi" w:cstheme="majorHAnsi"/>
          <w:lang w:val="en-US"/>
        </w:rPr>
        <w:t xml:space="preserve"> did not change the result (p</w:t>
      </w:r>
      <w:r w:rsidRPr="00F83441">
        <w:rPr>
          <w:rFonts w:asciiTheme="majorHAnsi" w:hAnsiTheme="majorHAnsi" w:cstheme="majorHAnsi"/>
          <w:vertAlign w:val="subscript"/>
          <w:lang w:val="en-US"/>
        </w:rPr>
        <w:t>6 weeks</w:t>
      </w:r>
      <w:r w:rsidRPr="00F83441">
        <w:rPr>
          <w:rFonts w:asciiTheme="majorHAnsi" w:hAnsiTheme="majorHAnsi" w:cstheme="majorHAnsi"/>
          <w:lang w:val="en-US"/>
        </w:rPr>
        <w:t>=0.29 -0.55; p</w:t>
      </w:r>
      <w:r w:rsidRPr="00F83441">
        <w:rPr>
          <w:rFonts w:asciiTheme="majorHAnsi" w:hAnsiTheme="majorHAnsi" w:cstheme="majorHAnsi"/>
          <w:vertAlign w:val="subscript"/>
          <w:lang w:val="en-US"/>
        </w:rPr>
        <w:t>26 weeks</w:t>
      </w:r>
      <w:r w:rsidRPr="00F83441">
        <w:rPr>
          <w:rFonts w:asciiTheme="majorHAnsi" w:hAnsiTheme="majorHAnsi" w:cstheme="majorHAnsi"/>
          <w:lang w:val="en-US"/>
        </w:rPr>
        <w:t xml:space="preserve">=0.51-0.86). </w:t>
      </w:r>
    </w:p>
    <w:p w14:paraId="2760DC58" w14:textId="5B405C91" w:rsidR="009D5061" w:rsidRPr="00F83441" w:rsidRDefault="009D5061" w:rsidP="009D5061">
      <w:pPr>
        <w:spacing w:after="0" w:line="480" w:lineRule="auto"/>
        <w:outlineLvl w:val="0"/>
        <w:rPr>
          <w:rFonts w:asciiTheme="majorHAnsi" w:hAnsiTheme="majorHAnsi" w:cstheme="majorHAnsi"/>
          <w:i/>
          <w:lang w:val="en-US"/>
        </w:rPr>
      </w:pPr>
      <w:r w:rsidRPr="00F83441">
        <w:rPr>
          <w:rFonts w:asciiTheme="majorHAnsi" w:hAnsiTheme="majorHAnsi" w:cstheme="majorHAnsi"/>
          <w:i/>
          <w:lang w:val="en-US"/>
        </w:rPr>
        <w:t>Predictive value of GABA</w:t>
      </w:r>
      <w:r w:rsidR="00282AFE" w:rsidRPr="00F83441">
        <w:rPr>
          <w:rFonts w:asciiTheme="majorHAnsi" w:hAnsiTheme="majorHAnsi" w:cstheme="majorHAnsi"/>
          <w:i/>
          <w:lang w:val="en-US"/>
        </w:rPr>
        <w:t xml:space="preserve"> levels in</w:t>
      </w:r>
      <w:r w:rsidRPr="00F83441">
        <w:rPr>
          <w:rFonts w:asciiTheme="majorHAnsi" w:hAnsiTheme="majorHAnsi" w:cstheme="majorHAnsi"/>
          <w:i/>
          <w:lang w:val="en-US"/>
        </w:rPr>
        <w:t xml:space="preserve"> </w:t>
      </w:r>
      <w:r w:rsidR="005D7C11" w:rsidRPr="00F83441">
        <w:rPr>
          <w:rFonts w:asciiTheme="majorHAnsi" w:hAnsiTheme="majorHAnsi" w:cstheme="majorHAnsi"/>
          <w:i/>
          <w:lang w:val="en-US"/>
        </w:rPr>
        <w:t>IU</w:t>
      </w:r>
      <w:r w:rsidRPr="00F83441">
        <w:rPr>
          <w:rFonts w:asciiTheme="majorHAnsi" w:hAnsiTheme="majorHAnsi" w:cstheme="majorHAnsi"/>
          <w:i/>
          <w:lang w:val="en-US"/>
        </w:rPr>
        <w:t xml:space="preserve"> in ACC</w:t>
      </w:r>
    </w:p>
    <w:p w14:paraId="289EDF1E" w14:textId="2A87EB7E" w:rsidR="009D5061" w:rsidRDefault="009D5061" w:rsidP="009D5061">
      <w:pPr>
        <w:spacing w:line="480" w:lineRule="auto"/>
        <w:rPr>
          <w:rFonts w:asciiTheme="majorHAnsi" w:hAnsiTheme="majorHAnsi" w:cstheme="majorHAnsi"/>
          <w:lang w:val="en-US"/>
        </w:rPr>
      </w:pPr>
      <w:r w:rsidRPr="00F83441">
        <w:rPr>
          <w:rFonts w:asciiTheme="majorHAnsi" w:hAnsiTheme="majorHAnsi" w:cstheme="majorHAnsi"/>
          <w:lang w:val="en-US"/>
        </w:rPr>
        <w:t xml:space="preserve">GABA levels in IU were not significantly associated with the likelihood of being a non-responder at 6 weeks (p=0.36) or at 26 weeks (p=0.24) and adjustment for </w:t>
      </w:r>
      <w:r w:rsidR="00FB15FE" w:rsidRPr="00F83441">
        <w:rPr>
          <w:rFonts w:asciiTheme="majorHAnsi" w:hAnsiTheme="majorHAnsi" w:cstheme="majorHAnsi"/>
          <w:lang w:val="en-US"/>
        </w:rPr>
        <w:t>age and sex</w:t>
      </w:r>
      <w:r w:rsidRPr="00F83441">
        <w:rPr>
          <w:rFonts w:asciiTheme="majorHAnsi" w:hAnsiTheme="majorHAnsi" w:cstheme="majorHAnsi"/>
          <w:lang w:val="en-US"/>
        </w:rPr>
        <w:t xml:space="preserve"> did not change the result (p</w:t>
      </w:r>
      <w:r w:rsidRPr="00F83441">
        <w:rPr>
          <w:rFonts w:asciiTheme="majorHAnsi" w:hAnsiTheme="majorHAnsi" w:cstheme="majorHAnsi"/>
          <w:vertAlign w:val="subscript"/>
          <w:lang w:val="en-US"/>
        </w:rPr>
        <w:t>6 weeks</w:t>
      </w:r>
      <w:r w:rsidRPr="00F83441">
        <w:rPr>
          <w:rFonts w:asciiTheme="majorHAnsi" w:hAnsiTheme="majorHAnsi" w:cstheme="majorHAnsi"/>
          <w:lang w:val="en-US"/>
        </w:rPr>
        <w:t>=0.34 -0.43; p</w:t>
      </w:r>
      <w:r w:rsidRPr="00F83441">
        <w:rPr>
          <w:rFonts w:asciiTheme="majorHAnsi" w:hAnsiTheme="majorHAnsi" w:cstheme="majorHAnsi"/>
          <w:vertAlign w:val="subscript"/>
          <w:lang w:val="en-US"/>
        </w:rPr>
        <w:t>26 weeks</w:t>
      </w:r>
      <w:r w:rsidRPr="00F83441">
        <w:rPr>
          <w:rFonts w:asciiTheme="majorHAnsi" w:hAnsiTheme="majorHAnsi" w:cstheme="majorHAnsi"/>
          <w:lang w:val="en-US"/>
        </w:rPr>
        <w:t>=0.18-0.37).</w:t>
      </w:r>
      <w:r>
        <w:rPr>
          <w:rFonts w:asciiTheme="majorHAnsi" w:hAnsiTheme="majorHAnsi" w:cstheme="majorHAnsi"/>
          <w:lang w:val="en-US"/>
        </w:rPr>
        <w:t xml:space="preserve"> </w:t>
      </w:r>
    </w:p>
    <w:p w14:paraId="6B5CE08E" w14:textId="77777777" w:rsidR="00FB15FE" w:rsidRDefault="00FB15FE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651F8D1D" w14:textId="77777777" w:rsidR="00FB15FE" w:rsidRDefault="00FB15FE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0675702C" w14:textId="77777777" w:rsidR="00FB15FE" w:rsidRDefault="00FB15FE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625D0B45" w14:textId="77777777" w:rsidR="00FB15FE" w:rsidRDefault="00FB15FE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26863441" w14:textId="77777777" w:rsidR="00FB15FE" w:rsidRDefault="00FB15FE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058F6175" w14:textId="77777777" w:rsidR="00FB15FE" w:rsidRDefault="00FB15FE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2C2CCD03" w14:textId="77777777" w:rsidR="00641F38" w:rsidRDefault="00641F38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</w:p>
    <w:p w14:paraId="73403F8F" w14:textId="6C9B45C5" w:rsidR="00F45CCC" w:rsidRPr="00590F53" w:rsidRDefault="00914D98" w:rsidP="001208D8">
      <w:pPr>
        <w:spacing w:line="480" w:lineRule="auto"/>
        <w:outlineLvl w:val="0"/>
        <w:rPr>
          <w:rFonts w:ascii="Cambria" w:hAnsi="Cambria"/>
          <w:b/>
          <w:sz w:val="24"/>
          <w:szCs w:val="24"/>
        </w:rPr>
      </w:pPr>
      <w:r w:rsidRPr="00590F53">
        <w:rPr>
          <w:rFonts w:ascii="Cambria" w:hAnsi="Cambria"/>
          <w:b/>
          <w:sz w:val="24"/>
          <w:szCs w:val="24"/>
        </w:rPr>
        <w:lastRenderedPageBreak/>
        <w:t>References</w:t>
      </w:r>
    </w:p>
    <w:p w14:paraId="2378DB0E" w14:textId="30C74847" w:rsidR="00573906" w:rsidRPr="00573906" w:rsidRDefault="00071037" w:rsidP="00BB6416">
      <w:pPr>
        <w:pStyle w:val="EndNoteBibliography"/>
        <w:spacing w:after="0"/>
      </w:pPr>
      <w:r w:rsidRPr="004328EA">
        <w:rPr>
          <w:noProof w:val="0"/>
          <w:lang w:val="en-GB"/>
        </w:rPr>
        <w:fldChar w:fldCharType="begin"/>
      </w:r>
      <w:r w:rsidRPr="00590F53">
        <w:rPr>
          <w:noProof w:val="0"/>
          <w:lang w:val="en-GB"/>
        </w:rPr>
        <w:instrText xml:space="preserve"> ADDIN EN.REFLIST </w:instrText>
      </w:r>
      <w:r w:rsidRPr="004328EA">
        <w:rPr>
          <w:noProof w:val="0"/>
          <w:lang w:val="en-GB"/>
        </w:rPr>
        <w:fldChar w:fldCharType="separate"/>
      </w:r>
      <w:r w:rsidR="00573906" w:rsidRPr="00573906">
        <w:rPr>
          <w:b/>
        </w:rPr>
        <w:t xml:space="preserve">Andreasen, N. C., Carpenter, W. T., Jr., Kane, J. M., Lasser, R. A., Marder, S. R. &amp; Weinberger, D. R. </w:t>
      </w:r>
      <w:r w:rsidR="00573906" w:rsidRPr="00573906">
        <w:t xml:space="preserve">(2005). Remission in schizophrenia: proposed criteria and rationale for consensus. </w:t>
      </w:r>
      <w:r w:rsidR="00573906" w:rsidRPr="00BB6416">
        <w:t>Am</w:t>
      </w:r>
      <w:r w:rsidR="00BB6416" w:rsidRPr="00BB6416">
        <w:t>erican</w:t>
      </w:r>
      <w:r w:rsidR="00573906" w:rsidRPr="00BB6416">
        <w:t xml:space="preserve"> J</w:t>
      </w:r>
      <w:r w:rsidR="00BB6416" w:rsidRPr="00BB6416">
        <w:t>ournal of</w:t>
      </w:r>
      <w:r w:rsidR="00573906" w:rsidRPr="00BB6416">
        <w:t xml:space="preserve"> Psychiatry</w:t>
      </w:r>
      <w:r w:rsidR="00573906" w:rsidRPr="00573906">
        <w:t xml:space="preserve"> </w:t>
      </w:r>
      <w:r w:rsidR="00573906" w:rsidRPr="00BB6416">
        <w:t>162</w:t>
      </w:r>
      <w:r w:rsidR="00573906" w:rsidRPr="00573906">
        <w:t>, 441-9.</w:t>
      </w:r>
    </w:p>
    <w:p w14:paraId="783AD129" w14:textId="53E4E48B" w:rsidR="00573906" w:rsidRPr="00BB6416" w:rsidRDefault="00573906" w:rsidP="00BB6416">
      <w:pPr>
        <w:spacing w:after="0" w:line="240" w:lineRule="auto"/>
        <w:rPr>
          <w:lang w:val="en-US"/>
        </w:rPr>
      </w:pPr>
      <w:r w:rsidRPr="00573906">
        <w:rPr>
          <w:b/>
        </w:rPr>
        <w:t xml:space="preserve">Edden, R. A., Puts, N. A., Harris, A. D., Barker, P. B. &amp; Evans, C. J. </w:t>
      </w:r>
      <w:r w:rsidRPr="00573906">
        <w:t xml:space="preserve">(2014). Gannet: A batch-processing tool for the quantitative analysis of gamma-aminobutyric acid-edited MR spectroscopy spectra. </w:t>
      </w:r>
      <w:r w:rsidR="00BB6416">
        <w:rPr>
          <w:lang w:val="en-US"/>
        </w:rPr>
        <w:t>Journal of Magnetic Resonance Imaging</w:t>
      </w:r>
      <w:r w:rsidRPr="004E2BBD">
        <w:rPr>
          <w:lang w:val="da-DK"/>
        </w:rPr>
        <w:t xml:space="preserve"> </w:t>
      </w:r>
      <w:r w:rsidRPr="00BB6416">
        <w:rPr>
          <w:lang w:val="da-DK"/>
        </w:rPr>
        <w:t>40</w:t>
      </w:r>
      <w:r w:rsidRPr="004E2BBD">
        <w:rPr>
          <w:lang w:val="da-DK"/>
        </w:rPr>
        <w:t>, 1445-52.</w:t>
      </w:r>
    </w:p>
    <w:p w14:paraId="0CEC7453" w14:textId="028D54A7" w:rsidR="00573906" w:rsidRPr="00573906" w:rsidRDefault="00573906" w:rsidP="00BB6416">
      <w:pPr>
        <w:pStyle w:val="EndNoteBibliography"/>
        <w:spacing w:after="0"/>
      </w:pPr>
      <w:r w:rsidRPr="004E2BBD">
        <w:rPr>
          <w:b/>
          <w:lang w:val="da-DK"/>
        </w:rPr>
        <w:t xml:space="preserve">Jessen, K., Mandl, R. C. W., Fagerlund, B., Bojesen, K. B., Raghava, J. M., Obaid, H. G., Jensen, M. B., Johansen, L. B., Nielsen, M. O., Pantelis, C., Rostrup, E., Glenthoj, B. Y. &amp; Ebdrup, B. H. </w:t>
      </w:r>
      <w:r w:rsidRPr="004E2BBD">
        <w:rPr>
          <w:lang w:val="da-DK"/>
        </w:rPr>
        <w:t xml:space="preserve">(2018). </w:t>
      </w:r>
      <w:r w:rsidRPr="00573906">
        <w:t xml:space="preserve">Patterns of Cortical Structures and Cognition in Antipsychotic-Naive Patients With First-Episode Schizophrenia: A Partial Least Squares Correlation Analysis. </w:t>
      </w:r>
      <w:r w:rsidRPr="00BB6416">
        <w:t>Biol</w:t>
      </w:r>
      <w:r w:rsidR="00BB6416" w:rsidRPr="00BB6416">
        <w:t>ogical</w:t>
      </w:r>
      <w:r w:rsidRPr="00BB6416">
        <w:t xml:space="preserve"> Psychiatry</w:t>
      </w:r>
      <w:r w:rsidR="00BB6416">
        <w:t>:</w:t>
      </w:r>
      <w:r w:rsidRPr="00BB6416">
        <w:t xml:space="preserve"> Cogn</w:t>
      </w:r>
      <w:r w:rsidR="00BB6416" w:rsidRPr="00BB6416">
        <w:t>itive</w:t>
      </w:r>
      <w:r w:rsidRPr="00BB6416">
        <w:t xml:space="preserve"> Neurosci</w:t>
      </w:r>
      <w:r w:rsidR="00BB6416" w:rsidRPr="00BB6416">
        <w:t>ence</w:t>
      </w:r>
      <w:r w:rsidR="00BB6416">
        <w:t xml:space="preserve"> and</w:t>
      </w:r>
      <w:r w:rsidRPr="00BB6416">
        <w:t xml:space="preserve"> Neuroimaging</w:t>
      </w:r>
      <w:r w:rsidRPr="00573906">
        <w:t>.</w:t>
      </w:r>
    </w:p>
    <w:p w14:paraId="737B895F" w14:textId="5A9E23C4" w:rsidR="00573906" w:rsidRPr="004E2BBD" w:rsidRDefault="00573906" w:rsidP="00BB6416">
      <w:pPr>
        <w:pStyle w:val="EndNoteBibliography"/>
        <w:spacing w:after="0"/>
        <w:rPr>
          <w:lang w:val="da-DK"/>
        </w:rPr>
      </w:pPr>
      <w:r w:rsidRPr="00573906">
        <w:rPr>
          <w:b/>
        </w:rPr>
        <w:t xml:space="preserve">Provencher, S. W. </w:t>
      </w:r>
      <w:r w:rsidRPr="00573906">
        <w:t xml:space="preserve">(1993). Estimation of metabolite concentrations from localized in vivo proton NMR spectra. </w:t>
      </w:r>
      <w:r w:rsidR="00BB6416">
        <w:t>Magnetic Resonance in Medicine</w:t>
      </w:r>
      <w:r w:rsidRPr="004E2BBD">
        <w:rPr>
          <w:lang w:val="da-DK"/>
        </w:rPr>
        <w:t xml:space="preserve"> </w:t>
      </w:r>
      <w:r w:rsidRPr="00BB6416">
        <w:rPr>
          <w:lang w:val="da-DK"/>
        </w:rPr>
        <w:t>30</w:t>
      </w:r>
      <w:r w:rsidRPr="004E2BBD">
        <w:rPr>
          <w:lang w:val="da-DK"/>
        </w:rPr>
        <w:t>, 672-9.</w:t>
      </w:r>
    </w:p>
    <w:p w14:paraId="240E0757" w14:textId="6AE12959" w:rsidR="00573906" w:rsidRPr="00573906" w:rsidRDefault="00573906" w:rsidP="00BB6416">
      <w:pPr>
        <w:pStyle w:val="EndNoteBibliography"/>
        <w:spacing w:after="0"/>
      </w:pPr>
      <w:r w:rsidRPr="004E2BBD">
        <w:rPr>
          <w:b/>
          <w:lang w:val="da-DK"/>
        </w:rPr>
        <w:t xml:space="preserve">Stone, J. M., Dietrich, C., Edden, R., Mehta, M. A., De Simoni, S., Reed, L. J., Krystal, J. H., Nutt, D. &amp; Barker, G. J. </w:t>
      </w:r>
      <w:r w:rsidRPr="004E2BBD">
        <w:rPr>
          <w:lang w:val="da-DK"/>
        </w:rPr>
        <w:t xml:space="preserve">(2012). </w:t>
      </w:r>
      <w:r w:rsidRPr="00573906">
        <w:t xml:space="preserve">Ketamine effects on brain GABA and glutamate levels with 1H-MRS: relationship to ketamine-induced psychopathology. </w:t>
      </w:r>
      <w:r w:rsidRPr="00BB6416">
        <w:t>Mol</w:t>
      </w:r>
      <w:r w:rsidR="00BB6416" w:rsidRPr="00BB6416">
        <w:t>ecular</w:t>
      </w:r>
      <w:r w:rsidRPr="00BB6416">
        <w:t xml:space="preserve"> Psychiatry</w:t>
      </w:r>
      <w:r w:rsidRPr="00573906">
        <w:t xml:space="preserve"> </w:t>
      </w:r>
      <w:r w:rsidRPr="00BB6416">
        <w:t>17</w:t>
      </w:r>
      <w:r w:rsidRPr="00573906">
        <w:t>, 664-5.</w:t>
      </w:r>
    </w:p>
    <w:p w14:paraId="4EB3C496" w14:textId="3FC700F7" w:rsidR="00573906" w:rsidRPr="00BB6416" w:rsidRDefault="00573906" w:rsidP="00BB6416">
      <w:pPr>
        <w:spacing w:line="240" w:lineRule="auto"/>
        <w:rPr>
          <w:lang w:val="en-US"/>
        </w:rPr>
      </w:pPr>
      <w:r w:rsidRPr="00573906">
        <w:rPr>
          <w:b/>
        </w:rPr>
        <w:t xml:space="preserve">Yung, A. R., Phillips, L. J., McGorry, P. D., McFarlane, C. A., Francey, S., Harrigan, S., Patton, G. C. &amp; Jackson, H. J. </w:t>
      </w:r>
      <w:r w:rsidRPr="00573906">
        <w:t xml:space="preserve">(1998). Prediction of psychosis. A step towards indicated prevention of schizophrenia. </w:t>
      </w:r>
      <w:r w:rsidR="00BB6416">
        <w:rPr>
          <w:lang w:val="en-US"/>
        </w:rPr>
        <w:t>British Journal of Psychiatry</w:t>
      </w:r>
      <w:r w:rsidRPr="00573906">
        <w:rPr>
          <w:i/>
        </w:rPr>
        <w:t xml:space="preserve"> </w:t>
      </w:r>
      <w:r w:rsidRPr="00BB6416">
        <w:t>Suppl</w:t>
      </w:r>
      <w:r w:rsidR="00BB6416" w:rsidRPr="00BB6416">
        <w:t>ement</w:t>
      </w:r>
      <w:r w:rsidRPr="00BB6416">
        <w:t xml:space="preserve"> 172</w:t>
      </w:r>
      <w:r w:rsidRPr="00573906">
        <w:t>, 14-20.</w:t>
      </w:r>
      <w:bookmarkStart w:id="0" w:name="_GoBack"/>
      <w:bookmarkEnd w:id="0"/>
    </w:p>
    <w:p w14:paraId="01A3C785" w14:textId="2A104F02" w:rsidR="00F35528" w:rsidRDefault="00071037" w:rsidP="00BB6416">
      <w:pPr>
        <w:spacing w:line="240" w:lineRule="auto"/>
        <w:rPr>
          <w:rFonts w:ascii="Times New Roman" w:hAnsi="Times New Roman"/>
          <w:sz w:val="20"/>
          <w:szCs w:val="20"/>
        </w:rPr>
      </w:pPr>
      <w:r w:rsidRPr="004328EA">
        <w:fldChar w:fldCharType="end"/>
      </w:r>
    </w:p>
    <w:p w14:paraId="0329E6F4" w14:textId="77777777" w:rsidR="00F35528" w:rsidRDefault="00F35528" w:rsidP="007708E0">
      <w:pPr>
        <w:spacing w:line="240" w:lineRule="auto"/>
        <w:rPr>
          <w:rFonts w:ascii="Times New Roman" w:hAnsi="Times New Roman"/>
        </w:rPr>
        <w:sectPr w:rsidR="00F35528">
          <w:headerReference w:type="default" r:id="rId9"/>
          <w:footerReference w:type="even" r:id="rId10"/>
          <w:foot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98DC381" w14:textId="77777777" w:rsidR="00F35528" w:rsidRPr="00826EA3" w:rsidRDefault="00F35528" w:rsidP="001208D8">
      <w:pPr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 xml:space="preserve">1. Diagnoses and side effects  </w:t>
      </w: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1678"/>
        <w:gridCol w:w="1701"/>
        <w:gridCol w:w="1843"/>
        <w:gridCol w:w="3685"/>
      </w:tblGrid>
      <w:tr w:rsidR="00F35528" w:rsidRPr="00590F53" w14:paraId="0FEBD29A" w14:textId="77777777" w:rsidTr="00590F53">
        <w:trPr>
          <w:trHeight w:val="272"/>
        </w:trPr>
        <w:tc>
          <w:tcPr>
            <w:tcW w:w="3426" w:type="dxa"/>
            <w:tcBorders>
              <w:top w:val="single" w:sz="18" w:space="0" w:color="auto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4E921F4A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single" w:sz="18" w:space="0" w:color="auto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56C728EE" w14:textId="77777777" w:rsidR="00F35528" w:rsidRPr="00590F53" w:rsidRDefault="00D67E0F" w:rsidP="00590F53">
            <w:pPr>
              <w:spacing w:after="0" w:line="240" w:lineRule="auto"/>
              <w:jc w:val="center"/>
              <w:rPr>
                <w:b/>
              </w:rPr>
            </w:pPr>
            <w:r w:rsidRPr="00590F53">
              <w:rPr>
                <w:b/>
              </w:rPr>
              <w:t>Baseline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317A2481" w14:textId="5C3D0A6D" w:rsidR="00F35528" w:rsidRPr="00590F53" w:rsidRDefault="006B0FE6" w:rsidP="00590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35D72DE0" w14:textId="49BBC097" w:rsidR="00F35528" w:rsidRPr="00590F53" w:rsidRDefault="006B0FE6" w:rsidP="00590F53">
            <w:pPr>
              <w:spacing w:after="0" w:line="240" w:lineRule="auto"/>
              <w:jc w:val="center"/>
            </w:pPr>
            <w:r>
              <w:rPr>
                <w:b/>
              </w:rPr>
              <w:t>26 weeks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1B07A905" w14:textId="5B796091" w:rsidR="00F35528" w:rsidRPr="00590F53" w:rsidRDefault="00F35528" w:rsidP="00EA5823">
            <w:pPr>
              <w:spacing w:after="0" w:line="240" w:lineRule="auto"/>
              <w:jc w:val="center"/>
              <w:rPr>
                <w:b/>
              </w:rPr>
            </w:pPr>
            <w:r w:rsidRPr="00590F53">
              <w:rPr>
                <w:b/>
              </w:rPr>
              <w:t xml:space="preserve">Statistics </w:t>
            </w:r>
            <w:r w:rsidRPr="00590F53">
              <w:rPr>
                <w:b/>
              </w:rPr>
              <w:br/>
            </w:r>
            <w:r w:rsidRPr="00590F53">
              <w:t>(</w:t>
            </w:r>
            <w:r w:rsidR="00EA5823">
              <w:t>B</w:t>
            </w:r>
            <w:r w:rsidRPr="00590F53">
              <w:t xml:space="preserve">aseline vs </w:t>
            </w:r>
            <w:r w:rsidR="006B0FE6">
              <w:t>6</w:t>
            </w:r>
            <w:r w:rsidRPr="00590F53">
              <w:t xml:space="preserve"> and </w:t>
            </w:r>
            <w:r w:rsidR="006B0FE6">
              <w:t>2</w:t>
            </w:r>
            <w:r w:rsidR="0090405F" w:rsidRPr="00590F53">
              <w:t>6</w:t>
            </w:r>
            <w:r w:rsidRPr="00590F53">
              <w:t xml:space="preserve"> </w:t>
            </w:r>
            <w:r w:rsidR="006B0FE6">
              <w:t>weeks</w:t>
            </w:r>
            <w:r w:rsidRPr="00590F53">
              <w:t>)</w:t>
            </w:r>
          </w:p>
        </w:tc>
      </w:tr>
      <w:tr w:rsidR="00F35528" w:rsidRPr="00590F53" w14:paraId="6A837E27" w14:textId="77777777" w:rsidTr="00590F53">
        <w:trPr>
          <w:trHeight w:val="272"/>
        </w:trPr>
        <w:tc>
          <w:tcPr>
            <w:tcW w:w="3426" w:type="dxa"/>
            <w:tcBorders>
              <w:top w:val="single" w:sz="1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4FB10BF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>Diagnosis, n</w:t>
            </w:r>
          </w:p>
          <w:p w14:paraId="0EBE4F13" w14:textId="77777777" w:rsidR="00F35528" w:rsidRPr="00590F53" w:rsidRDefault="00F35528" w:rsidP="00590F53">
            <w:pPr>
              <w:spacing w:after="0" w:line="240" w:lineRule="auto"/>
            </w:pPr>
            <w:r w:rsidRPr="00590F53">
              <w:t>Schizophrenia</w:t>
            </w:r>
          </w:p>
          <w:p w14:paraId="35EC3DA8" w14:textId="77777777" w:rsidR="00F35528" w:rsidRPr="00590F53" w:rsidRDefault="00F35528" w:rsidP="00590F53">
            <w:pPr>
              <w:spacing w:after="0" w:line="240" w:lineRule="auto"/>
            </w:pPr>
            <w:r w:rsidRPr="00590F53">
              <w:t xml:space="preserve">    Undifferentiated</w:t>
            </w:r>
          </w:p>
          <w:p w14:paraId="430620E2" w14:textId="77777777" w:rsidR="00F35528" w:rsidRPr="00590F53" w:rsidRDefault="00F35528" w:rsidP="00590F53">
            <w:pPr>
              <w:spacing w:after="0" w:line="240" w:lineRule="auto"/>
            </w:pPr>
            <w:r w:rsidRPr="00590F53">
              <w:t xml:space="preserve">    Paranoid</w:t>
            </w:r>
          </w:p>
          <w:p w14:paraId="5D28698C" w14:textId="77777777" w:rsidR="00F35528" w:rsidRPr="00590F53" w:rsidRDefault="00F35528" w:rsidP="00590F53">
            <w:pPr>
              <w:spacing w:after="0" w:line="240" w:lineRule="auto"/>
            </w:pPr>
            <w:r w:rsidRPr="00590F53">
              <w:t xml:space="preserve">    Disorganised</w:t>
            </w:r>
          </w:p>
          <w:p w14:paraId="72660BD4" w14:textId="77777777" w:rsidR="00F35528" w:rsidRPr="00590F53" w:rsidRDefault="00F35528" w:rsidP="00590F53">
            <w:pPr>
              <w:spacing w:after="0" w:line="240" w:lineRule="auto"/>
            </w:pPr>
            <w:r w:rsidRPr="00590F53">
              <w:t xml:space="preserve">    Simplex</w:t>
            </w:r>
          </w:p>
          <w:p w14:paraId="4FE0BA67" w14:textId="77777777" w:rsidR="00F35528" w:rsidRPr="00590F53" w:rsidRDefault="00F35528" w:rsidP="00590F53">
            <w:pPr>
              <w:spacing w:after="0" w:line="240" w:lineRule="auto"/>
            </w:pPr>
            <w:r w:rsidRPr="00590F53">
              <w:t>Schizoaffective, depressive</w:t>
            </w:r>
          </w:p>
          <w:p w14:paraId="7B5BDAF4" w14:textId="77777777" w:rsidR="00F35528" w:rsidRPr="00590F53" w:rsidRDefault="00F35528" w:rsidP="00590F53">
            <w:pPr>
              <w:spacing w:line="240" w:lineRule="auto"/>
            </w:pPr>
            <w:r w:rsidRPr="00590F53">
              <w:t>Non-organic psychosis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DEBC52B" w14:textId="77777777" w:rsidR="00F35528" w:rsidRPr="00590F53" w:rsidRDefault="00F35528" w:rsidP="00590F53">
            <w:pPr>
              <w:spacing w:after="0" w:line="240" w:lineRule="auto"/>
            </w:pPr>
          </w:p>
          <w:p w14:paraId="28F7C648" w14:textId="77777777" w:rsidR="00F35528" w:rsidRPr="00590F53" w:rsidRDefault="00F35528" w:rsidP="00590F53">
            <w:pPr>
              <w:spacing w:after="0" w:line="240" w:lineRule="auto"/>
            </w:pPr>
          </w:p>
          <w:p w14:paraId="447E92D2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11</w:t>
            </w:r>
          </w:p>
          <w:p w14:paraId="46D353E3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23</w:t>
            </w:r>
          </w:p>
          <w:p w14:paraId="3445FDE3" w14:textId="77777777" w:rsidR="00F35528" w:rsidRPr="00590F53" w:rsidRDefault="00F35528" w:rsidP="00590F53">
            <w:pPr>
              <w:spacing w:after="0" w:line="240" w:lineRule="auto"/>
            </w:pPr>
            <w:r w:rsidRPr="00590F53">
              <w:t>4</w:t>
            </w:r>
          </w:p>
          <w:p w14:paraId="7C29BFCF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</w:t>
            </w:r>
          </w:p>
          <w:p w14:paraId="68B059F0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</w:t>
            </w:r>
          </w:p>
          <w:p w14:paraId="50774233" w14:textId="77777777" w:rsidR="00F35528" w:rsidRPr="00590F53" w:rsidRDefault="00F35528" w:rsidP="00590F53">
            <w:pPr>
              <w:spacing w:after="0" w:line="240" w:lineRule="auto"/>
            </w:pPr>
            <w:r w:rsidRPr="00590F53"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A337B98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4191A42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1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2113DFB" w14:textId="77777777" w:rsidR="00F35528" w:rsidRPr="00590F53" w:rsidRDefault="00F35528" w:rsidP="00590F53">
            <w:pPr>
              <w:spacing w:after="0" w:line="240" w:lineRule="auto"/>
            </w:pPr>
          </w:p>
        </w:tc>
      </w:tr>
      <w:tr w:rsidR="00F35528" w:rsidRPr="00590F53" w14:paraId="0055F332" w14:textId="77777777" w:rsidTr="00590F53">
        <w:trPr>
          <w:trHeight w:val="27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18B924F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>UKU side effects, mean ± SD: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278C001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1D6AE85E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9611752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CC86EF9" w14:textId="77777777" w:rsidR="00F35528" w:rsidRPr="00590F53" w:rsidRDefault="00F35528" w:rsidP="00590F53">
            <w:pPr>
              <w:spacing w:after="0" w:line="240" w:lineRule="auto"/>
              <w:rPr>
                <w:u w:val="single"/>
              </w:rPr>
            </w:pPr>
          </w:p>
        </w:tc>
      </w:tr>
      <w:tr w:rsidR="00F35528" w:rsidRPr="00590F53" w14:paraId="01F8F3B7" w14:textId="77777777" w:rsidTr="00590F53">
        <w:trPr>
          <w:trHeight w:val="32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C5F6322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 xml:space="preserve">    Total score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26B025D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29.1 ± 15.1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E46B17C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19.5 ± 7.8</w:t>
            </w:r>
            <w:r w:rsidRPr="00590F53">
              <w:rPr>
                <w:b/>
              </w:rPr>
              <w:t>***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91393B9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17.1 ± 9.6</w:t>
            </w:r>
            <w:r w:rsidRPr="00590F53">
              <w:rPr>
                <w:b/>
              </w:rPr>
              <w:t>***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F170A75" w14:textId="77777777" w:rsidR="00F35528" w:rsidRPr="00590F53" w:rsidRDefault="00F35528" w:rsidP="00590F53">
            <w:pPr>
              <w:spacing w:after="0" w:line="240" w:lineRule="auto"/>
            </w:pPr>
            <w:proofErr w:type="gramStart"/>
            <w:r w:rsidRPr="00590F53">
              <w:t>F(</w:t>
            </w:r>
            <w:proofErr w:type="gramEnd"/>
            <w:r w:rsidRPr="00590F53">
              <w:t>2,27.5)=12.74, p&lt;0.0001</w:t>
            </w:r>
            <w:r w:rsidRPr="00590F53">
              <w:rPr>
                <w:b/>
                <w:vertAlign w:val="superscript"/>
              </w:rPr>
              <w:t>A</w:t>
            </w:r>
          </w:p>
        </w:tc>
      </w:tr>
      <w:tr w:rsidR="00F35528" w:rsidRPr="00590F53" w14:paraId="4AE980CC" w14:textId="77777777" w:rsidTr="00590F53">
        <w:trPr>
          <w:trHeight w:val="27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6AA525A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 xml:space="preserve">    Psychiatric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F261A3F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14.4 ± 5.7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3C99B4F" w14:textId="77777777" w:rsidR="00F35528" w:rsidRPr="00590F53" w:rsidRDefault="00F35528" w:rsidP="00590F53">
            <w:pPr>
              <w:spacing w:after="0" w:line="240" w:lineRule="auto"/>
            </w:pPr>
            <w:r w:rsidRPr="00590F53">
              <w:t>9.7 ± 3.8</w:t>
            </w:r>
            <w:r w:rsidRPr="00590F53">
              <w:rPr>
                <w:b/>
              </w:rPr>
              <w:t>***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857F6EC" w14:textId="77777777" w:rsidR="00F35528" w:rsidRPr="00590F53" w:rsidRDefault="00F35528" w:rsidP="00590F53">
            <w:pPr>
              <w:spacing w:after="0" w:line="240" w:lineRule="auto"/>
            </w:pPr>
            <w:r w:rsidRPr="00590F53">
              <w:t>8.6 ± 5.3</w:t>
            </w:r>
            <w:r w:rsidRPr="00590F53">
              <w:rPr>
                <w:b/>
              </w:rPr>
              <w:t>***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1A891AD" w14:textId="77777777" w:rsidR="00F35528" w:rsidRPr="00590F53" w:rsidRDefault="00F35528" w:rsidP="00590F53">
            <w:pPr>
              <w:spacing w:after="0" w:line="240" w:lineRule="auto"/>
            </w:pPr>
            <w:proofErr w:type="gramStart"/>
            <w:r w:rsidRPr="00590F53">
              <w:t>F(</w:t>
            </w:r>
            <w:proofErr w:type="gramEnd"/>
            <w:r w:rsidRPr="00590F53">
              <w:t>2,25.4)=11.46, p=0.0003</w:t>
            </w:r>
            <w:r w:rsidRPr="00590F53">
              <w:rPr>
                <w:b/>
                <w:vertAlign w:val="superscript"/>
              </w:rPr>
              <w:t>A</w:t>
            </w:r>
          </w:p>
        </w:tc>
      </w:tr>
      <w:tr w:rsidR="00F35528" w:rsidRPr="00590F53" w14:paraId="283DAF77" w14:textId="77777777" w:rsidTr="00590F53">
        <w:trPr>
          <w:trHeight w:val="27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AFF01F9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 xml:space="preserve">    Neurological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3FBB4EE" w14:textId="77777777" w:rsidR="00F35528" w:rsidRPr="00590F53" w:rsidRDefault="00F35528" w:rsidP="00590F53">
            <w:pPr>
              <w:spacing w:after="0" w:line="240" w:lineRule="auto"/>
            </w:pPr>
            <w:r w:rsidRPr="00590F53">
              <w:t>5.6 ± 4.2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A58D186" w14:textId="77777777" w:rsidR="00F35528" w:rsidRPr="00590F53" w:rsidRDefault="00F35528" w:rsidP="00590F53">
            <w:pPr>
              <w:spacing w:after="0" w:line="240" w:lineRule="auto"/>
            </w:pPr>
            <w:r w:rsidRPr="00590F53">
              <w:t>3.8 ± 2.8</w:t>
            </w:r>
            <w:r w:rsidRPr="00590F53">
              <w:rPr>
                <w:b/>
              </w:rPr>
              <w:t>*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C6ACAF7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2.8 ± 2.3</w:t>
            </w:r>
            <w:r w:rsidRPr="00590F53">
              <w:rPr>
                <w:b/>
              </w:rPr>
              <w:t>***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7F90B91" w14:textId="77777777" w:rsidR="00F35528" w:rsidRPr="00590F53" w:rsidRDefault="00F35528" w:rsidP="00590F53">
            <w:pPr>
              <w:spacing w:after="0" w:line="240" w:lineRule="auto"/>
            </w:pPr>
            <w:proofErr w:type="gramStart"/>
            <w:r w:rsidRPr="00590F53">
              <w:t>F(</w:t>
            </w:r>
            <w:proofErr w:type="gramEnd"/>
            <w:r w:rsidRPr="00590F53">
              <w:t>2,31.7)=7.98, p=0.002</w:t>
            </w:r>
            <w:r w:rsidRPr="00590F53">
              <w:rPr>
                <w:b/>
                <w:vertAlign w:val="superscript"/>
              </w:rPr>
              <w:t>A</w:t>
            </w:r>
          </w:p>
        </w:tc>
      </w:tr>
      <w:tr w:rsidR="00F35528" w:rsidRPr="00590F53" w14:paraId="4A81A9D3" w14:textId="77777777" w:rsidTr="00590F53">
        <w:trPr>
          <w:trHeight w:val="27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1813062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 xml:space="preserve">    Autonomic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42A1CBC" w14:textId="77777777" w:rsidR="00F35528" w:rsidRPr="00590F53" w:rsidRDefault="00F35528" w:rsidP="00590F53">
            <w:pPr>
              <w:spacing w:after="0" w:line="240" w:lineRule="auto"/>
            </w:pPr>
            <w:r w:rsidRPr="00590F53">
              <w:t>4.3 ± 4.0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E9D18CF" w14:textId="77777777" w:rsidR="00F35528" w:rsidRPr="00590F53" w:rsidRDefault="00F35528" w:rsidP="00590F53">
            <w:pPr>
              <w:spacing w:after="0" w:line="240" w:lineRule="auto"/>
            </w:pPr>
            <w:r w:rsidRPr="00590F53">
              <w:t>3.3 ± 2.3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BCDA618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2.4 ± 2.4</w:t>
            </w:r>
            <w:r w:rsidRPr="00590F53">
              <w:rPr>
                <w:b/>
              </w:rPr>
              <w:t>*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1B69F250" w14:textId="77777777" w:rsidR="00F35528" w:rsidRPr="00590F53" w:rsidRDefault="00F35528" w:rsidP="00590F53">
            <w:pPr>
              <w:spacing w:after="0" w:line="240" w:lineRule="auto"/>
            </w:pPr>
            <w:proofErr w:type="gramStart"/>
            <w:r w:rsidRPr="00590F53">
              <w:t>F(</w:t>
            </w:r>
            <w:proofErr w:type="gramEnd"/>
            <w:r w:rsidRPr="00590F53">
              <w:t>2,27.8)=3.67, p=0.04</w:t>
            </w:r>
            <w:r w:rsidRPr="00590F53">
              <w:rPr>
                <w:b/>
                <w:vertAlign w:val="superscript"/>
              </w:rPr>
              <w:t>A</w:t>
            </w:r>
          </w:p>
        </w:tc>
      </w:tr>
      <w:tr w:rsidR="00F35528" w:rsidRPr="00590F53" w14:paraId="1992AF70" w14:textId="77777777" w:rsidTr="00590F53">
        <w:trPr>
          <w:trHeight w:val="27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B5CD76B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 xml:space="preserve">    Sexual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3C126EB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1.1 ± 2.0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3FEF9BD" w14:textId="77777777" w:rsidR="00F35528" w:rsidRPr="00590F53" w:rsidRDefault="00F35528" w:rsidP="00590F53">
            <w:pPr>
              <w:spacing w:after="0" w:line="240" w:lineRule="auto"/>
            </w:pPr>
            <w:r w:rsidRPr="00590F53">
              <w:t>0.6 ± 1.0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7BF7E81" w14:textId="77777777" w:rsidR="00F35528" w:rsidRPr="00590F53" w:rsidRDefault="00F35528" w:rsidP="00590F53">
            <w:pPr>
              <w:spacing w:after="0" w:line="240" w:lineRule="auto"/>
            </w:pPr>
            <w:r w:rsidRPr="00590F53">
              <w:t>1.0 ± 1.6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38651991" w14:textId="77777777" w:rsidR="00F35528" w:rsidRPr="00590F53" w:rsidRDefault="00F35528" w:rsidP="00590F53">
            <w:pPr>
              <w:spacing w:after="0" w:line="240" w:lineRule="auto"/>
            </w:pPr>
            <w:proofErr w:type="gramStart"/>
            <w:r w:rsidRPr="00590F53">
              <w:t>F(</w:t>
            </w:r>
            <w:proofErr w:type="gramEnd"/>
            <w:r w:rsidRPr="00590F53">
              <w:t>2,28.5)=2.00, p=0.15</w:t>
            </w:r>
            <w:r w:rsidRPr="00590F53">
              <w:rPr>
                <w:b/>
                <w:vertAlign w:val="superscript"/>
              </w:rPr>
              <w:t>A</w:t>
            </w:r>
          </w:p>
        </w:tc>
      </w:tr>
      <w:tr w:rsidR="00F35528" w:rsidRPr="00590F53" w14:paraId="11DC2257" w14:textId="77777777" w:rsidTr="00590F53">
        <w:trPr>
          <w:trHeight w:val="272"/>
        </w:trPr>
        <w:tc>
          <w:tcPr>
            <w:tcW w:w="3426" w:type="dxa"/>
            <w:tcBorders>
              <w:top w:val="single" w:sz="8" w:space="0" w:color="FFFFFF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2B611469" w14:textId="77777777" w:rsidR="00F35528" w:rsidRPr="00590F53" w:rsidRDefault="00F35528" w:rsidP="00590F53">
            <w:pPr>
              <w:spacing w:after="0" w:line="240" w:lineRule="auto"/>
              <w:rPr>
                <w:b/>
              </w:rPr>
            </w:pPr>
            <w:r w:rsidRPr="00590F53">
              <w:rPr>
                <w:b/>
              </w:rPr>
              <w:t xml:space="preserve">    Other</w:t>
            </w:r>
          </w:p>
        </w:tc>
        <w:tc>
          <w:tcPr>
            <w:tcW w:w="1678" w:type="dxa"/>
            <w:tcBorders>
              <w:top w:val="single" w:sz="8" w:space="0" w:color="FFFFFF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4658C6E0" w14:textId="77777777" w:rsidR="00F35528" w:rsidRPr="00590F53" w:rsidRDefault="00F35528" w:rsidP="00590F53">
            <w:pPr>
              <w:spacing w:after="0" w:line="240" w:lineRule="auto"/>
            </w:pPr>
            <w:r w:rsidRPr="00590F53">
              <w:t>4.0 ± 3.5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56D26B32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2.3 ± 1.7</w:t>
            </w:r>
            <w:r w:rsidRPr="00590F53">
              <w:rPr>
                <w:b/>
              </w:rPr>
              <w:t>**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6167459D" w14:textId="77777777" w:rsidR="00F35528" w:rsidRPr="00590F53" w:rsidRDefault="00F35528" w:rsidP="00590F53">
            <w:pPr>
              <w:spacing w:after="0" w:line="240" w:lineRule="auto"/>
            </w:pPr>
            <w:r w:rsidRPr="00590F53">
              <w:t>2.5 ± 2.0</w:t>
            </w:r>
            <w:r w:rsidRPr="00590F53">
              <w:rPr>
                <w:b/>
              </w:rPr>
              <w:t>**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14:paraId="51E679D1" w14:textId="77777777" w:rsidR="00F35528" w:rsidRPr="00590F53" w:rsidRDefault="00F35528" w:rsidP="00590F53">
            <w:pPr>
              <w:spacing w:after="0" w:line="240" w:lineRule="auto"/>
              <w:rPr>
                <w:b/>
                <w:vertAlign w:val="superscript"/>
              </w:rPr>
            </w:pPr>
            <w:proofErr w:type="gramStart"/>
            <w:r w:rsidRPr="00590F53">
              <w:t>F(</w:t>
            </w:r>
            <w:proofErr w:type="gramEnd"/>
            <w:r w:rsidRPr="00590F53">
              <w:t>2,30.0)=5.30, p=0.01</w:t>
            </w:r>
            <w:r w:rsidRPr="00590F53">
              <w:rPr>
                <w:b/>
                <w:vertAlign w:val="superscript"/>
              </w:rPr>
              <w:t>A</w:t>
            </w:r>
          </w:p>
        </w:tc>
      </w:tr>
    </w:tbl>
    <w:p w14:paraId="31DDAA78" w14:textId="17D84B22" w:rsidR="00F35528" w:rsidRPr="00826EA3" w:rsidRDefault="00F35528" w:rsidP="00F35528">
      <w:pPr>
        <w:spacing w:after="0" w:line="240" w:lineRule="auto"/>
        <w:rPr>
          <w:sz w:val="20"/>
          <w:szCs w:val="20"/>
        </w:rPr>
      </w:pPr>
      <w:r w:rsidRPr="00826EA3">
        <w:rPr>
          <w:sz w:val="20"/>
          <w:szCs w:val="20"/>
          <w:lang w:val="da-DK"/>
        </w:rPr>
        <w:t xml:space="preserve">Abbreviations: UKU: Task Force for </w:t>
      </w:r>
      <w:proofErr w:type="spellStart"/>
      <w:r w:rsidRPr="00826EA3">
        <w:rPr>
          <w:sz w:val="20"/>
          <w:szCs w:val="20"/>
          <w:lang w:val="da-DK"/>
        </w:rPr>
        <w:t>Clinical</w:t>
      </w:r>
      <w:proofErr w:type="spellEnd"/>
      <w:r w:rsidRPr="00826EA3">
        <w:rPr>
          <w:sz w:val="20"/>
          <w:szCs w:val="20"/>
          <w:lang w:val="da-DK"/>
        </w:rPr>
        <w:t xml:space="preserve"> </w:t>
      </w:r>
      <w:proofErr w:type="spellStart"/>
      <w:r w:rsidRPr="00826EA3">
        <w:rPr>
          <w:sz w:val="20"/>
          <w:szCs w:val="20"/>
          <w:lang w:val="da-DK"/>
        </w:rPr>
        <w:t>Investigations</w:t>
      </w:r>
      <w:proofErr w:type="spellEnd"/>
      <w:r w:rsidRPr="00826EA3">
        <w:rPr>
          <w:sz w:val="20"/>
          <w:szCs w:val="20"/>
          <w:lang w:val="da-DK"/>
        </w:rPr>
        <w:t xml:space="preserve"> (</w:t>
      </w:r>
      <w:r w:rsidRPr="00826EA3">
        <w:rPr>
          <w:i/>
          <w:sz w:val="20"/>
          <w:szCs w:val="20"/>
          <w:lang w:val="da-DK"/>
        </w:rPr>
        <w:t>Udvalget for Kliniske Undersøgelser</w:t>
      </w:r>
      <w:r w:rsidR="00EA5823">
        <w:rPr>
          <w:sz w:val="20"/>
          <w:szCs w:val="20"/>
          <w:lang w:val="da-DK"/>
        </w:rPr>
        <w:t>)</w:t>
      </w:r>
      <w:r w:rsidR="00ED476B" w:rsidRPr="00153808">
        <w:rPr>
          <w:sz w:val="20"/>
          <w:szCs w:val="20"/>
          <w:lang w:val="da-DK"/>
        </w:rPr>
        <w:t>.</w:t>
      </w:r>
      <w:r w:rsidR="00EA5823" w:rsidRPr="00573906">
        <w:rPr>
          <w:sz w:val="20"/>
          <w:szCs w:val="20"/>
          <w:lang w:val="da-DK"/>
        </w:rPr>
        <w:t xml:space="preserve"> </w:t>
      </w:r>
      <w:r w:rsidRPr="00826EA3">
        <w:rPr>
          <w:sz w:val="20"/>
          <w:szCs w:val="20"/>
        </w:rPr>
        <w:t xml:space="preserve">A: Main effect of time; *: p&lt;0.05; **: p&lt;0.01; ***: p&lt;0.001. </w:t>
      </w:r>
    </w:p>
    <w:p w14:paraId="1FE193B0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BEB9577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07D1B77F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3793EA2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D6488DF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04E3997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A827A5D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A9D145B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722C758" w14:textId="5FC724FA" w:rsidR="00F35528" w:rsidRPr="00826EA3" w:rsidRDefault="00F35528" w:rsidP="001208D8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>2. Spectral quality for PRESS acquisitions in ACC and left thalamus at baseline</w:t>
      </w:r>
    </w:p>
    <w:tbl>
      <w:tblPr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2096"/>
        <w:gridCol w:w="2142"/>
        <w:gridCol w:w="1142"/>
        <w:gridCol w:w="2000"/>
        <w:gridCol w:w="2142"/>
        <w:gridCol w:w="1363"/>
      </w:tblGrid>
      <w:tr w:rsidR="00F35528" w:rsidRPr="00590F53" w14:paraId="16B59C32" w14:textId="77777777" w:rsidTr="00590F53">
        <w:trPr>
          <w:trHeight w:val="317"/>
        </w:trPr>
        <w:tc>
          <w:tcPr>
            <w:tcW w:w="286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C463E1A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4238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DC9620F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590F53">
              <w:rPr>
                <w:b/>
                <w:sz w:val="26"/>
                <w:szCs w:val="26"/>
                <w:lang w:val="da-DK"/>
              </w:rPr>
              <w:t>ACC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C3A19B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4142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91B8E13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proofErr w:type="spellStart"/>
            <w:r w:rsidRPr="00590F53">
              <w:rPr>
                <w:b/>
                <w:sz w:val="26"/>
                <w:szCs w:val="26"/>
                <w:lang w:val="da-DK"/>
              </w:rPr>
              <w:t>Left</w:t>
            </w:r>
            <w:proofErr w:type="spellEnd"/>
            <w:r w:rsidRPr="00590F53">
              <w:rPr>
                <w:b/>
                <w:sz w:val="26"/>
                <w:szCs w:val="26"/>
                <w:lang w:val="da-DK"/>
              </w:rPr>
              <w:t xml:space="preserve"> thalamus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2655C7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350FA43F" w14:textId="77777777" w:rsidTr="00590F53">
        <w:trPr>
          <w:trHeight w:val="250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35E90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09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399A98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21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EC8606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DE4EA0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  <w:tc>
          <w:tcPr>
            <w:tcW w:w="200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7B1DAE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21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2E4F9C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B104BD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</w:tr>
      <w:tr w:rsidR="00F35528" w:rsidRPr="00590F53" w14:paraId="49609353" w14:textId="77777777" w:rsidTr="00590F53">
        <w:trPr>
          <w:trHeight w:val="317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41CD9B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1D8BFE8" w14:textId="7F76B67B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347083E" w14:textId="6FE1B642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713E7A6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1AA9CD5" w14:textId="4119EE40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94F5378" w14:textId="1AD5D2DC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342165B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60BC6E16" w14:textId="77777777" w:rsidTr="00590F53">
        <w:trPr>
          <w:trHeight w:val="558"/>
        </w:trPr>
        <w:tc>
          <w:tcPr>
            <w:tcW w:w="286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00B125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FWHM</w:t>
            </w:r>
          </w:p>
        </w:tc>
        <w:tc>
          <w:tcPr>
            <w:tcW w:w="2096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9891B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0.040 ± 0.058, n=37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19DE1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0.026 ± 0.007, n=36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D69C0F8" w14:textId="77777777" w:rsidR="00F35528" w:rsidRPr="00590F53" w:rsidRDefault="00F35528" w:rsidP="00590F53">
            <w:pPr>
              <w:spacing w:after="0" w:line="240" w:lineRule="auto"/>
              <w:rPr>
                <w:highlight w:val="yellow"/>
                <w:lang w:val="da-DK"/>
              </w:rPr>
            </w:pPr>
            <w:r w:rsidRPr="00590F53">
              <w:rPr>
                <w:lang w:val="da-DK"/>
              </w:rPr>
              <w:t>P=0.14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1CAEC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0.048 ± 0.007, n=38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6ADDF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0.047 ± 0.007, n=33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ED2315B" w14:textId="77777777" w:rsidR="00F35528" w:rsidRPr="00590F53" w:rsidRDefault="00F35528" w:rsidP="00590F53">
            <w:pPr>
              <w:spacing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P=0.85</w:t>
            </w:r>
          </w:p>
        </w:tc>
      </w:tr>
      <w:tr w:rsidR="00F35528" w:rsidRPr="00590F53" w14:paraId="41CDEF96" w14:textId="77777777" w:rsidTr="00590F53">
        <w:trPr>
          <w:trHeight w:val="558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D82FEA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Signal to </w:t>
            </w:r>
            <w:proofErr w:type="spellStart"/>
            <w:r w:rsidRPr="00590F53">
              <w:rPr>
                <w:b/>
                <w:lang w:val="da-DK"/>
              </w:rPr>
              <w:t>noise</w:t>
            </w:r>
            <w:proofErr w:type="spellEnd"/>
            <w:r w:rsidRPr="00590F53">
              <w:rPr>
                <w:b/>
                <w:lang w:val="da-DK"/>
              </w:rPr>
              <w:t xml:space="preserve"> ratio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B2E96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31.3 ± 3.3,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B082D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31.7 ± 3.2,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97252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P=0.61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7A115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15.6 ± 3.6,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F89A0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16.1 ± 3.3, n=33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3949B8" w14:textId="77777777" w:rsidR="00F35528" w:rsidRPr="00590F53" w:rsidRDefault="00F35528" w:rsidP="00590F53">
            <w:pPr>
              <w:spacing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P=0.55</w:t>
            </w:r>
          </w:p>
        </w:tc>
      </w:tr>
      <w:tr w:rsidR="00F35528" w:rsidRPr="00590F53" w14:paraId="7DB61D12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6D1BDF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glutamate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D2ED5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5.2 ± 0.7,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E7E65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5.1 ± 0.5,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7C793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P=0.72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43E6A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9.6 ± 2.2,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F3CE2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10.1 ± 2.1, n=32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638D7A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P=0.38</w:t>
            </w:r>
          </w:p>
        </w:tc>
      </w:tr>
      <w:tr w:rsidR="00F35528" w:rsidRPr="00590F53" w14:paraId="209C33B0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864209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CRLB (%) Glx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A02EE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4.9 ± 0.9,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3459B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5.0 ± 0.6,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63913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P=0.76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C7820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8.3 ± 1.5,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D3976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8.7 ± 1.7, n=33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648DA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P=0.38</w:t>
            </w:r>
          </w:p>
        </w:tc>
      </w:tr>
      <w:tr w:rsidR="00F35528" w:rsidRPr="00590F53" w14:paraId="4FEA09CE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77BADC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glutamine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484E2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16.1 ± 2.4, n=32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EC26C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16.1 ± 2.2, n=27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97B77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P=0.97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664C0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7EEBA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223F7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</w:tr>
      <w:tr w:rsidR="00F35528" w:rsidRPr="00590F53" w14:paraId="4D5342AD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86FF8C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CRLB (%) NAA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06844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3.1 ± 0.4,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30DC9F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3.1 ± 0.3,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30A2D0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P=0.78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6F0C2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5.4 ± 1.6,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3262D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5.1 ± 0.9, n=33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06220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P=0.32</w:t>
            </w:r>
          </w:p>
        </w:tc>
      </w:tr>
      <w:tr w:rsidR="00F35528" w:rsidRPr="00590F53" w14:paraId="630A996C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31B740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PCr+Cr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4FC1E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2.9 ± 0.2,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CEA8D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0.0,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30057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P=0.16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4F6DE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4.1 ± 1.0,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37A9C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3.9 ± 0.8, n=33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7A25D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P=0.28</w:t>
            </w:r>
          </w:p>
        </w:tc>
      </w:tr>
      <w:tr w:rsidR="00F35528" w:rsidRPr="00590F53" w14:paraId="6F194084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ACA8CA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myo-inositol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D41E16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4.1 ± 0.4,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92D72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4.1 ± 0.5,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54F6F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P=0.97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9365F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8.6 ± 2.3,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BC188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8.2 ± 1.8, n=33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0551A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P=0.44</w:t>
            </w:r>
          </w:p>
        </w:tc>
      </w:tr>
      <w:tr w:rsidR="00BD607D" w:rsidRPr="00590F53" w14:paraId="2AD7B1CB" w14:textId="77777777" w:rsidTr="00590F53">
        <w:trPr>
          <w:trHeight w:val="497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19E1152" w14:textId="724753FA" w:rsidR="00BD607D" w:rsidRPr="00590F53" w:rsidRDefault="00BD607D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choline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80B4DA2" w14:textId="4A3453D7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3.2 ± 0.4, n=37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4AE0756" w14:textId="7B3EDB6C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3.1 ± 0.2, n=36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35C2CA9" w14:textId="57C0E2C8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P=0.15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22A0EA3" w14:textId="3F1A41D6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4.8 ± 1.3, n=38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2804261" w14:textId="11D0EF3A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4.5 ± 0.8, n=33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D7F61CC" w14:textId="2E3ABC27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P=0.24</w:t>
            </w:r>
          </w:p>
        </w:tc>
      </w:tr>
    </w:tbl>
    <w:p w14:paraId="2FCC74B1" w14:textId="19156393" w:rsidR="00F35528" w:rsidRPr="00826EA3" w:rsidRDefault="00F35528" w:rsidP="00F35528">
      <w:pPr>
        <w:spacing w:line="240" w:lineRule="auto"/>
        <w:rPr>
          <w:sz w:val="20"/>
          <w:szCs w:val="20"/>
        </w:rPr>
      </w:pPr>
      <w:r w:rsidRPr="00826EA3">
        <w:rPr>
          <w:sz w:val="20"/>
          <w:szCs w:val="20"/>
        </w:rPr>
        <w:t>Abbreviations: ACC: Anterior cingulate cortex; FEP: First</w:t>
      </w:r>
      <w:r w:rsidR="00ED476B">
        <w:rPr>
          <w:sz w:val="20"/>
          <w:szCs w:val="20"/>
        </w:rPr>
        <w:t xml:space="preserve"> </w:t>
      </w:r>
      <w:r w:rsidRPr="00826EA3">
        <w:rPr>
          <w:sz w:val="20"/>
          <w:szCs w:val="20"/>
        </w:rPr>
        <w:t xml:space="preserve">episode psychosis; HCs: Healthy controls; </w:t>
      </w:r>
      <w:r w:rsidRPr="00826EA3">
        <w:rPr>
          <w:rFonts w:cs="Arial"/>
          <w:sz w:val="20"/>
          <w:szCs w:val="20"/>
        </w:rPr>
        <w:t xml:space="preserve">FWHM: Full-width half-maximum; CRLB: </w:t>
      </w:r>
      <w:proofErr w:type="spellStart"/>
      <w:r w:rsidRPr="00826EA3">
        <w:rPr>
          <w:rFonts w:cs="Arial"/>
          <w:sz w:val="20"/>
          <w:szCs w:val="20"/>
        </w:rPr>
        <w:t>Cramér</w:t>
      </w:r>
      <w:proofErr w:type="spellEnd"/>
      <w:r w:rsidRPr="00826EA3">
        <w:rPr>
          <w:rFonts w:cs="Arial"/>
          <w:sz w:val="20"/>
          <w:szCs w:val="20"/>
        </w:rPr>
        <w:t>-Rao lower bound;</w:t>
      </w:r>
      <w:r w:rsidRPr="00826EA3">
        <w:rPr>
          <w:sz w:val="20"/>
          <w:szCs w:val="20"/>
        </w:rPr>
        <w:t xml:space="preserve"> </w:t>
      </w:r>
      <w:proofErr w:type="spellStart"/>
      <w:r w:rsidRPr="00826EA3">
        <w:rPr>
          <w:sz w:val="20"/>
          <w:szCs w:val="20"/>
        </w:rPr>
        <w:t>Glx</w:t>
      </w:r>
      <w:proofErr w:type="spellEnd"/>
      <w:r w:rsidRPr="00826EA3">
        <w:rPr>
          <w:sz w:val="20"/>
          <w:szCs w:val="20"/>
        </w:rPr>
        <w:t xml:space="preserve">: </w:t>
      </w:r>
      <w:proofErr w:type="spellStart"/>
      <w:r w:rsidRPr="00826EA3">
        <w:rPr>
          <w:sz w:val="20"/>
          <w:szCs w:val="20"/>
        </w:rPr>
        <w:t>Glutamate+glutamine</w:t>
      </w:r>
      <w:proofErr w:type="spellEnd"/>
      <w:r w:rsidRPr="00826EA3">
        <w:rPr>
          <w:sz w:val="20"/>
          <w:szCs w:val="20"/>
        </w:rPr>
        <w:t xml:space="preserve">; NAA: N-acetyl aspartate; </w:t>
      </w:r>
      <w:proofErr w:type="spellStart"/>
      <w:r w:rsidRPr="00826EA3">
        <w:rPr>
          <w:sz w:val="20"/>
          <w:szCs w:val="20"/>
        </w:rPr>
        <w:t>PCr+Cr</w:t>
      </w:r>
      <w:proofErr w:type="spellEnd"/>
      <w:r w:rsidRPr="00826EA3">
        <w:rPr>
          <w:sz w:val="20"/>
          <w:szCs w:val="20"/>
        </w:rPr>
        <w:t>: Total creatine (</w:t>
      </w:r>
      <w:proofErr w:type="spellStart"/>
      <w:r w:rsidRPr="00826EA3">
        <w:rPr>
          <w:sz w:val="20"/>
          <w:szCs w:val="20"/>
        </w:rPr>
        <w:t>creatine+phosphocreatine</w:t>
      </w:r>
      <w:proofErr w:type="spellEnd"/>
      <w:r w:rsidRPr="00826EA3">
        <w:rPr>
          <w:sz w:val="20"/>
          <w:szCs w:val="20"/>
        </w:rPr>
        <w:t>).</w:t>
      </w:r>
      <w:r w:rsidR="00BD607D" w:rsidRPr="00BD607D">
        <w:rPr>
          <w:sz w:val="20"/>
          <w:szCs w:val="20"/>
        </w:rPr>
        <w:t xml:space="preserve"> </w:t>
      </w:r>
      <w:r w:rsidR="00BD607D">
        <w:rPr>
          <w:sz w:val="20"/>
          <w:szCs w:val="20"/>
        </w:rPr>
        <w:t>A: n state</w:t>
      </w:r>
      <w:r w:rsidR="009511D7">
        <w:rPr>
          <w:sz w:val="20"/>
          <w:szCs w:val="20"/>
        </w:rPr>
        <w:t>s</w:t>
      </w:r>
      <w:r w:rsidR="00BD607D">
        <w:rPr>
          <w:sz w:val="20"/>
          <w:szCs w:val="20"/>
        </w:rPr>
        <w:t xml:space="preserve"> the number of </w:t>
      </w:r>
      <w:proofErr w:type="spellStart"/>
      <w:r w:rsidR="00BD607D">
        <w:rPr>
          <w:sz w:val="20"/>
          <w:szCs w:val="20"/>
        </w:rPr>
        <w:t>analyzed</w:t>
      </w:r>
      <w:proofErr w:type="spellEnd"/>
      <w:r w:rsidR="00BD607D">
        <w:rPr>
          <w:sz w:val="20"/>
          <w:szCs w:val="20"/>
        </w:rPr>
        <w:t xml:space="preserve"> spectra.</w:t>
      </w:r>
    </w:p>
    <w:p w14:paraId="51A569C4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51D75846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E50EC2D" w14:textId="77777777" w:rsidR="00BD607D" w:rsidRDefault="00BD607D" w:rsidP="007708E0">
      <w:pPr>
        <w:spacing w:line="240" w:lineRule="auto"/>
        <w:rPr>
          <w:rFonts w:ascii="Times New Roman" w:hAnsi="Times New Roman"/>
        </w:rPr>
      </w:pPr>
    </w:p>
    <w:p w14:paraId="4D6247A0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4E62A8EE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39F78A34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87DBB43" w14:textId="75E26B8D" w:rsidR="00F35528" w:rsidRPr="00826EA3" w:rsidRDefault="00F35528" w:rsidP="001208D8">
      <w:pPr>
        <w:jc w:val="center"/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>3. Spectral quality for MEGAPRESS acquisitions in ACC at baseline</w:t>
      </w:r>
    </w:p>
    <w:tbl>
      <w:tblPr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3495"/>
        <w:gridCol w:w="3572"/>
        <w:gridCol w:w="1904"/>
      </w:tblGrid>
      <w:tr w:rsidR="00F35528" w:rsidRPr="00590F53" w14:paraId="50B812E9" w14:textId="77777777" w:rsidTr="00590F53">
        <w:trPr>
          <w:trHeight w:val="317"/>
        </w:trPr>
        <w:tc>
          <w:tcPr>
            <w:tcW w:w="478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85F965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7067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0BD5B6D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590F53">
              <w:rPr>
                <w:b/>
                <w:sz w:val="26"/>
                <w:szCs w:val="26"/>
                <w:lang w:val="da-DK"/>
              </w:rPr>
              <w:t>ACC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69463B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2C733140" w14:textId="77777777" w:rsidTr="00590F53">
        <w:trPr>
          <w:trHeight w:val="208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auto"/>
          </w:tcPr>
          <w:p w14:paraId="40BA4771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495" w:type="dxa"/>
            <w:tcBorders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auto"/>
          </w:tcPr>
          <w:p w14:paraId="455388E0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3572" w:type="dxa"/>
            <w:tcBorders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auto"/>
          </w:tcPr>
          <w:p w14:paraId="30B6D683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auto"/>
          </w:tcPr>
          <w:p w14:paraId="715030F6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</w:tr>
      <w:tr w:rsidR="00F35528" w:rsidRPr="00590F53" w14:paraId="1BF009E8" w14:textId="77777777" w:rsidTr="00590F53">
        <w:trPr>
          <w:trHeight w:val="317"/>
        </w:trPr>
        <w:tc>
          <w:tcPr>
            <w:tcW w:w="4782" w:type="dxa"/>
            <w:tcBorders>
              <w:top w:val="single" w:sz="18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A351CAB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  <w:tc>
          <w:tcPr>
            <w:tcW w:w="3495" w:type="dxa"/>
            <w:tcBorders>
              <w:top w:val="single" w:sz="18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299C3B5" w14:textId="76FB04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3572" w:type="dxa"/>
            <w:tcBorders>
              <w:top w:val="single" w:sz="18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FF5CCB3" w14:textId="16E73162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904" w:type="dxa"/>
            <w:tcBorders>
              <w:top w:val="single" w:sz="18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3BAAF9E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394A11E0" w14:textId="77777777" w:rsidTr="00590F53">
        <w:trPr>
          <w:trHeight w:val="558"/>
        </w:trPr>
        <w:tc>
          <w:tcPr>
            <w:tcW w:w="478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B8C406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FWHM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45039A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19.7 ± 2.1, n=28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A81A97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20.1 ± 1.4, n=32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310DF10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P=0.49</w:t>
            </w:r>
          </w:p>
        </w:tc>
      </w:tr>
      <w:tr w:rsidR="00F35528" w:rsidRPr="00590F53" w14:paraId="7D0857C3" w14:textId="77777777" w:rsidTr="00590F53">
        <w:trPr>
          <w:trHeight w:val="558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99C8688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Signal to </w:t>
            </w:r>
            <w:proofErr w:type="spellStart"/>
            <w:r w:rsidRPr="00590F53">
              <w:rPr>
                <w:b/>
                <w:lang w:val="da-DK"/>
              </w:rPr>
              <w:t>noise</w:t>
            </w:r>
            <w:proofErr w:type="spellEnd"/>
            <w:r w:rsidRPr="00590F53">
              <w:rPr>
                <w:b/>
                <w:lang w:val="da-DK"/>
              </w:rPr>
              <w:t xml:space="preserve"> ratio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4E1FD2D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20.7 ± 4.5, n=28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BA8528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21.4 ± 5.2, n=32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933940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P=0.58</w:t>
            </w:r>
          </w:p>
        </w:tc>
      </w:tr>
      <w:tr w:rsidR="00F35528" w:rsidRPr="00590F53" w14:paraId="65ED21F3" w14:textId="77777777" w:rsidTr="00590F53">
        <w:trPr>
          <w:trHeight w:val="483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1BDC6F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Fit </w:t>
            </w:r>
            <w:proofErr w:type="spellStart"/>
            <w:r w:rsidRPr="00590F53">
              <w:rPr>
                <w:b/>
                <w:lang w:val="da-DK"/>
              </w:rPr>
              <w:t>error</w:t>
            </w:r>
            <w:proofErr w:type="spellEnd"/>
            <w:r w:rsidRPr="00590F53">
              <w:rPr>
                <w:b/>
                <w:lang w:val="da-DK"/>
              </w:rPr>
              <w:t xml:space="preserve"> (%) GABA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E46D41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6.5 ± 1.3, n=28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405C24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6.4 ± 1.5, n=32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1B7892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P=0.87</w:t>
            </w:r>
          </w:p>
        </w:tc>
      </w:tr>
      <w:tr w:rsidR="00F35528" w:rsidRPr="00590F53" w14:paraId="4C044166" w14:textId="77777777" w:rsidTr="00590F53">
        <w:trPr>
          <w:trHeight w:val="483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53C47DC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Fit </w:t>
            </w:r>
            <w:proofErr w:type="spellStart"/>
            <w:r w:rsidRPr="00590F53">
              <w:rPr>
                <w:b/>
                <w:lang w:val="da-DK"/>
              </w:rPr>
              <w:t>error</w:t>
            </w:r>
            <w:proofErr w:type="spellEnd"/>
            <w:r w:rsidRPr="00590F53">
              <w:rPr>
                <w:b/>
                <w:lang w:val="da-DK"/>
              </w:rPr>
              <w:t xml:space="preserve"> (%) Glx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49DA1EF" w14:textId="0A44ED2C" w:rsidR="00F35528" w:rsidRPr="00590F53" w:rsidRDefault="00F35528" w:rsidP="00EA5823">
            <w:pPr>
              <w:tabs>
                <w:tab w:val="left" w:pos="1741"/>
              </w:tabs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3.1 ± 0.9, n=28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E5A0D97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2.9 ± 0.7, n=32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FC8236F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P=0.24</w:t>
            </w:r>
          </w:p>
        </w:tc>
      </w:tr>
    </w:tbl>
    <w:p w14:paraId="5A4DCB5B" w14:textId="6499BD91" w:rsidR="00F35528" w:rsidRPr="00826EA3" w:rsidRDefault="00F35528" w:rsidP="00F35528">
      <w:pPr>
        <w:rPr>
          <w:sz w:val="20"/>
          <w:szCs w:val="20"/>
        </w:rPr>
      </w:pPr>
      <w:r w:rsidRPr="00826EA3">
        <w:rPr>
          <w:sz w:val="20"/>
          <w:szCs w:val="20"/>
        </w:rPr>
        <w:t>Abbreviations: ACC: Anteri</w:t>
      </w:r>
      <w:r w:rsidR="00ED476B">
        <w:rPr>
          <w:sz w:val="20"/>
          <w:szCs w:val="20"/>
        </w:rPr>
        <w:t xml:space="preserve">or cingulate cortex; FEP: First </w:t>
      </w:r>
      <w:r w:rsidRPr="00826EA3">
        <w:rPr>
          <w:sz w:val="20"/>
          <w:szCs w:val="20"/>
        </w:rPr>
        <w:t xml:space="preserve">episode psychosis; HCs: Healthy controls; </w:t>
      </w:r>
      <w:r w:rsidRPr="00826EA3">
        <w:rPr>
          <w:rFonts w:cs="Arial"/>
          <w:sz w:val="20"/>
          <w:szCs w:val="20"/>
        </w:rPr>
        <w:t xml:space="preserve">FWHM: Full-width half-maximum; GABA: </w:t>
      </w:r>
      <w:r w:rsidRPr="00826EA3">
        <w:rPr>
          <w:sz w:val="20"/>
          <w:szCs w:val="20"/>
        </w:rPr>
        <w:t>Gamma-aminobutyric acid</w:t>
      </w:r>
      <w:r w:rsidRPr="00826EA3">
        <w:rPr>
          <w:rFonts w:cs="Arial"/>
          <w:sz w:val="20"/>
          <w:szCs w:val="20"/>
        </w:rPr>
        <w:t xml:space="preserve">; </w:t>
      </w:r>
      <w:proofErr w:type="spellStart"/>
      <w:r w:rsidRPr="00826EA3">
        <w:rPr>
          <w:sz w:val="20"/>
          <w:szCs w:val="20"/>
        </w:rPr>
        <w:t>Glx</w:t>
      </w:r>
      <w:proofErr w:type="spellEnd"/>
      <w:r w:rsidRPr="00826EA3">
        <w:rPr>
          <w:sz w:val="20"/>
          <w:szCs w:val="20"/>
        </w:rPr>
        <w:t xml:space="preserve">: </w:t>
      </w:r>
      <w:proofErr w:type="spellStart"/>
      <w:r w:rsidRPr="00826EA3">
        <w:rPr>
          <w:sz w:val="20"/>
          <w:szCs w:val="20"/>
        </w:rPr>
        <w:t>Glutamate+glutamine</w:t>
      </w:r>
      <w:proofErr w:type="spellEnd"/>
      <w:r w:rsidRPr="00826EA3">
        <w:rPr>
          <w:sz w:val="20"/>
          <w:szCs w:val="20"/>
        </w:rPr>
        <w:t>.</w:t>
      </w:r>
      <w:r w:rsidR="00BD607D">
        <w:rPr>
          <w:sz w:val="20"/>
          <w:szCs w:val="20"/>
        </w:rPr>
        <w:t xml:space="preserve"> A: n state</w:t>
      </w:r>
      <w:r w:rsidR="009511D7">
        <w:rPr>
          <w:sz w:val="20"/>
          <w:szCs w:val="20"/>
        </w:rPr>
        <w:t>s</w:t>
      </w:r>
      <w:r w:rsidR="00BD607D">
        <w:rPr>
          <w:sz w:val="20"/>
          <w:szCs w:val="20"/>
        </w:rPr>
        <w:t xml:space="preserve"> the number of </w:t>
      </w:r>
      <w:proofErr w:type="spellStart"/>
      <w:r w:rsidR="00BD607D">
        <w:rPr>
          <w:sz w:val="20"/>
          <w:szCs w:val="20"/>
        </w:rPr>
        <w:t>analyzed</w:t>
      </w:r>
      <w:proofErr w:type="spellEnd"/>
      <w:r w:rsidR="00BD607D">
        <w:rPr>
          <w:sz w:val="20"/>
          <w:szCs w:val="20"/>
        </w:rPr>
        <w:t xml:space="preserve"> spectra.</w:t>
      </w:r>
    </w:p>
    <w:p w14:paraId="757F521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307C91F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35F7D23F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F4992D9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4493987A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D4D4DB8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49AB7E09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530EF237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F6F04BD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115C1EA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ABD2692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57D6C7A" w14:textId="114B68A9" w:rsidR="00F35528" w:rsidRPr="00826EA3" w:rsidRDefault="00F35528" w:rsidP="001208D8">
      <w:pPr>
        <w:jc w:val="center"/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 xml:space="preserve">4. Spectral quality for PRESS acquisitions in ACC and left thalamus at </w:t>
      </w:r>
      <w:r w:rsidR="00EC15BA">
        <w:rPr>
          <w:b/>
          <w:sz w:val="24"/>
          <w:szCs w:val="24"/>
        </w:rPr>
        <w:t>6 weeks</w:t>
      </w:r>
    </w:p>
    <w:tbl>
      <w:tblPr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2096"/>
        <w:gridCol w:w="2142"/>
        <w:gridCol w:w="1142"/>
        <w:gridCol w:w="2000"/>
        <w:gridCol w:w="2142"/>
        <w:gridCol w:w="1363"/>
      </w:tblGrid>
      <w:tr w:rsidR="00F35528" w:rsidRPr="00590F53" w14:paraId="33BF2592" w14:textId="77777777" w:rsidTr="00590F53">
        <w:trPr>
          <w:trHeight w:val="317"/>
        </w:trPr>
        <w:tc>
          <w:tcPr>
            <w:tcW w:w="286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B7826D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4238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6135DF8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590F53">
              <w:rPr>
                <w:b/>
                <w:sz w:val="26"/>
                <w:szCs w:val="26"/>
                <w:lang w:val="da-DK"/>
              </w:rPr>
              <w:t>ACC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08F325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4142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5264BC9D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proofErr w:type="spellStart"/>
            <w:r w:rsidRPr="00590F53">
              <w:rPr>
                <w:b/>
                <w:sz w:val="26"/>
                <w:szCs w:val="26"/>
                <w:lang w:val="da-DK"/>
              </w:rPr>
              <w:t>Left</w:t>
            </w:r>
            <w:proofErr w:type="spellEnd"/>
            <w:r w:rsidRPr="00590F53">
              <w:rPr>
                <w:b/>
                <w:sz w:val="26"/>
                <w:szCs w:val="26"/>
                <w:lang w:val="da-DK"/>
              </w:rPr>
              <w:t xml:space="preserve"> thalamus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A4BBA2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2DA09C00" w14:textId="77777777" w:rsidTr="00590F53">
        <w:trPr>
          <w:trHeight w:val="208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11254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09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D033CA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21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5FB729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024D3A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  <w:tc>
          <w:tcPr>
            <w:tcW w:w="200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597FCA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21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883A6E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3663D4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</w:tr>
      <w:tr w:rsidR="00F35528" w:rsidRPr="00590F53" w14:paraId="0A5E6695" w14:textId="77777777" w:rsidTr="00590F53">
        <w:trPr>
          <w:trHeight w:val="317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58D79A1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F7FCFDC" w14:textId="3E5E42A9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555F182" w14:textId="413020DD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D1EBFBF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FAEF315" w14:textId="6E69A575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5B0274C" w14:textId="65FD7E46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1E07111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50A37780" w14:textId="77777777" w:rsidTr="00590F53">
        <w:trPr>
          <w:trHeight w:val="558"/>
        </w:trPr>
        <w:tc>
          <w:tcPr>
            <w:tcW w:w="286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920797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FWHM</w:t>
            </w:r>
          </w:p>
        </w:tc>
        <w:tc>
          <w:tcPr>
            <w:tcW w:w="2096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3A252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0.030 ± 0.011, n=27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CB0990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0.027 ± 0.004, n=32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EB29B7" w14:textId="77777777" w:rsidR="00F35528" w:rsidRPr="00590F53" w:rsidRDefault="00F35528" w:rsidP="00590F53">
            <w:pPr>
              <w:spacing w:after="0" w:line="240" w:lineRule="auto"/>
              <w:rPr>
                <w:highlight w:val="yellow"/>
                <w:lang w:val="da-DK"/>
              </w:rPr>
            </w:pPr>
            <w:r w:rsidRPr="00590F53">
              <w:rPr>
                <w:lang w:val="da-DK"/>
              </w:rPr>
              <w:t>P=0.16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ABFD3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0.048 ± 0.008, n=24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1EEA0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0.046 ± 0.005, n=31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03B77F" w14:textId="77777777" w:rsidR="00F35528" w:rsidRPr="00590F53" w:rsidRDefault="00F35528" w:rsidP="00590F53">
            <w:pPr>
              <w:spacing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P=0.29</w:t>
            </w:r>
          </w:p>
        </w:tc>
      </w:tr>
      <w:tr w:rsidR="00F35528" w:rsidRPr="00590F53" w14:paraId="5528F106" w14:textId="77777777" w:rsidTr="00590F53">
        <w:trPr>
          <w:trHeight w:val="558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2C46B6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Signal to </w:t>
            </w:r>
            <w:proofErr w:type="spellStart"/>
            <w:r w:rsidRPr="00590F53">
              <w:rPr>
                <w:b/>
                <w:lang w:val="da-DK"/>
              </w:rPr>
              <w:t>noise</w:t>
            </w:r>
            <w:proofErr w:type="spellEnd"/>
            <w:r w:rsidRPr="00590F53">
              <w:rPr>
                <w:b/>
                <w:lang w:val="da-DK"/>
              </w:rPr>
              <w:t xml:space="preserve"> ratio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A18C7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30.3 ± 4.0,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96444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31.6 ± 2.9,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C59D9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P=0.15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3AE52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15.5 ± 3.4,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75A6F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16.0 ± 3.4,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941CFD" w14:textId="77777777" w:rsidR="00F35528" w:rsidRPr="00590F53" w:rsidRDefault="00F35528" w:rsidP="00590F53">
            <w:pPr>
              <w:spacing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P=0.65</w:t>
            </w:r>
          </w:p>
        </w:tc>
      </w:tr>
      <w:tr w:rsidR="00F35528" w:rsidRPr="00590F53" w14:paraId="3EFECED0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B3483A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glutamate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E692C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5.5 ± 1.3,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993DC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5.2 ± 0.4,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7E497B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P=0.26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9D5B2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10.1 ± 1.4,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BF349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10.3 ± 1.9,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5293DA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P=0.71</w:t>
            </w:r>
          </w:p>
        </w:tc>
      </w:tr>
      <w:tr w:rsidR="00F35528" w:rsidRPr="00590F53" w14:paraId="2C1FB8EF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50D961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CRLB (%) Glx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B0339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5.2 ± 1.5,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B7B0B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5.0 ± 0.6,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402872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P=0.42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0727D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8.7 ± 0.9,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D8FA8E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8.5 ± 1.3,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4EE12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P=0.38</w:t>
            </w:r>
          </w:p>
        </w:tc>
      </w:tr>
      <w:tr w:rsidR="00F35528" w:rsidRPr="00590F53" w14:paraId="1FFEFBF6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8066BA9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glutamine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5D0D2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15.8 ± 2.3, n=22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1CDA9E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16.7 ± 2.3, n=29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FC6AA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P=0.18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951B3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41881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0F7B6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</w:tr>
      <w:tr w:rsidR="00F35528" w:rsidRPr="00590F53" w14:paraId="0A2E83F3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14CD68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CRLB (%) NAA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18DBB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3.1 ± 0.4,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DB283A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3.1 ± 0.3,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726FA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P=0.53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532DB9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5.4 ± 1.2,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1E51D1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5.1 ± 0.8,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35C0B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P=0.31</w:t>
            </w:r>
          </w:p>
        </w:tc>
      </w:tr>
      <w:tr w:rsidR="00F35528" w:rsidRPr="00590F53" w14:paraId="6897D9B4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588AA7D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PCr+Cr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01538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0.2,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ED4A6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2.9 ± 0.2,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24B9F9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P=0.66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3645B6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4.0 ± 0.8,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F1D39A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4.0 ± 0.8,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3969A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P=0.96</w:t>
            </w:r>
          </w:p>
        </w:tc>
      </w:tr>
      <w:tr w:rsidR="00F35528" w:rsidRPr="00590F53" w14:paraId="50D75ED6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87AFA6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myo-inositol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6A444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4.3 ± 0.7,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CB255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4.2 ± 0.5,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65A0D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P=0.28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D7AD7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8.8 ± 2.1,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26C73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8.7 ± 2.7,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7B61F3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P=0.85</w:t>
            </w:r>
          </w:p>
        </w:tc>
      </w:tr>
      <w:tr w:rsidR="00BD607D" w:rsidRPr="00590F53" w14:paraId="083FD014" w14:textId="77777777" w:rsidTr="00590F53">
        <w:trPr>
          <w:trHeight w:val="497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9EFBAB8" w14:textId="359E61A6" w:rsidR="00BD607D" w:rsidRPr="00590F53" w:rsidRDefault="00BD607D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choline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CDAFB2A" w14:textId="7660035D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3.3 ± 0.5, n=27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7E23753" w14:textId="003AB5D6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0.2, n=32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C71466A" w14:textId="3036052F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P=0.04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0A7337D" w14:textId="5882B00A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4.5 ± 0.8, n=24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96F1A3B" w14:textId="5A23239F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4.5 ± 0.9, n=31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64DF86A" w14:textId="3D4191BB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P=0.83</w:t>
            </w:r>
          </w:p>
        </w:tc>
      </w:tr>
    </w:tbl>
    <w:p w14:paraId="131E5361" w14:textId="790A423B" w:rsidR="00F35528" w:rsidRPr="00826EA3" w:rsidRDefault="00F35528" w:rsidP="00F35528">
      <w:pPr>
        <w:rPr>
          <w:sz w:val="20"/>
          <w:szCs w:val="20"/>
        </w:rPr>
      </w:pPr>
      <w:r w:rsidRPr="00826EA3">
        <w:rPr>
          <w:sz w:val="20"/>
          <w:szCs w:val="20"/>
        </w:rPr>
        <w:t>Abbreviations: ACC: Anteri</w:t>
      </w:r>
      <w:r w:rsidR="00ED476B">
        <w:rPr>
          <w:sz w:val="20"/>
          <w:szCs w:val="20"/>
        </w:rPr>
        <w:t xml:space="preserve">or cingulate cortex; FEP: First </w:t>
      </w:r>
      <w:r w:rsidRPr="00826EA3">
        <w:rPr>
          <w:sz w:val="20"/>
          <w:szCs w:val="20"/>
        </w:rPr>
        <w:t xml:space="preserve">episode psychosis; HCs: Healthy controls; </w:t>
      </w:r>
      <w:r w:rsidRPr="00826EA3">
        <w:rPr>
          <w:rFonts w:cs="Arial"/>
          <w:sz w:val="20"/>
          <w:szCs w:val="20"/>
        </w:rPr>
        <w:t xml:space="preserve">FWHM: Full-width half-maximum; CRLB: </w:t>
      </w:r>
      <w:proofErr w:type="spellStart"/>
      <w:r w:rsidRPr="00826EA3">
        <w:rPr>
          <w:rFonts w:cs="Arial"/>
          <w:sz w:val="20"/>
          <w:szCs w:val="20"/>
        </w:rPr>
        <w:t>Cramér</w:t>
      </w:r>
      <w:proofErr w:type="spellEnd"/>
      <w:r w:rsidRPr="00826EA3">
        <w:rPr>
          <w:rFonts w:cs="Arial"/>
          <w:sz w:val="20"/>
          <w:szCs w:val="20"/>
        </w:rPr>
        <w:t>-Rao lower bound;</w:t>
      </w:r>
      <w:r w:rsidRPr="00826EA3">
        <w:rPr>
          <w:sz w:val="20"/>
          <w:szCs w:val="20"/>
        </w:rPr>
        <w:t xml:space="preserve"> </w:t>
      </w:r>
      <w:proofErr w:type="spellStart"/>
      <w:r w:rsidRPr="00826EA3">
        <w:rPr>
          <w:sz w:val="20"/>
          <w:szCs w:val="20"/>
        </w:rPr>
        <w:t>Glx</w:t>
      </w:r>
      <w:proofErr w:type="spellEnd"/>
      <w:r w:rsidRPr="00826EA3">
        <w:rPr>
          <w:sz w:val="20"/>
          <w:szCs w:val="20"/>
        </w:rPr>
        <w:t xml:space="preserve">: </w:t>
      </w:r>
      <w:proofErr w:type="spellStart"/>
      <w:r w:rsidRPr="00826EA3">
        <w:rPr>
          <w:sz w:val="20"/>
          <w:szCs w:val="20"/>
        </w:rPr>
        <w:t>Glutamate+glutamine</w:t>
      </w:r>
      <w:proofErr w:type="spellEnd"/>
      <w:r w:rsidRPr="00826EA3">
        <w:rPr>
          <w:sz w:val="20"/>
          <w:szCs w:val="20"/>
        </w:rPr>
        <w:t xml:space="preserve">; NAA: N-acetyl aspartate; </w:t>
      </w:r>
      <w:proofErr w:type="spellStart"/>
      <w:r w:rsidRPr="00826EA3">
        <w:rPr>
          <w:sz w:val="20"/>
          <w:szCs w:val="20"/>
        </w:rPr>
        <w:t>PCr+Cr</w:t>
      </w:r>
      <w:proofErr w:type="spellEnd"/>
      <w:r w:rsidRPr="00826EA3">
        <w:rPr>
          <w:sz w:val="20"/>
          <w:szCs w:val="20"/>
        </w:rPr>
        <w:t>: Total creatine (</w:t>
      </w:r>
      <w:proofErr w:type="spellStart"/>
      <w:r w:rsidRPr="00826EA3">
        <w:rPr>
          <w:sz w:val="20"/>
          <w:szCs w:val="20"/>
        </w:rPr>
        <w:t>creatine+phosphocreatine</w:t>
      </w:r>
      <w:proofErr w:type="spellEnd"/>
      <w:r w:rsidRPr="00826EA3">
        <w:rPr>
          <w:sz w:val="20"/>
          <w:szCs w:val="20"/>
        </w:rPr>
        <w:t>).</w:t>
      </w:r>
      <w:r w:rsidR="00BD607D">
        <w:rPr>
          <w:sz w:val="20"/>
          <w:szCs w:val="20"/>
        </w:rPr>
        <w:t xml:space="preserve"> A: n state</w:t>
      </w:r>
      <w:r w:rsidR="009511D7">
        <w:rPr>
          <w:sz w:val="20"/>
          <w:szCs w:val="20"/>
        </w:rPr>
        <w:t>s</w:t>
      </w:r>
      <w:r w:rsidR="00BD607D">
        <w:rPr>
          <w:sz w:val="20"/>
          <w:szCs w:val="20"/>
        </w:rPr>
        <w:t xml:space="preserve"> the number of </w:t>
      </w:r>
      <w:proofErr w:type="spellStart"/>
      <w:r w:rsidR="00BD607D">
        <w:rPr>
          <w:sz w:val="20"/>
          <w:szCs w:val="20"/>
        </w:rPr>
        <w:t>analyzed</w:t>
      </w:r>
      <w:proofErr w:type="spellEnd"/>
      <w:r w:rsidR="00BD607D">
        <w:rPr>
          <w:sz w:val="20"/>
          <w:szCs w:val="20"/>
        </w:rPr>
        <w:t xml:space="preserve"> spectra.</w:t>
      </w:r>
    </w:p>
    <w:p w14:paraId="0D7167FD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52AF0DC8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780771F" w14:textId="77777777" w:rsidR="00BD607D" w:rsidRDefault="00BD607D" w:rsidP="007708E0">
      <w:pPr>
        <w:spacing w:line="240" w:lineRule="auto"/>
        <w:rPr>
          <w:rFonts w:ascii="Times New Roman" w:hAnsi="Times New Roman"/>
        </w:rPr>
      </w:pPr>
    </w:p>
    <w:p w14:paraId="20B08654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F1E01BC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D354C22" w14:textId="14FACD4D" w:rsidR="00F35528" w:rsidRPr="00826EA3" w:rsidRDefault="00F35528" w:rsidP="001208D8">
      <w:pPr>
        <w:jc w:val="center"/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 xml:space="preserve">5. Spectral quality for MEGAPRESS acquisitions in ACC at </w:t>
      </w:r>
      <w:r w:rsidR="00EC15BA">
        <w:rPr>
          <w:b/>
          <w:sz w:val="24"/>
          <w:szCs w:val="24"/>
        </w:rPr>
        <w:t>6 weeks</w:t>
      </w:r>
    </w:p>
    <w:tbl>
      <w:tblPr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3495"/>
        <w:gridCol w:w="3572"/>
        <w:gridCol w:w="1904"/>
      </w:tblGrid>
      <w:tr w:rsidR="00F35528" w:rsidRPr="00590F53" w14:paraId="4ED0CCBB" w14:textId="77777777" w:rsidTr="00590F53">
        <w:trPr>
          <w:trHeight w:val="317"/>
        </w:trPr>
        <w:tc>
          <w:tcPr>
            <w:tcW w:w="478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B68F16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7067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69C3DEC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590F53">
              <w:rPr>
                <w:b/>
                <w:sz w:val="26"/>
                <w:szCs w:val="26"/>
                <w:lang w:val="da-DK"/>
              </w:rPr>
              <w:t>ACC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00552F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5160CF1F" w14:textId="77777777" w:rsidTr="00590F53">
        <w:trPr>
          <w:trHeight w:val="208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4B07E9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49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7B57A7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357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EDE6B9F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5D39750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</w:tr>
      <w:tr w:rsidR="00F35528" w:rsidRPr="00590F53" w14:paraId="1AF310BE" w14:textId="77777777" w:rsidTr="00590F53">
        <w:trPr>
          <w:trHeight w:val="317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9F6CA3B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BB8F779" w14:textId="48E23E89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1FAC614" w14:textId="2A85F852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C8DE765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2B08C3D3" w14:textId="77777777" w:rsidTr="00590F53">
        <w:trPr>
          <w:trHeight w:val="558"/>
        </w:trPr>
        <w:tc>
          <w:tcPr>
            <w:tcW w:w="478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D61705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FWHM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53E1E64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19.8 ± 1.5, n=20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20BAAB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19.9 ± 1.3, n=32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A611E2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P=0.33</w:t>
            </w:r>
          </w:p>
        </w:tc>
      </w:tr>
      <w:tr w:rsidR="00F35528" w:rsidRPr="00590F53" w14:paraId="08F75F8D" w14:textId="77777777" w:rsidTr="00590F53">
        <w:trPr>
          <w:trHeight w:val="558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A4D3C63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Signal to </w:t>
            </w:r>
            <w:proofErr w:type="spellStart"/>
            <w:r w:rsidRPr="00590F53">
              <w:rPr>
                <w:b/>
                <w:lang w:val="da-DK"/>
              </w:rPr>
              <w:t>noise</w:t>
            </w:r>
            <w:proofErr w:type="spellEnd"/>
            <w:r w:rsidRPr="00590F53">
              <w:rPr>
                <w:b/>
                <w:lang w:val="da-DK"/>
              </w:rPr>
              <w:t xml:space="preserve"> ratio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12676C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21.2 ± 4.0, n=20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1682AF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22.4 ± 4.4, n=32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A0555C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P=0.58</w:t>
            </w:r>
          </w:p>
        </w:tc>
      </w:tr>
      <w:tr w:rsidR="00F35528" w:rsidRPr="00590F53" w14:paraId="44708AE0" w14:textId="77777777" w:rsidTr="00590F53">
        <w:trPr>
          <w:trHeight w:val="483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194F62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Fit </w:t>
            </w:r>
            <w:proofErr w:type="spellStart"/>
            <w:r w:rsidRPr="00590F53">
              <w:rPr>
                <w:b/>
                <w:lang w:val="da-DK"/>
              </w:rPr>
              <w:t>error</w:t>
            </w:r>
            <w:proofErr w:type="spellEnd"/>
            <w:r w:rsidRPr="00590F53">
              <w:rPr>
                <w:b/>
                <w:lang w:val="da-DK"/>
              </w:rPr>
              <w:t xml:space="preserve"> (%) GABA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072E0F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6.4 ± 1.4, n=20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7EA58E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6.0 ± 1.4, n=32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A20397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P=0.34</w:t>
            </w:r>
          </w:p>
        </w:tc>
      </w:tr>
      <w:tr w:rsidR="00F35528" w:rsidRPr="00590F53" w14:paraId="6133C64E" w14:textId="77777777" w:rsidTr="00590F53">
        <w:trPr>
          <w:trHeight w:val="483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C8C971B" w14:textId="77777777" w:rsidR="00F35528" w:rsidRPr="00590F53" w:rsidRDefault="00F35528" w:rsidP="00590F53">
            <w:pPr>
              <w:spacing w:after="0" w:line="36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Fit </w:t>
            </w:r>
            <w:proofErr w:type="spellStart"/>
            <w:r w:rsidRPr="00590F53">
              <w:rPr>
                <w:b/>
                <w:lang w:val="da-DK"/>
              </w:rPr>
              <w:t>error</w:t>
            </w:r>
            <w:proofErr w:type="spellEnd"/>
            <w:r w:rsidRPr="00590F53">
              <w:rPr>
                <w:b/>
                <w:lang w:val="da-DK"/>
              </w:rPr>
              <w:t xml:space="preserve"> (%) Glx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88DB795" w14:textId="74A2B566" w:rsidR="00F35528" w:rsidRPr="00590F53" w:rsidRDefault="00F35528" w:rsidP="00EA5823">
            <w:pPr>
              <w:tabs>
                <w:tab w:val="left" w:pos="1741"/>
              </w:tabs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2.8 ± 0.7, n=20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FC8A1A0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3.0 ± 0.9, n=32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EED5071" w14:textId="77777777" w:rsidR="00F35528" w:rsidRPr="00590F53" w:rsidRDefault="00F35528" w:rsidP="00EA5823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P=0.27</w:t>
            </w:r>
          </w:p>
        </w:tc>
      </w:tr>
    </w:tbl>
    <w:p w14:paraId="1A4B9493" w14:textId="199BDA7B" w:rsidR="00F35528" w:rsidRPr="00826EA3" w:rsidRDefault="00F35528" w:rsidP="00F35528">
      <w:pPr>
        <w:rPr>
          <w:sz w:val="20"/>
          <w:szCs w:val="20"/>
        </w:rPr>
      </w:pPr>
      <w:r w:rsidRPr="00826EA3">
        <w:rPr>
          <w:sz w:val="20"/>
          <w:szCs w:val="20"/>
        </w:rPr>
        <w:t>Abbreviations: ACC: Anteri</w:t>
      </w:r>
      <w:r w:rsidR="00ED476B">
        <w:rPr>
          <w:sz w:val="20"/>
          <w:szCs w:val="20"/>
        </w:rPr>
        <w:t xml:space="preserve">or cingulate cortex; FEP: First </w:t>
      </w:r>
      <w:r w:rsidRPr="00826EA3">
        <w:rPr>
          <w:sz w:val="20"/>
          <w:szCs w:val="20"/>
        </w:rPr>
        <w:t xml:space="preserve">episode psychosis; HCs: Healthy controls; </w:t>
      </w:r>
      <w:r w:rsidRPr="00826EA3">
        <w:rPr>
          <w:rFonts w:cs="Arial"/>
          <w:sz w:val="20"/>
          <w:szCs w:val="20"/>
        </w:rPr>
        <w:t xml:space="preserve">FWHM: Full-width half-maximum; GABA: </w:t>
      </w:r>
      <w:r w:rsidRPr="00826EA3">
        <w:rPr>
          <w:sz w:val="20"/>
          <w:szCs w:val="20"/>
        </w:rPr>
        <w:t>Gamma-aminobutyric acid</w:t>
      </w:r>
      <w:r w:rsidRPr="00826EA3">
        <w:rPr>
          <w:rFonts w:cs="Arial"/>
          <w:sz w:val="20"/>
          <w:szCs w:val="20"/>
        </w:rPr>
        <w:t xml:space="preserve">; </w:t>
      </w:r>
      <w:proofErr w:type="spellStart"/>
      <w:r w:rsidRPr="00826EA3">
        <w:rPr>
          <w:sz w:val="20"/>
          <w:szCs w:val="20"/>
        </w:rPr>
        <w:t>Glx</w:t>
      </w:r>
      <w:proofErr w:type="spellEnd"/>
      <w:r w:rsidRPr="00826EA3">
        <w:rPr>
          <w:sz w:val="20"/>
          <w:szCs w:val="20"/>
        </w:rPr>
        <w:t xml:space="preserve">: </w:t>
      </w:r>
      <w:proofErr w:type="spellStart"/>
      <w:r w:rsidRPr="00826EA3">
        <w:rPr>
          <w:sz w:val="20"/>
          <w:szCs w:val="20"/>
        </w:rPr>
        <w:t>Glutamate+glutamine</w:t>
      </w:r>
      <w:proofErr w:type="spellEnd"/>
      <w:r w:rsidRPr="00826EA3">
        <w:rPr>
          <w:sz w:val="20"/>
          <w:szCs w:val="20"/>
        </w:rPr>
        <w:t>.</w:t>
      </w:r>
      <w:r w:rsidR="00BD607D">
        <w:rPr>
          <w:sz w:val="20"/>
          <w:szCs w:val="20"/>
        </w:rPr>
        <w:t xml:space="preserve"> A: n state</w:t>
      </w:r>
      <w:r w:rsidR="009511D7">
        <w:rPr>
          <w:sz w:val="20"/>
          <w:szCs w:val="20"/>
        </w:rPr>
        <w:t>s</w:t>
      </w:r>
      <w:r w:rsidR="00BD607D">
        <w:rPr>
          <w:sz w:val="20"/>
          <w:szCs w:val="20"/>
        </w:rPr>
        <w:t xml:space="preserve"> the number of </w:t>
      </w:r>
      <w:proofErr w:type="spellStart"/>
      <w:r w:rsidR="00BD607D">
        <w:rPr>
          <w:sz w:val="20"/>
          <w:szCs w:val="20"/>
        </w:rPr>
        <w:t>analyzed</w:t>
      </w:r>
      <w:proofErr w:type="spellEnd"/>
      <w:r w:rsidR="00BD607D">
        <w:rPr>
          <w:sz w:val="20"/>
          <w:szCs w:val="20"/>
        </w:rPr>
        <w:t xml:space="preserve"> spectra.</w:t>
      </w:r>
    </w:p>
    <w:p w14:paraId="608F9701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FA0E5C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5A9B7954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98A5F5D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C79301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0036391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3B383E3B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7B83D57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2162E02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57F00939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E9EAB59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8202E6E" w14:textId="52814102" w:rsidR="00F35528" w:rsidRPr="00826EA3" w:rsidRDefault="00F35528" w:rsidP="001208D8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 xml:space="preserve">6. Spectral quality for PRESS acquisitions in ACC and left thalamus at </w:t>
      </w:r>
      <w:r w:rsidR="00EC15BA">
        <w:rPr>
          <w:b/>
          <w:sz w:val="24"/>
          <w:szCs w:val="24"/>
        </w:rPr>
        <w:t>2</w:t>
      </w:r>
      <w:r w:rsidR="008B01B4">
        <w:rPr>
          <w:b/>
          <w:sz w:val="24"/>
          <w:szCs w:val="24"/>
        </w:rPr>
        <w:t>6</w:t>
      </w:r>
      <w:r w:rsidRPr="00826EA3">
        <w:rPr>
          <w:b/>
          <w:sz w:val="24"/>
          <w:szCs w:val="24"/>
        </w:rPr>
        <w:t xml:space="preserve"> </w:t>
      </w:r>
      <w:r w:rsidR="00EC15BA">
        <w:rPr>
          <w:b/>
          <w:sz w:val="24"/>
          <w:szCs w:val="24"/>
        </w:rPr>
        <w:t>weeks</w:t>
      </w:r>
    </w:p>
    <w:tbl>
      <w:tblPr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2096"/>
        <w:gridCol w:w="2142"/>
        <w:gridCol w:w="1142"/>
        <w:gridCol w:w="2000"/>
        <w:gridCol w:w="2142"/>
        <w:gridCol w:w="1363"/>
      </w:tblGrid>
      <w:tr w:rsidR="00F35528" w:rsidRPr="00590F53" w14:paraId="5EBE800B" w14:textId="77777777" w:rsidTr="00590F53">
        <w:trPr>
          <w:trHeight w:val="317"/>
        </w:trPr>
        <w:tc>
          <w:tcPr>
            <w:tcW w:w="286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5A1F52C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4238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51477033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590F53">
              <w:rPr>
                <w:b/>
                <w:sz w:val="26"/>
                <w:szCs w:val="26"/>
                <w:lang w:val="da-DK"/>
              </w:rPr>
              <w:t>ACC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CA83EDA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4142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D80015F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proofErr w:type="spellStart"/>
            <w:r w:rsidRPr="00590F53">
              <w:rPr>
                <w:b/>
                <w:sz w:val="26"/>
                <w:szCs w:val="26"/>
                <w:lang w:val="da-DK"/>
              </w:rPr>
              <w:t>Left</w:t>
            </w:r>
            <w:proofErr w:type="spellEnd"/>
            <w:r w:rsidRPr="00590F53">
              <w:rPr>
                <w:b/>
                <w:sz w:val="26"/>
                <w:szCs w:val="26"/>
                <w:lang w:val="da-DK"/>
              </w:rPr>
              <w:t xml:space="preserve"> thalamus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2C15AA0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7A8D5F09" w14:textId="77777777" w:rsidTr="00590F53">
        <w:trPr>
          <w:trHeight w:val="251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43109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09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E16972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21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971169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839832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  <w:tc>
          <w:tcPr>
            <w:tcW w:w="200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B72B910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214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B32982B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047F1D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</w:tr>
      <w:tr w:rsidR="00F35528" w:rsidRPr="00590F53" w14:paraId="513B18E0" w14:textId="77777777" w:rsidTr="00590F53">
        <w:trPr>
          <w:trHeight w:val="317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C83E4D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AEFD139" w14:textId="70942080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D3A3081" w14:textId="7DAFCFF9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C639291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2FA8604" w14:textId="5CCA7EDD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FF409EA" w14:textId="5F71C46B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02D3445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45BA3D9E" w14:textId="77777777" w:rsidTr="00590F53">
        <w:trPr>
          <w:trHeight w:val="558"/>
        </w:trPr>
        <w:tc>
          <w:tcPr>
            <w:tcW w:w="286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3363319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FWHM</w:t>
            </w:r>
          </w:p>
        </w:tc>
        <w:tc>
          <w:tcPr>
            <w:tcW w:w="2096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532B3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0.032 ± 0.009, n=26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AE7EE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0.026 ± 0.006, n=31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7464EA9" w14:textId="77777777" w:rsidR="00F35528" w:rsidRPr="00590F53" w:rsidRDefault="00F35528" w:rsidP="00590F53">
            <w:pPr>
              <w:spacing w:after="0" w:line="240" w:lineRule="auto"/>
              <w:rPr>
                <w:highlight w:val="yellow"/>
                <w:lang w:val="da-DK"/>
              </w:rPr>
            </w:pPr>
            <w:r w:rsidRPr="00590F53">
              <w:rPr>
                <w:lang w:val="da-DK"/>
              </w:rPr>
              <w:t>P=0.004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4489D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0.046 ± 0.005, n=25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685B16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0.046 ± 0.006, n=26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7B495C" w14:textId="77777777" w:rsidR="00F35528" w:rsidRPr="00590F53" w:rsidRDefault="00F35528" w:rsidP="00590F53">
            <w:pPr>
              <w:spacing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P=0.86</w:t>
            </w:r>
          </w:p>
        </w:tc>
      </w:tr>
      <w:tr w:rsidR="00F35528" w:rsidRPr="00590F53" w14:paraId="15CD72F2" w14:textId="77777777" w:rsidTr="00590F53">
        <w:trPr>
          <w:trHeight w:val="558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DA9F28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Signal to </w:t>
            </w:r>
            <w:proofErr w:type="spellStart"/>
            <w:r w:rsidRPr="00590F53">
              <w:rPr>
                <w:b/>
                <w:lang w:val="da-DK"/>
              </w:rPr>
              <w:t>noise</w:t>
            </w:r>
            <w:proofErr w:type="spellEnd"/>
            <w:r w:rsidRPr="00590F53">
              <w:rPr>
                <w:b/>
                <w:lang w:val="da-DK"/>
              </w:rPr>
              <w:t xml:space="preserve"> ratio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18835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30.7 ± 3.4,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72A6B3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31.7 ± 2.0,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71E69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P=0.16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A6EB5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16.0 ± 3.0,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A052D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16.1 ± 2.9,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95AAFC" w14:textId="77777777" w:rsidR="00F35528" w:rsidRPr="00590F53" w:rsidRDefault="00F35528" w:rsidP="00590F53">
            <w:pPr>
              <w:spacing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P=0.85</w:t>
            </w:r>
          </w:p>
        </w:tc>
      </w:tr>
      <w:tr w:rsidR="00F35528" w:rsidRPr="00590F53" w14:paraId="69D092EB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BF68E3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glutamate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277E12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5.2 ± 0.5,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1C357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5.1 ± 0.3,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3B96D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P=0.25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162E3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9.9 ± 1.6,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F8B13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9.4 ± 1.1,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B3DA76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P=0.17</w:t>
            </w:r>
          </w:p>
        </w:tc>
      </w:tr>
      <w:tr w:rsidR="00F35528" w:rsidRPr="00590F53" w14:paraId="7BBEE2F7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A1281A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CRLB (%) Glx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8C220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5.2 ± 0.7,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02ED79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4.8 ± 0.5,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5CE208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P=0.04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582F66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8.7 ± 1.6,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1F4BA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8.2 ± 1.0,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A4FE5C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P=0.14</w:t>
            </w:r>
          </w:p>
        </w:tc>
      </w:tr>
      <w:tr w:rsidR="00F35528" w:rsidRPr="00590F53" w14:paraId="02E7F8BA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160BE0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glutamine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D26AD1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16.3 ± 2.0, n=21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58909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16.3 ± 2.3, n=29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B0DC2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P=0.99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FBC84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3FE18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BCC54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-</w:t>
            </w:r>
          </w:p>
        </w:tc>
      </w:tr>
      <w:tr w:rsidR="00F35528" w:rsidRPr="00590F53" w14:paraId="73FC846F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3DAE32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CRLB (%) NAA</w:t>
            </w:r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50779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0.2,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092BB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0.0,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DE93A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P=0.33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D3196E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5.1 ± 0.9,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83476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5.0 ± 0.8,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58493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P=0.62</w:t>
            </w:r>
          </w:p>
        </w:tc>
      </w:tr>
      <w:tr w:rsidR="00F35528" w:rsidRPr="00590F53" w14:paraId="31F69505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7199E6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PCr+Cr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29E4E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2.9 ± 0.3,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3F04F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0.2,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CADBD5D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P=0.48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465F85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3.9 ± 0.7,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CB36C6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3.9 ± 0.6,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01326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P=0.98</w:t>
            </w:r>
          </w:p>
        </w:tc>
      </w:tr>
      <w:tr w:rsidR="00F35528" w:rsidRPr="00590F53" w14:paraId="2F7C3BCB" w14:textId="77777777" w:rsidTr="00590F53">
        <w:trPr>
          <w:trHeight w:val="483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BFBC4D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myo-inositol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A7CDD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4.2 ± 0.7,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913C5F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4.0 ± 0.3,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BC60557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P=0.13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6C7CC20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8.3 ± 1.4,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EEA24B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8.2 ± 2.1,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2D4F9B4" w14:textId="77777777" w:rsidR="00F35528" w:rsidRPr="00590F53" w:rsidRDefault="00F35528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P=0.86</w:t>
            </w:r>
          </w:p>
        </w:tc>
      </w:tr>
      <w:tr w:rsidR="00BD607D" w:rsidRPr="00590F53" w14:paraId="308A1C57" w14:textId="77777777" w:rsidTr="00590F53">
        <w:trPr>
          <w:trHeight w:val="497"/>
        </w:trPr>
        <w:tc>
          <w:tcPr>
            <w:tcW w:w="28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1F30AA4" w14:textId="2466650C" w:rsidR="00BD607D" w:rsidRPr="00590F53" w:rsidRDefault="00BD607D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CRLB (%) </w:t>
            </w:r>
            <w:proofErr w:type="spellStart"/>
            <w:r w:rsidRPr="00590F53">
              <w:rPr>
                <w:b/>
                <w:lang w:val="da-DK"/>
              </w:rPr>
              <w:t>choline</w:t>
            </w:r>
            <w:proofErr w:type="spellEnd"/>
          </w:p>
        </w:tc>
        <w:tc>
          <w:tcPr>
            <w:tcW w:w="209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3EC14E2" w14:textId="208E98E8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0.5, n=26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2EA241A" w14:textId="450E9959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3.0 ± 0.0, n=31</w:t>
            </w:r>
          </w:p>
        </w:tc>
        <w:tc>
          <w:tcPr>
            <w:tcW w:w="1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B77D8FB" w14:textId="7C10E6F0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P=1.00</w:t>
            </w:r>
          </w:p>
        </w:tc>
        <w:tc>
          <w:tcPr>
            <w:tcW w:w="2000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FCBDF5D" w14:textId="3EBEB259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4.5 ± 0.7, n=25</w:t>
            </w:r>
          </w:p>
        </w:tc>
        <w:tc>
          <w:tcPr>
            <w:tcW w:w="21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B44C5E2" w14:textId="3039CE69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4.5 ± 0.7, n=26</w:t>
            </w:r>
          </w:p>
        </w:tc>
        <w:tc>
          <w:tcPr>
            <w:tcW w:w="136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868336F" w14:textId="6CAA710E" w:rsidR="00BD607D" w:rsidRPr="00590F53" w:rsidRDefault="00BD607D" w:rsidP="00590F53">
            <w:pPr>
              <w:spacing w:after="0" w:line="240" w:lineRule="auto"/>
              <w:rPr>
                <w:lang w:val="da-DK"/>
              </w:rPr>
            </w:pPr>
            <w:r w:rsidRPr="00590F53">
              <w:rPr>
                <w:lang w:val="da-DK"/>
              </w:rPr>
              <w:t>P=0.92</w:t>
            </w:r>
          </w:p>
        </w:tc>
      </w:tr>
    </w:tbl>
    <w:p w14:paraId="3D6E087A" w14:textId="0B195CB4" w:rsidR="00F35528" w:rsidRPr="00826EA3" w:rsidRDefault="00F35528" w:rsidP="00F35528">
      <w:pPr>
        <w:spacing w:line="240" w:lineRule="auto"/>
        <w:rPr>
          <w:sz w:val="20"/>
          <w:szCs w:val="20"/>
        </w:rPr>
      </w:pPr>
      <w:r w:rsidRPr="00826EA3">
        <w:rPr>
          <w:sz w:val="20"/>
          <w:szCs w:val="20"/>
        </w:rPr>
        <w:t>Abbreviations: ACC: Anteri</w:t>
      </w:r>
      <w:r w:rsidR="00ED476B">
        <w:rPr>
          <w:sz w:val="20"/>
          <w:szCs w:val="20"/>
        </w:rPr>
        <w:t xml:space="preserve">or cingulate cortex; FEP: First </w:t>
      </w:r>
      <w:r w:rsidRPr="00826EA3">
        <w:rPr>
          <w:sz w:val="20"/>
          <w:szCs w:val="20"/>
        </w:rPr>
        <w:t xml:space="preserve">episode psychosis; HCs: Healthy controls; </w:t>
      </w:r>
      <w:r w:rsidRPr="00826EA3">
        <w:rPr>
          <w:rFonts w:cs="Arial"/>
          <w:sz w:val="20"/>
          <w:szCs w:val="20"/>
        </w:rPr>
        <w:t xml:space="preserve">FWHM: Full-width half-maximum; CRLB: </w:t>
      </w:r>
      <w:proofErr w:type="spellStart"/>
      <w:r w:rsidRPr="00826EA3">
        <w:rPr>
          <w:rFonts w:cs="Arial"/>
          <w:sz w:val="20"/>
          <w:szCs w:val="20"/>
        </w:rPr>
        <w:t>Cramér</w:t>
      </w:r>
      <w:proofErr w:type="spellEnd"/>
      <w:r w:rsidRPr="00826EA3">
        <w:rPr>
          <w:rFonts w:cs="Arial"/>
          <w:sz w:val="20"/>
          <w:szCs w:val="20"/>
        </w:rPr>
        <w:t>-Rao lower bound;</w:t>
      </w:r>
      <w:r w:rsidRPr="00826EA3">
        <w:rPr>
          <w:sz w:val="20"/>
          <w:szCs w:val="20"/>
        </w:rPr>
        <w:t xml:space="preserve"> </w:t>
      </w:r>
      <w:proofErr w:type="spellStart"/>
      <w:r w:rsidRPr="00826EA3">
        <w:rPr>
          <w:sz w:val="20"/>
          <w:szCs w:val="20"/>
        </w:rPr>
        <w:t>Glx</w:t>
      </w:r>
      <w:proofErr w:type="spellEnd"/>
      <w:r w:rsidRPr="00826EA3">
        <w:rPr>
          <w:sz w:val="20"/>
          <w:szCs w:val="20"/>
        </w:rPr>
        <w:t xml:space="preserve">: </w:t>
      </w:r>
      <w:proofErr w:type="spellStart"/>
      <w:r w:rsidRPr="00826EA3">
        <w:rPr>
          <w:sz w:val="20"/>
          <w:szCs w:val="20"/>
        </w:rPr>
        <w:t>Glutamate+glutamine</w:t>
      </w:r>
      <w:proofErr w:type="spellEnd"/>
      <w:r w:rsidRPr="00826EA3">
        <w:rPr>
          <w:sz w:val="20"/>
          <w:szCs w:val="20"/>
        </w:rPr>
        <w:t xml:space="preserve">; NAA: N-acetyl aspartate; </w:t>
      </w:r>
      <w:proofErr w:type="spellStart"/>
      <w:r w:rsidRPr="00826EA3">
        <w:rPr>
          <w:sz w:val="20"/>
          <w:szCs w:val="20"/>
        </w:rPr>
        <w:t>PCr+Cr</w:t>
      </w:r>
      <w:proofErr w:type="spellEnd"/>
      <w:r w:rsidRPr="00826EA3">
        <w:rPr>
          <w:sz w:val="20"/>
          <w:szCs w:val="20"/>
        </w:rPr>
        <w:t>: Total creatine (</w:t>
      </w:r>
      <w:proofErr w:type="spellStart"/>
      <w:r w:rsidRPr="00826EA3">
        <w:rPr>
          <w:sz w:val="20"/>
          <w:szCs w:val="20"/>
        </w:rPr>
        <w:t>creatine+phosphocreatine</w:t>
      </w:r>
      <w:proofErr w:type="spellEnd"/>
      <w:r w:rsidRPr="00826EA3">
        <w:rPr>
          <w:sz w:val="20"/>
          <w:szCs w:val="20"/>
        </w:rPr>
        <w:t>).</w:t>
      </w:r>
      <w:r w:rsidR="00BD607D">
        <w:rPr>
          <w:sz w:val="20"/>
          <w:szCs w:val="20"/>
        </w:rPr>
        <w:t xml:space="preserve"> A: n state</w:t>
      </w:r>
      <w:r w:rsidR="009511D7">
        <w:rPr>
          <w:sz w:val="20"/>
          <w:szCs w:val="20"/>
        </w:rPr>
        <w:t>s</w:t>
      </w:r>
      <w:r w:rsidR="00BD607D">
        <w:rPr>
          <w:sz w:val="20"/>
          <w:szCs w:val="20"/>
        </w:rPr>
        <w:t xml:space="preserve"> the number of </w:t>
      </w:r>
      <w:proofErr w:type="spellStart"/>
      <w:r w:rsidR="00BD607D">
        <w:rPr>
          <w:sz w:val="20"/>
          <w:szCs w:val="20"/>
        </w:rPr>
        <w:t>analyzed</w:t>
      </w:r>
      <w:proofErr w:type="spellEnd"/>
      <w:r w:rsidR="00BD607D">
        <w:rPr>
          <w:sz w:val="20"/>
          <w:szCs w:val="20"/>
        </w:rPr>
        <w:t xml:space="preserve"> spectra.</w:t>
      </w:r>
    </w:p>
    <w:p w14:paraId="4148061D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031F5F8E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5A175F8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E378B7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1C0241D" w14:textId="77777777" w:rsidR="00BD607D" w:rsidRDefault="00BD607D" w:rsidP="007708E0">
      <w:pPr>
        <w:spacing w:line="240" w:lineRule="auto"/>
        <w:rPr>
          <w:rFonts w:ascii="Times New Roman" w:hAnsi="Times New Roman"/>
        </w:rPr>
      </w:pPr>
    </w:p>
    <w:p w14:paraId="33EDC240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4341D450" w14:textId="43A7C06B" w:rsidR="00F35528" w:rsidRPr="00826EA3" w:rsidRDefault="00F35528" w:rsidP="001208D8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826EA3">
        <w:rPr>
          <w:b/>
          <w:sz w:val="24"/>
          <w:szCs w:val="24"/>
        </w:rPr>
        <w:lastRenderedPageBreak/>
        <w:t xml:space="preserve">Table </w:t>
      </w:r>
      <w:r w:rsidR="00D96951" w:rsidRPr="00826EA3">
        <w:rPr>
          <w:b/>
          <w:sz w:val="24"/>
          <w:szCs w:val="24"/>
        </w:rPr>
        <w:t>S</w:t>
      </w:r>
      <w:r w:rsidRPr="00826EA3">
        <w:rPr>
          <w:b/>
          <w:sz w:val="24"/>
          <w:szCs w:val="24"/>
        </w:rPr>
        <w:t xml:space="preserve">7. Spectral quality for MEGAPRESS acquisitions in ACC at </w:t>
      </w:r>
      <w:r w:rsidR="00EC15BA">
        <w:rPr>
          <w:b/>
          <w:sz w:val="24"/>
          <w:szCs w:val="24"/>
        </w:rPr>
        <w:t>26</w:t>
      </w:r>
      <w:r w:rsidR="00EC15BA" w:rsidRPr="00826EA3">
        <w:rPr>
          <w:b/>
          <w:sz w:val="24"/>
          <w:szCs w:val="24"/>
        </w:rPr>
        <w:t xml:space="preserve"> </w:t>
      </w:r>
      <w:r w:rsidR="00EC15BA">
        <w:rPr>
          <w:b/>
          <w:sz w:val="24"/>
          <w:szCs w:val="24"/>
        </w:rPr>
        <w:t>weeks</w:t>
      </w:r>
    </w:p>
    <w:tbl>
      <w:tblPr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3495"/>
        <w:gridCol w:w="3572"/>
        <w:gridCol w:w="1904"/>
      </w:tblGrid>
      <w:tr w:rsidR="00F35528" w:rsidRPr="00590F53" w14:paraId="461BBD4D" w14:textId="77777777" w:rsidTr="00590F53">
        <w:trPr>
          <w:trHeight w:val="317"/>
        </w:trPr>
        <w:tc>
          <w:tcPr>
            <w:tcW w:w="478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7ACA57" w14:textId="77777777" w:rsidR="00F35528" w:rsidRPr="00590F53" w:rsidRDefault="00F35528" w:rsidP="00590F53">
            <w:pPr>
              <w:spacing w:after="0" w:line="240" w:lineRule="auto"/>
            </w:pPr>
          </w:p>
        </w:tc>
        <w:tc>
          <w:tcPr>
            <w:tcW w:w="7067" w:type="dxa"/>
            <w:gridSpan w:val="2"/>
            <w:tcBorders>
              <w:top w:val="single" w:sz="18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4B15E2C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sz w:val="26"/>
                <w:szCs w:val="26"/>
                <w:lang w:val="da-DK"/>
              </w:rPr>
            </w:pPr>
            <w:r w:rsidRPr="00590F53">
              <w:rPr>
                <w:b/>
                <w:sz w:val="26"/>
                <w:szCs w:val="26"/>
                <w:lang w:val="da-DK"/>
              </w:rPr>
              <w:t>ACC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768D69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1E1DF662" w14:textId="77777777" w:rsidTr="00590F53">
        <w:trPr>
          <w:trHeight w:val="251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3A09BE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49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947E8A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FEP</w:t>
            </w:r>
          </w:p>
        </w:tc>
        <w:tc>
          <w:tcPr>
            <w:tcW w:w="357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C736AB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HCs</w:t>
            </w:r>
            <w:proofErr w:type="spellEnd"/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892359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  <w:proofErr w:type="spellStart"/>
            <w:r w:rsidRPr="00590F53">
              <w:rPr>
                <w:b/>
                <w:lang w:val="da-DK"/>
              </w:rPr>
              <w:t>Statistics</w:t>
            </w:r>
            <w:proofErr w:type="spellEnd"/>
          </w:p>
        </w:tc>
      </w:tr>
      <w:tr w:rsidR="00F35528" w:rsidRPr="00590F53" w14:paraId="539CD944" w14:textId="77777777" w:rsidTr="00590F53">
        <w:trPr>
          <w:trHeight w:val="317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E81DA8D" w14:textId="77777777" w:rsidR="00F35528" w:rsidRPr="00590F53" w:rsidRDefault="00F35528" w:rsidP="00590F53">
            <w:pPr>
              <w:spacing w:after="0" w:line="240" w:lineRule="auto"/>
              <w:jc w:val="center"/>
              <w:rPr>
                <w:lang w:val="da-DK"/>
              </w:rPr>
            </w:pP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6AA41F7" w14:textId="2A89186F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CB18C8D" w14:textId="687B32D0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Mean ± SD, n</w:t>
            </w:r>
            <w:r w:rsidR="00BD607D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269E5AD" w14:textId="77777777" w:rsidR="00F35528" w:rsidRPr="00590F53" w:rsidRDefault="00F35528" w:rsidP="00590F53">
            <w:pPr>
              <w:spacing w:after="0" w:line="240" w:lineRule="auto"/>
              <w:jc w:val="center"/>
              <w:rPr>
                <w:b/>
                <w:lang w:val="da-DK"/>
              </w:rPr>
            </w:pPr>
          </w:p>
        </w:tc>
      </w:tr>
      <w:tr w:rsidR="00F35528" w:rsidRPr="00590F53" w14:paraId="430466ED" w14:textId="77777777" w:rsidTr="00590F53">
        <w:trPr>
          <w:trHeight w:val="558"/>
        </w:trPr>
        <w:tc>
          <w:tcPr>
            <w:tcW w:w="478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47E11E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>FWHM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940674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20.0 ± 1.4, n=24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C85FB7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20.1 ± 2.0, n=29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0CC592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 = 0.72</w:t>
            </w:r>
          </w:p>
        </w:tc>
      </w:tr>
      <w:tr w:rsidR="00F35528" w:rsidRPr="00590F53" w14:paraId="5C31C987" w14:textId="77777777" w:rsidTr="00590F53">
        <w:trPr>
          <w:trHeight w:val="558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ED79BA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Signal to </w:t>
            </w:r>
            <w:proofErr w:type="spellStart"/>
            <w:r w:rsidRPr="00590F53">
              <w:rPr>
                <w:b/>
                <w:lang w:val="da-DK"/>
              </w:rPr>
              <w:t>noise</w:t>
            </w:r>
            <w:proofErr w:type="spellEnd"/>
            <w:r w:rsidRPr="00590F53">
              <w:rPr>
                <w:b/>
                <w:lang w:val="da-DK"/>
              </w:rPr>
              <w:t xml:space="preserve"> ratio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639011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21.5 ± 6.2, n=24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D9A9832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21.9 ± 3.7, n=29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CD7C98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 = 0.76</w:t>
            </w:r>
          </w:p>
        </w:tc>
      </w:tr>
      <w:tr w:rsidR="00F35528" w:rsidRPr="00590F53" w14:paraId="7C9E0B5B" w14:textId="77777777" w:rsidTr="00590F53">
        <w:trPr>
          <w:trHeight w:val="483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0D390C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Fit </w:t>
            </w:r>
            <w:proofErr w:type="spellStart"/>
            <w:r w:rsidRPr="00590F53">
              <w:rPr>
                <w:b/>
                <w:lang w:val="da-DK"/>
              </w:rPr>
              <w:t>error</w:t>
            </w:r>
            <w:proofErr w:type="spellEnd"/>
            <w:r w:rsidRPr="00590F53">
              <w:rPr>
                <w:b/>
                <w:lang w:val="da-DK"/>
              </w:rPr>
              <w:t xml:space="preserve"> (%) GABA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528EF8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6.1 ± 1.4, n=24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43CBFD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6.2 ± 1.2, n=29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CF5612E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 = 0.83</w:t>
            </w:r>
          </w:p>
        </w:tc>
      </w:tr>
      <w:tr w:rsidR="00F35528" w:rsidRPr="00590F53" w14:paraId="36C4D801" w14:textId="77777777" w:rsidTr="00590F53">
        <w:trPr>
          <w:trHeight w:val="483"/>
        </w:trPr>
        <w:tc>
          <w:tcPr>
            <w:tcW w:w="478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626A69B" w14:textId="77777777" w:rsidR="00F35528" w:rsidRPr="00590F53" w:rsidRDefault="00F35528" w:rsidP="00590F53">
            <w:pPr>
              <w:spacing w:after="0" w:line="240" w:lineRule="auto"/>
              <w:rPr>
                <w:b/>
                <w:lang w:val="da-DK"/>
              </w:rPr>
            </w:pPr>
            <w:r w:rsidRPr="00590F53">
              <w:rPr>
                <w:b/>
                <w:lang w:val="da-DK"/>
              </w:rPr>
              <w:t xml:space="preserve">Fit </w:t>
            </w:r>
            <w:proofErr w:type="spellStart"/>
            <w:r w:rsidRPr="00590F53">
              <w:rPr>
                <w:b/>
                <w:lang w:val="da-DK"/>
              </w:rPr>
              <w:t>error</w:t>
            </w:r>
            <w:proofErr w:type="spellEnd"/>
            <w:r w:rsidRPr="00590F53">
              <w:rPr>
                <w:b/>
                <w:lang w:val="da-DK"/>
              </w:rPr>
              <w:t xml:space="preserve"> (%) Glx</w:t>
            </w:r>
          </w:p>
        </w:tc>
        <w:tc>
          <w:tcPr>
            <w:tcW w:w="3495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3D26E96" w14:textId="158DA8C8" w:rsidR="00F35528" w:rsidRPr="00590F53" w:rsidRDefault="00F35528" w:rsidP="0015613B">
            <w:pPr>
              <w:tabs>
                <w:tab w:val="left" w:pos="1741"/>
              </w:tabs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3.5 ± 1.1, n=24</w:t>
            </w:r>
          </w:p>
        </w:tc>
        <w:tc>
          <w:tcPr>
            <w:tcW w:w="357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AE94802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2.9 ± 0.7, n=29</w:t>
            </w:r>
          </w:p>
        </w:tc>
        <w:tc>
          <w:tcPr>
            <w:tcW w:w="190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27C548F" w14:textId="77777777" w:rsidR="00F35528" w:rsidRPr="00590F53" w:rsidRDefault="00F35528" w:rsidP="0015613B">
            <w:pPr>
              <w:spacing w:after="0" w:line="240" w:lineRule="auto"/>
              <w:jc w:val="center"/>
              <w:rPr>
                <w:lang w:val="da-DK"/>
              </w:rPr>
            </w:pPr>
            <w:r w:rsidRPr="00590F53">
              <w:rPr>
                <w:lang w:val="da-DK"/>
              </w:rPr>
              <w:t>P = 0.03</w:t>
            </w:r>
          </w:p>
        </w:tc>
      </w:tr>
    </w:tbl>
    <w:p w14:paraId="389F60FA" w14:textId="67062BD2" w:rsidR="00F35528" w:rsidRPr="00826EA3" w:rsidRDefault="00F35528" w:rsidP="00F35528">
      <w:pPr>
        <w:spacing w:line="240" w:lineRule="auto"/>
        <w:rPr>
          <w:sz w:val="20"/>
          <w:szCs w:val="20"/>
        </w:rPr>
      </w:pPr>
      <w:r w:rsidRPr="00826EA3">
        <w:rPr>
          <w:sz w:val="20"/>
          <w:szCs w:val="20"/>
        </w:rPr>
        <w:t>Abbreviations: ACC: Anteri</w:t>
      </w:r>
      <w:r w:rsidR="00ED476B">
        <w:rPr>
          <w:sz w:val="20"/>
          <w:szCs w:val="20"/>
        </w:rPr>
        <w:t xml:space="preserve">or cingulate cortex; FEP: First </w:t>
      </w:r>
      <w:r w:rsidRPr="00826EA3">
        <w:rPr>
          <w:sz w:val="20"/>
          <w:szCs w:val="20"/>
        </w:rPr>
        <w:t xml:space="preserve">episode psychosis; HCs: Healthy controls; </w:t>
      </w:r>
      <w:r w:rsidRPr="00826EA3">
        <w:rPr>
          <w:rFonts w:cs="Arial"/>
          <w:sz w:val="20"/>
          <w:szCs w:val="20"/>
        </w:rPr>
        <w:t xml:space="preserve">FWHM: Full-width half-maximum; GABA: </w:t>
      </w:r>
      <w:r w:rsidRPr="00826EA3">
        <w:rPr>
          <w:sz w:val="20"/>
          <w:szCs w:val="20"/>
        </w:rPr>
        <w:t>Gamma-aminobutyric acid</w:t>
      </w:r>
      <w:r w:rsidRPr="00826EA3">
        <w:rPr>
          <w:rFonts w:cs="Arial"/>
          <w:sz w:val="20"/>
          <w:szCs w:val="20"/>
        </w:rPr>
        <w:t xml:space="preserve">; </w:t>
      </w:r>
      <w:proofErr w:type="spellStart"/>
      <w:r w:rsidRPr="00826EA3">
        <w:rPr>
          <w:sz w:val="20"/>
          <w:szCs w:val="20"/>
        </w:rPr>
        <w:t>Glx</w:t>
      </w:r>
      <w:proofErr w:type="spellEnd"/>
      <w:r w:rsidRPr="00826EA3">
        <w:rPr>
          <w:sz w:val="20"/>
          <w:szCs w:val="20"/>
        </w:rPr>
        <w:t xml:space="preserve">: </w:t>
      </w:r>
      <w:proofErr w:type="spellStart"/>
      <w:r w:rsidRPr="00826EA3">
        <w:rPr>
          <w:sz w:val="20"/>
          <w:szCs w:val="20"/>
        </w:rPr>
        <w:t>Glutamate+glutamine</w:t>
      </w:r>
      <w:proofErr w:type="spellEnd"/>
      <w:r w:rsidRPr="00826EA3">
        <w:rPr>
          <w:sz w:val="20"/>
          <w:szCs w:val="20"/>
        </w:rPr>
        <w:t>.</w:t>
      </w:r>
      <w:r w:rsidR="00BD607D">
        <w:rPr>
          <w:sz w:val="20"/>
          <w:szCs w:val="20"/>
        </w:rPr>
        <w:t xml:space="preserve"> A: n state</w:t>
      </w:r>
      <w:r w:rsidR="009511D7">
        <w:rPr>
          <w:sz w:val="20"/>
          <w:szCs w:val="20"/>
        </w:rPr>
        <w:t>s</w:t>
      </w:r>
      <w:r w:rsidR="00BD607D">
        <w:rPr>
          <w:sz w:val="20"/>
          <w:szCs w:val="20"/>
        </w:rPr>
        <w:t xml:space="preserve"> the number of </w:t>
      </w:r>
      <w:proofErr w:type="spellStart"/>
      <w:r w:rsidR="00BD607D">
        <w:rPr>
          <w:sz w:val="20"/>
          <w:szCs w:val="20"/>
        </w:rPr>
        <w:t>analyzed</w:t>
      </w:r>
      <w:proofErr w:type="spellEnd"/>
      <w:r w:rsidR="00BD607D">
        <w:rPr>
          <w:sz w:val="20"/>
          <w:szCs w:val="20"/>
        </w:rPr>
        <w:t xml:space="preserve"> spectra.</w:t>
      </w:r>
    </w:p>
    <w:p w14:paraId="55581CA7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30501799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0BA615C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D9D90C2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0C76827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1CF35572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3E21AF83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2D56F7CD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7C6D4AB0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07D72C44" w14:textId="77777777" w:rsidR="00F35528" w:rsidRDefault="00F35528" w:rsidP="007708E0">
      <w:pPr>
        <w:spacing w:line="240" w:lineRule="auto"/>
        <w:rPr>
          <w:rFonts w:ascii="Times New Roman" w:hAnsi="Times New Roman"/>
        </w:rPr>
      </w:pPr>
    </w:p>
    <w:p w14:paraId="64C9D696" w14:textId="77777777" w:rsidR="001E76BC" w:rsidRPr="007F6465" w:rsidRDefault="001E76B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2E3A26F0" w14:textId="70DA1E40" w:rsidR="001E76BC" w:rsidRPr="00826EA3" w:rsidRDefault="001E76BC" w:rsidP="001208D8">
      <w:pPr>
        <w:ind w:left="-709" w:right="-314"/>
        <w:outlineLvl w:val="0"/>
        <w:rPr>
          <w:rFonts w:cs="Arial"/>
          <w:b/>
          <w:sz w:val="24"/>
          <w:szCs w:val="24"/>
        </w:rPr>
      </w:pPr>
      <w:r w:rsidRPr="00826EA3">
        <w:rPr>
          <w:rFonts w:cs="Arial"/>
          <w:b/>
          <w:sz w:val="24"/>
          <w:szCs w:val="24"/>
        </w:rPr>
        <w:lastRenderedPageBreak/>
        <w:t>Table S8. Metabolites</w:t>
      </w:r>
      <w:r w:rsidR="0097005F">
        <w:rPr>
          <w:rFonts w:cs="Arial"/>
          <w:b/>
          <w:sz w:val="24"/>
          <w:szCs w:val="24"/>
        </w:rPr>
        <w:t xml:space="preserve"> </w:t>
      </w:r>
      <w:r w:rsidR="0097005F" w:rsidRPr="00F83441">
        <w:rPr>
          <w:rFonts w:cs="Arial"/>
          <w:b/>
          <w:sz w:val="24"/>
          <w:szCs w:val="24"/>
        </w:rPr>
        <w:t xml:space="preserve">scaled to </w:t>
      </w:r>
      <w:r w:rsidR="00977438" w:rsidRPr="00F83441">
        <w:rPr>
          <w:rFonts w:cs="Arial"/>
          <w:b/>
          <w:sz w:val="24"/>
          <w:szCs w:val="24"/>
        </w:rPr>
        <w:t xml:space="preserve">total </w:t>
      </w:r>
      <w:r w:rsidR="0097005F" w:rsidRPr="00F83441">
        <w:rPr>
          <w:rFonts w:cs="Arial"/>
          <w:b/>
          <w:sz w:val="24"/>
          <w:szCs w:val="24"/>
        </w:rPr>
        <w:t>creatine</w:t>
      </w:r>
      <w:r w:rsidRPr="00F83441">
        <w:rPr>
          <w:rFonts w:cs="Arial"/>
          <w:b/>
          <w:sz w:val="24"/>
          <w:szCs w:val="24"/>
        </w:rPr>
        <w:t xml:space="preserve"> in</w:t>
      </w:r>
      <w:r w:rsidRPr="00826EA3">
        <w:rPr>
          <w:rFonts w:cs="Arial"/>
          <w:b/>
          <w:sz w:val="24"/>
          <w:szCs w:val="24"/>
        </w:rPr>
        <w:t xml:space="preserve"> ACC and left thalamus </w:t>
      </w:r>
      <w:r w:rsidR="009B44F1" w:rsidRPr="00826EA3">
        <w:rPr>
          <w:rFonts w:cs="Arial"/>
          <w:b/>
          <w:sz w:val="24"/>
          <w:szCs w:val="24"/>
        </w:rPr>
        <w:t xml:space="preserve">at all assessments </w:t>
      </w:r>
      <w:r w:rsidRPr="00826EA3">
        <w:rPr>
          <w:rFonts w:cs="Arial"/>
          <w:b/>
          <w:sz w:val="24"/>
          <w:szCs w:val="24"/>
        </w:rPr>
        <w:t xml:space="preserve">in first-episode psychosis patients and healthy controls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2268"/>
        <w:gridCol w:w="2126"/>
        <w:gridCol w:w="2126"/>
        <w:gridCol w:w="2127"/>
      </w:tblGrid>
      <w:tr w:rsidR="001E76BC" w:rsidRPr="00590F53" w14:paraId="1F3538F8" w14:textId="77777777" w:rsidTr="00590F53">
        <w:tc>
          <w:tcPr>
            <w:tcW w:w="2694" w:type="dxa"/>
            <w:tcBorders>
              <w:top w:val="single" w:sz="1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F494FD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D04728B" w14:textId="77777777" w:rsidR="001E76BC" w:rsidRPr="00590F53" w:rsidRDefault="001E76BC" w:rsidP="00590F5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 w:rsidRPr="00590F53">
              <w:rPr>
                <w:rFonts w:cs="Arial"/>
                <w:b/>
                <w:sz w:val="24"/>
                <w:szCs w:val="24"/>
                <w:lang w:val="da-DK"/>
              </w:rPr>
              <w:t>Baseline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EAB2705" w14:textId="21755172" w:rsidR="001E76BC" w:rsidRPr="00590F53" w:rsidRDefault="00EC15BA" w:rsidP="00590F5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>
              <w:rPr>
                <w:rFonts w:cs="Arial"/>
                <w:b/>
                <w:sz w:val="24"/>
                <w:szCs w:val="24"/>
                <w:lang w:val="da-DK"/>
              </w:rPr>
              <w:t xml:space="preserve">6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da-DK"/>
              </w:rPr>
              <w:t>weeks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704D391" w14:textId="35D8CC9E" w:rsidR="001E76BC" w:rsidRPr="00590F53" w:rsidRDefault="00EC15BA" w:rsidP="00590F5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>
              <w:rPr>
                <w:rFonts w:cs="Arial"/>
                <w:b/>
                <w:sz w:val="24"/>
                <w:szCs w:val="24"/>
                <w:lang w:val="da-DK"/>
              </w:rPr>
              <w:t xml:space="preserve">26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da-DK"/>
              </w:rPr>
              <w:t>weeks</w:t>
            </w:r>
            <w:proofErr w:type="spellEnd"/>
          </w:p>
        </w:tc>
      </w:tr>
      <w:tr w:rsidR="009B44F1" w:rsidRPr="00590F53" w14:paraId="768BBC0C" w14:textId="77777777" w:rsidTr="00590F53">
        <w:trPr>
          <w:trHeight w:val="95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7D74D05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9B2AB3B" w14:textId="77777777" w:rsidR="001E76BC" w:rsidRPr="00590F53" w:rsidRDefault="001E76BC" w:rsidP="00590F5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65FDE48" w14:textId="77777777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6DF6711" w14:textId="77777777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381DB22" w14:textId="77777777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7C066AB" w14:textId="77777777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B2F7441" w14:textId="77777777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</w:tr>
      <w:tr w:rsidR="009B44F1" w:rsidRPr="00590F53" w14:paraId="527A3712" w14:textId="77777777" w:rsidTr="00590F53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9BA21C7" w14:textId="639338EF" w:rsidR="001E76BC" w:rsidRPr="005F48FF" w:rsidRDefault="001E76BC" w:rsidP="00361017">
            <w:pPr>
              <w:spacing w:after="0" w:line="240" w:lineRule="auto"/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Thalamus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4AEAE3B" w14:textId="50A04C76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="009511D7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C5EC63A" w14:textId="30A23198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="009511D7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AE79323" w14:textId="59556F2E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="009511D7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104670D" w14:textId="3D97252F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="009511D7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0F2468D" w14:textId="6A7A3E02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="009511D7"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989471E" w14:textId="6EA9CCEF" w:rsidR="001E76BC" w:rsidRPr="00590F53" w:rsidRDefault="00483EE8" w:rsidP="00590F53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="009511D7" w:rsidRPr="00BD607D">
              <w:rPr>
                <w:b/>
                <w:vertAlign w:val="superscript"/>
                <w:lang w:val="da-DK"/>
              </w:rPr>
              <w:t>A</w:t>
            </w:r>
          </w:p>
        </w:tc>
      </w:tr>
      <w:tr w:rsidR="009B44F1" w:rsidRPr="00590F53" w14:paraId="14B5A771" w14:textId="77777777" w:rsidTr="00590F53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59F856E" w14:textId="21FC15D9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Glu</w:t>
            </w:r>
            <w:r w:rsidR="0090405F" w:rsidRPr="00590F53">
              <w:rPr>
                <w:rFonts w:cs="Arial"/>
                <w:b/>
                <w:sz w:val="20"/>
                <w:szCs w:val="20"/>
                <w:lang w:val="da-DK"/>
              </w:rPr>
              <w:t>tamate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CEA946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1.29 ± 0.15, n=38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A40B3E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1.22 ± 0.15, n=32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41833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1.20 ± 0.14, n=24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53FC4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1.23 ± 0.14, n=31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02BA3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1.21 ± 0.15, n=25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AF8CB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1.27 ± 0.12, n=26</w:t>
            </w:r>
          </w:p>
        </w:tc>
      </w:tr>
      <w:tr w:rsidR="009B44F1" w:rsidRPr="00590F53" w14:paraId="477A3956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E5498F" w14:textId="5EDEE452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243AC91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1.81 ± 0.27,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402AA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1.77 ± 0.22,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B19C7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1.70 ± 0.26,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CD545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1.80 ± 0.22,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2A051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1.74 ± 0.27,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1241F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1.82 ± 0.21, n=26</w:t>
            </w:r>
          </w:p>
        </w:tc>
      </w:tr>
      <w:tr w:rsidR="009B44F1" w:rsidRPr="00590F53" w14:paraId="778373AA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F67B73" w14:textId="27EA0A5D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NAA/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EAB12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1.29 ± 0.14,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9A54B2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1.31 ± 0.10,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B0075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1.24 ± 0.11,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170DF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1.33 ± 0.08,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7FA9C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1.27 ± 0.09,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A00F9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1.32 ± 0.09, n=26</w:t>
            </w:r>
          </w:p>
        </w:tc>
      </w:tr>
      <w:tr w:rsidR="009B44F1" w:rsidRPr="00590F53" w14:paraId="5FD0F032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F9301B" w14:textId="40F3ABCB" w:rsidR="001E76BC" w:rsidRPr="00590F53" w:rsidRDefault="001E76BC" w:rsidP="00590F53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Myo-inositol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</w:t>
            </w:r>
            <w:r w:rsidR="00361017">
              <w:rPr>
                <w:rFonts w:cs="Arial"/>
                <w:b/>
                <w:sz w:val="20"/>
                <w:szCs w:val="20"/>
                <w:lang w:val="da-DK"/>
              </w:rPr>
              <w:t>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B72C4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0.65 ± 0.09,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2ADA5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0.66 ± 0.08,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08069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0.61 ± 0.10,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F0A7E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0.66 ± 0.11,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66A18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0.64 ± 0.06,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C4FE35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0.66 ± 0.09, n=26</w:t>
            </w:r>
          </w:p>
        </w:tc>
      </w:tr>
      <w:tr w:rsidR="009B44F1" w:rsidRPr="00590F53" w14:paraId="6A7C3BB4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9B9078" w14:textId="5F1270DF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Choline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02316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0.30 ± 0.03,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32ED061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0.31 ± 0.03,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FCF26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0.30 ± 0.03,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EC391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0.31 ± 0.03,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57729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0.30 ± 0.03,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D2C92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0.31 ± 0.03, n=26</w:t>
            </w:r>
          </w:p>
        </w:tc>
      </w:tr>
      <w:tr w:rsidR="009B44F1" w:rsidRPr="00590F53" w14:paraId="434BAA4D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556E9B" w14:textId="61810AF4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r w:rsidR="009511D7">
              <w:rPr>
                <w:rFonts w:cs="Arial"/>
                <w:b/>
                <w:sz w:val="20"/>
                <w:szCs w:val="20"/>
                <w:vertAlign w:val="superscript"/>
                <w:lang w:val="da-DK"/>
              </w:rPr>
              <w:t>B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80FE8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5.56 ± 0.71,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2B19985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5.58 ± 0.32,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5B75A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5.74 ± 0.36,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BD8EE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5.45 ± 0.31,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207B87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5.60 ± 0.31,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2FD6AF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5.53 ± 0.30, n=26</w:t>
            </w:r>
          </w:p>
        </w:tc>
      </w:tr>
      <w:tr w:rsidR="009B44F1" w:rsidRPr="00590F53" w14:paraId="2FDB357E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D124B0" w14:textId="2E8E1AB8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Grey matter 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79502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19.1 ± 6.8,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0598D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19.4 ± 4.5,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C4C59F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21.3 ± 5.9,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DE3EF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18.6 ± 5.7,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22CAF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17.3 ± 5.2,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D1775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20.0 ± 5.3, n=26</w:t>
            </w:r>
          </w:p>
        </w:tc>
      </w:tr>
      <w:tr w:rsidR="009B44F1" w:rsidRPr="00590F53" w14:paraId="32DFBA90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79FFF2A" w14:textId="1CA3C3C9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White matter 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00CA05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80.1 ± 7.7,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F6EDD6E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80.5 ± 4.6,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B31798F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78.7 ± 6.1,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411506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81.3 ± 5.8,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747014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82.6 ± 5.2,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A07A8B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79.9 ± 5.3, n=26</w:t>
            </w:r>
          </w:p>
        </w:tc>
      </w:tr>
      <w:tr w:rsidR="009B44F1" w:rsidRPr="00590F53" w14:paraId="08A5E076" w14:textId="77777777" w:rsidTr="00590F53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C04F07E" w14:textId="74DE8D6A" w:rsidR="001E76BC" w:rsidRPr="005F48FF" w:rsidRDefault="001E76BC" w:rsidP="00361017">
            <w:pPr>
              <w:spacing w:after="0" w:line="240" w:lineRule="auto"/>
              <w:rPr>
                <w:rFonts w:cs="Arial"/>
                <w:b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ACC</w:t>
            </w:r>
            <w:r w:rsidR="005F48FF" w:rsidRPr="005F48FF">
              <w:rPr>
                <w:b/>
                <w:i/>
                <w:color w:val="595959" w:themeColor="text1" w:themeTint="A6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48AE4DE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F7B035A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D3C39FB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A894B6C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01F1DD0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4C79B83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</w:tr>
      <w:tr w:rsidR="009B44F1" w:rsidRPr="00590F53" w14:paraId="6E09CC2A" w14:textId="77777777" w:rsidTr="00590F53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A0C99C" w14:textId="519ABFAC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Glu</w:t>
            </w:r>
            <w:r w:rsidR="0090405F" w:rsidRPr="00590F53">
              <w:rPr>
                <w:rFonts w:cs="Arial"/>
                <w:b/>
                <w:sz w:val="20"/>
                <w:szCs w:val="20"/>
                <w:lang w:val="da-DK"/>
              </w:rPr>
              <w:t>tamate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634F1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1.51 ± 0.14, n=37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1DE3B5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1.55 ± 0.10, n=36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982AF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1.49 ± 0.14, n=27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B5FB55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1.53 ± 0.09, n=32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77DA65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1.49 ± 0.10, n=26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0251D2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1.53 ± 0.10, n=31</w:t>
            </w:r>
          </w:p>
        </w:tc>
      </w:tr>
      <w:tr w:rsidR="009B44F1" w:rsidRPr="00590F53" w14:paraId="4D9FBB18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EA5029" w14:textId="38B81887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11F3C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2.01 ± 0.22,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BC14286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2.03 ± 0.18,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2201D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1.99 ± 0.26,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3AD9C5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2.02 ± 0.13,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53FD4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1.98 ± 0.17,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28DC7F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2.04 ± 0.15, n=31</w:t>
            </w:r>
          </w:p>
        </w:tc>
      </w:tr>
      <w:tr w:rsidR="009B44F1" w:rsidRPr="00590F53" w14:paraId="6D60C3B0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3D96216" w14:textId="0991D43B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Gln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949BB7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0.52 ± 0.11,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269E62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0.52 ± 0.08, n=27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970CCF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0.54 ± 0.11, n=22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D3611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0.50 ± 0.07, n=29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40FEAF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0.53 ± 0.08, n=21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774A0E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0.51 ± 0.08, n=29</w:t>
            </w:r>
          </w:p>
        </w:tc>
      </w:tr>
      <w:tr w:rsidR="009B44F1" w:rsidRPr="00590F53" w14:paraId="41873020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4403784" w14:textId="3A877F1A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NAA/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9E911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1.22 ± 0.06,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317D9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1.26 ± 0.06,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AC0051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1.22 ± 0.06,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9503F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1.26 ± 0.07,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C4BFD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1.23 ± 0.06,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016B8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1.28 ± 0.09, n=31</w:t>
            </w:r>
          </w:p>
        </w:tc>
      </w:tr>
      <w:tr w:rsidR="009B44F1" w:rsidRPr="00590F53" w14:paraId="33DBCA5A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4E0ECB" w14:textId="7B23CD9A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Myo-inositol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9A736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0.82 ± 0.06,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34A721E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0.85 ± 0.07,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089CBF" w14:textId="79F45BBF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0.82 ± 0.07, n=2</w:t>
            </w:r>
            <w:r w:rsidR="00CB60B2">
              <w:rPr>
                <w:rFonts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723FE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0.85 ± 0.08,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0A5CB5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0.83 ± 0.08,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9352C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0.87 ± 0.07, n=31</w:t>
            </w:r>
          </w:p>
        </w:tc>
      </w:tr>
      <w:tr w:rsidR="009B44F1" w:rsidRPr="00590F53" w14:paraId="5E6FB491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EEB6AA" w14:textId="27937FE3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Choline</w:t>
            </w:r>
            <w:proofErr w:type="spellEnd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E254AE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0.27 ± 0.03,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ED73E2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0.29 ± 0.03,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790934" w14:textId="3096AEAE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0.27 ± 0.03, n=2</w:t>
            </w:r>
            <w:r w:rsidR="00CB60B2">
              <w:rPr>
                <w:rFonts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8630D52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0.30 ± 0.03,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B02DF2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0.28 ± 0.02,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3899C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0.30 ± 0.03, n=31</w:t>
            </w:r>
          </w:p>
        </w:tc>
      </w:tr>
      <w:tr w:rsidR="009B44F1" w:rsidRPr="00590F53" w14:paraId="27CCA25E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E43C82" w14:textId="609DF384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r w:rsidR="009511D7">
              <w:rPr>
                <w:rFonts w:cs="Arial"/>
                <w:b/>
                <w:sz w:val="20"/>
                <w:szCs w:val="20"/>
                <w:vertAlign w:val="superscript"/>
                <w:lang w:val="da-DK"/>
              </w:rPr>
              <w:t>B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F230CE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5.36 ± 0.23,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46FFB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5.28 ± 0.25,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CCBED4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5.38 ± 0.25,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59FEF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5.26 ± 0.25,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979C4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5.34 ± 0.26,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53395E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5.23 ± 0.25, n=31</w:t>
            </w:r>
          </w:p>
        </w:tc>
      </w:tr>
      <w:tr w:rsidR="009B44F1" w:rsidRPr="00590F53" w14:paraId="5C021A6D" w14:textId="77777777" w:rsidTr="00590F53">
        <w:trPr>
          <w:trHeight w:val="388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7DB41B" w14:textId="2693F6CE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Grey matter 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73665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 xml:space="preserve">67.6 ± 6.4, n=37 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32A259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68.0 ± 3.8,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F11A1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66.9 ± 5.8,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822D4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68.0 ± 6.2,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100FF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66.8 ± 5.0,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240D398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68.6 ± 5.5, n=31</w:t>
            </w:r>
          </w:p>
        </w:tc>
      </w:tr>
      <w:tr w:rsidR="009B44F1" w:rsidRPr="00590F53" w14:paraId="281FEA5A" w14:textId="77777777" w:rsidTr="00590F53">
        <w:trPr>
          <w:trHeight w:val="438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2CC0D99" w14:textId="15700D3D" w:rsidR="001E76BC" w:rsidRDefault="001E76BC" w:rsidP="00590F53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White matter (%)</w:t>
            </w:r>
          </w:p>
          <w:p w14:paraId="19329F85" w14:textId="77777777" w:rsidR="009511D7" w:rsidRDefault="009511D7" w:rsidP="00590F53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</w:p>
          <w:p w14:paraId="57BCA7E1" w14:textId="77777777" w:rsidR="009511D7" w:rsidRPr="00590F53" w:rsidRDefault="009511D7" w:rsidP="00590F53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814C3C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14.2 ± 4.2,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569069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12.9 ± 2.6,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EED44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14.1 ± 3.4,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5364BD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13.4 ± 2.7,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4C8D8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13.8 ± 2.4,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DEA9AA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13.5 ± 2.7, n=31</w:t>
            </w:r>
          </w:p>
        </w:tc>
      </w:tr>
      <w:tr w:rsidR="009B44F1" w:rsidRPr="00590F53" w14:paraId="35610883" w14:textId="77777777" w:rsidTr="00590F53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B6E4174" w14:textId="3FAD8CB3" w:rsidR="001E76BC" w:rsidRPr="005F48FF" w:rsidRDefault="001E76BC" w:rsidP="00361017">
            <w:pPr>
              <w:spacing w:after="0" w:line="240" w:lineRule="auto"/>
              <w:rPr>
                <w:rFonts w:cs="Arial"/>
                <w:b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lastRenderedPageBreak/>
              <w:t>ACC</w:t>
            </w:r>
            <w:r w:rsidR="005F48FF" w:rsidRPr="005F48FF">
              <w:rPr>
                <w:b/>
                <w:i/>
                <w:color w:val="595959" w:themeColor="text1" w:themeTint="A6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FD1F945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554CF44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1A03FA5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BB64B8C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B7D12F3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84CCCFD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</w:tr>
      <w:tr w:rsidR="009B44F1" w:rsidRPr="00590F53" w14:paraId="56F97B1D" w14:textId="77777777" w:rsidTr="00590F53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905424" w14:textId="001C5B6F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GABA/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F8DF0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0.101 ± 0.014, n=28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B90728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0.111 ± 0.011, n=32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87336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0.102 ± 0.011, n=20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CB1E3B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0.109 ± 0.009, n=32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B5378EE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0.109 ± 0.013, n=24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C52FE7B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0.113 ± 0.018, n=29</w:t>
            </w:r>
          </w:p>
        </w:tc>
      </w:tr>
      <w:tr w:rsidR="009B44F1" w:rsidRPr="00590F53" w14:paraId="401E62F3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F4FDD9" w14:textId="5AEC6C97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Glx/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Cr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BB4067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0.107 ± 0.015,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AA28FB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0.118 ± 0.010,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6FAF86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0.115 ± 0.015,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CAD9E4A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0.114 ± 0.010,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9E6B67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0.116 ± 0.014,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8B252F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0.117 ± 0.010, n=29</w:t>
            </w:r>
          </w:p>
        </w:tc>
      </w:tr>
      <w:tr w:rsidR="009B44F1" w:rsidRPr="00590F53" w14:paraId="1D1A6D6A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C6ED2D" w14:textId="3B0ED0B2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r w:rsidR="009511D7">
              <w:rPr>
                <w:rFonts w:cs="Arial"/>
                <w:b/>
                <w:sz w:val="20"/>
                <w:szCs w:val="20"/>
                <w:vertAlign w:val="superscript"/>
                <w:lang w:val="da-DK"/>
              </w:rPr>
              <w:t>B</w:t>
            </w:r>
            <w:proofErr w:type="spellEnd"/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285BC9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10.96 ± 0.80,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A03C74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10.91 ± 0.65,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13BFAF1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 xml:space="preserve"> 10.93 ± 0.67,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16D05D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10.84 ± 0.73,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4426F9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10.71 ± 0.57,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C97F838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10.75 ± 0.60, n=29</w:t>
            </w:r>
          </w:p>
        </w:tc>
      </w:tr>
      <w:tr w:rsidR="009B44F1" w:rsidRPr="00590F53" w14:paraId="6737924E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E432BC" w14:textId="42691DD9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Grey matter</w:t>
            </w:r>
            <w:r w:rsidRPr="00590F53">
              <w:rPr>
                <w:rFonts w:cs="Arial"/>
                <w:b/>
                <w:sz w:val="20"/>
                <w:szCs w:val="20"/>
                <w:vertAlign w:val="subscript"/>
                <w:lang w:val="da-DK"/>
              </w:rPr>
              <w:t xml:space="preserve"> </w:t>
            </w: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7B04C0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51.2 ± 4.7,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722B45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53.2 ± 3.2,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F2B0A9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51.5 ± 4.2,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701EE1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52.7 ± 4.9,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5D959F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52.7 ± 3.5,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41E694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53.2 ± 4.4, n=29</w:t>
            </w:r>
          </w:p>
        </w:tc>
      </w:tr>
      <w:tr w:rsidR="009B44F1" w:rsidRPr="00590F53" w14:paraId="562623CD" w14:textId="77777777" w:rsidTr="00590F53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9F4B2AB" w14:textId="55AAD7DC" w:rsidR="001E76BC" w:rsidRPr="00590F53" w:rsidRDefault="001E76BC" w:rsidP="00361017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White matter</w:t>
            </w:r>
            <w:r w:rsidRPr="00590F53">
              <w:rPr>
                <w:rFonts w:cs="Arial"/>
                <w:b/>
                <w:sz w:val="20"/>
                <w:szCs w:val="20"/>
                <w:vertAlign w:val="subscript"/>
                <w:lang w:val="da-DK"/>
              </w:rPr>
              <w:t xml:space="preserve"> </w:t>
            </w: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B773F63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32.3 ± 4.1,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8C776B5" w14:textId="77777777" w:rsidR="001E76BC" w:rsidRPr="00590F53" w:rsidRDefault="001E76BC" w:rsidP="00590F53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30.5 ± 3.0,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721CB02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31.1 ± 3.6,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675C99E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31.3 ± 3.5,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FC48D95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30.1 ± 3.1,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2788F81" w14:textId="77777777" w:rsidR="001E76BC" w:rsidRPr="00590F53" w:rsidRDefault="001E76BC" w:rsidP="00590F53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31.2 ± 3.6, n=29</w:t>
            </w:r>
          </w:p>
        </w:tc>
      </w:tr>
    </w:tbl>
    <w:p w14:paraId="10384472" w14:textId="675B1E2A" w:rsidR="001E76BC" w:rsidRPr="00826EA3" w:rsidRDefault="001E76BC" w:rsidP="001E76BC">
      <w:pPr>
        <w:spacing w:after="0" w:line="240" w:lineRule="auto"/>
        <w:rPr>
          <w:rFonts w:cs="Arial"/>
          <w:sz w:val="20"/>
          <w:szCs w:val="20"/>
        </w:rPr>
      </w:pPr>
      <w:r w:rsidRPr="00826EA3">
        <w:rPr>
          <w:rFonts w:cs="Arial"/>
          <w:sz w:val="20"/>
          <w:szCs w:val="20"/>
        </w:rPr>
        <w:t>Abbreviations: ACC: Anteri</w:t>
      </w:r>
      <w:r w:rsidR="00ED476B">
        <w:rPr>
          <w:rFonts w:cs="Arial"/>
          <w:sz w:val="20"/>
          <w:szCs w:val="20"/>
        </w:rPr>
        <w:t xml:space="preserve">or cingulate cortex; FEP: First </w:t>
      </w:r>
      <w:r w:rsidRPr="00826EA3">
        <w:rPr>
          <w:rFonts w:cs="Arial"/>
          <w:sz w:val="20"/>
          <w:szCs w:val="20"/>
        </w:rPr>
        <w:t xml:space="preserve">episode psychosis; HCs: Healthy controls; </w:t>
      </w:r>
      <w:proofErr w:type="spellStart"/>
      <w:r w:rsidRPr="00826EA3">
        <w:rPr>
          <w:rFonts w:cs="Arial"/>
          <w:sz w:val="20"/>
          <w:szCs w:val="20"/>
        </w:rPr>
        <w:t>Glx</w:t>
      </w:r>
      <w:proofErr w:type="spellEnd"/>
      <w:r w:rsidRPr="00826EA3">
        <w:rPr>
          <w:rFonts w:cs="Arial"/>
          <w:sz w:val="20"/>
          <w:szCs w:val="20"/>
        </w:rPr>
        <w:t xml:space="preserve">: </w:t>
      </w:r>
      <w:proofErr w:type="spellStart"/>
      <w:r w:rsidRPr="00826EA3">
        <w:rPr>
          <w:rFonts w:cs="Arial"/>
          <w:sz w:val="20"/>
          <w:szCs w:val="20"/>
        </w:rPr>
        <w:t>glutamate+glutamine</w:t>
      </w:r>
      <w:proofErr w:type="spellEnd"/>
      <w:r w:rsidRPr="00826EA3">
        <w:rPr>
          <w:rFonts w:cs="Arial"/>
          <w:sz w:val="20"/>
          <w:szCs w:val="20"/>
        </w:rPr>
        <w:t xml:space="preserve">; </w:t>
      </w:r>
      <w:proofErr w:type="spellStart"/>
      <w:r w:rsidRPr="00826EA3">
        <w:rPr>
          <w:rFonts w:cs="Arial"/>
          <w:sz w:val="20"/>
          <w:szCs w:val="20"/>
        </w:rPr>
        <w:t>Gln</w:t>
      </w:r>
      <w:proofErr w:type="spellEnd"/>
      <w:r w:rsidRPr="00826EA3">
        <w:rPr>
          <w:rFonts w:cs="Arial"/>
          <w:sz w:val="20"/>
          <w:szCs w:val="20"/>
        </w:rPr>
        <w:t xml:space="preserve">: Glutamine; NAA: N-acetyl aspartate; </w:t>
      </w:r>
      <w:proofErr w:type="spellStart"/>
      <w:r w:rsidRPr="00826EA3">
        <w:rPr>
          <w:rFonts w:cs="Arial"/>
          <w:sz w:val="20"/>
          <w:szCs w:val="20"/>
        </w:rPr>
        <w:t>PCr+Cr</w:t>
      </w:r>
      <w:proofErr w:type="spellEnd"/>
      <w:r w:rsidRPr="00826EA3">
        <w:rPr>
          <w:rFonts w:cs="Arial"/>
          <w:sz w:val="20"/>
          <w:szCs w:val="20"/>
        </w:rPr>
        <w:t>: Total creatine (</w:t>
      </w:r>
      <w:proofErr w:type="spellStart"/>
      <w:r w:rsidRPr="00826EA3">
        <w:rPr>
          <w:rFonts w:cs="Arial"/>
          <w:sz w:val="20"/>
          <w:szCs w:val="20"/>
        </w:rPr>
        <w:t>phosphocreatine+creatine</w:t>
      </w:r>
      <w:proofErr w:type="spellEnd"/>
      <w:r w:rsidRPr="00826EA3">
        <w:rPr>
          <w:rFonts w:cs="Arial"/>
          <w:sz w:val="20"/>
          <w:szCs w:val="20"/>
        </w:rPr>
        <w:t>); GABA: Gamma-aminobutyric acid. A:</w:t>
      </w:r>
      <w:r w:rsidR="009511D7">
        <w:rPr>
          <w:rFonts w:cs="Arial"/>
          <w:sz w:val="20"/>
          <w:szCs w:val="20"/>
        </w:rPr>
        <w:t xml:space="preserve"> </w:t>
      </w:r>
      <w:r w:rsidR="009511D7">
        <w:rPr>
          <w:sz w:val="20"/>
          <w:szCs w:val="20"/>
        </w:rPr>
        <w:t xml:space="preserve">n states the number of </w:t>
      </w:r>
      <w:proofErr w:type="spellStart"/>
      <w:r w:rsidR="009511D7">
        <w:rPr>
          <w:sz w:val="20"/>
          <w:szCs w:val="20"/>
        </w:rPr>
        <w:t>analyzed</w:t>
      </w:r>
      <w:proofErr w:type="spellEnd"/>
      <w:r w:rsidR="009511D7">
        <w:rPr>
          <w:sz w:val="20"/>
          <w:szCs w:val="20"/>
        </w:rPr>
        <w:t xml:space="preserve"> spectra</w:t>
      </w:r>
      <w:r w:rsidRPr="00826EA3">
        <w:rPr>
          <w:rFonts w:cs="Arial"/>
          <w:sz w:val="20"/>
          <w:szCs w:val="20"/>
        </w:rPr>
        <w:t>.</w:t>
      </w:r>
      <w:r w:rsidR="009511D7">
        <w:rPr>
          <w:rFonts w:cs="Arial"/>
          <w:sz w:val="20"/>
          <w:szCs w:val="20"/>
        </w:rPr>
        <w:t xml:space="preserve"> B: </w:t>
      </w:r>
      <w:r w:rsidR="009511D7" w:rsidRPr="00826EA3">
        <w:rPr>
          <w:rFonts w:cs="Arial"/>
          <w:sz w:val="20"/>
          <w:szCs w:val="20"/>
        </w:rPr>
        <w:t xml:space="preserve">Water-scaled value of </w:t>
      </w:r>
      <w:proofErr w:type="spellStart"/>
      <w:r w:rsidR="009511D7" w:rsidRPr="00826EA3">
        <w:rPr>
          <w:rFonts w:cs="Arial"/>
          <w:sz w:val="20"/>
          <w:szCs w:val="20"/>
        </w:rPr>
        <w:t>PCr+Cr</w:t>
      </w:r>
      <w:proofErr w:type="spellEnd"/>
      <w:r w:rsidR="009511D7" w:rsidRPr="00826EA3">
        <w:rPr>
          <w:rFonts w:cs="Arial"/>
          <w:sz w:val="20"/>
          <w:szCs w:val="20"/>
        </w:rPr>
        <w:t xml:space="preserve"> provided by </w:t>
      </w:r>
      <w:proofErr w:type="spellStart"/>
      <w:r w:rsidR="009511D7" w:rsidRPr="00826EA3">
        <w:rPr>
          <w:rFonts w:cs="Arial"/>
          <w:sz w:val="20"/>
          <w:szCs w:val="20"/>
        </w:rPr>
        <w:t>LCModel</w:t>
      </w:r>
      <w:proofErr w:type="spellEnd"/>
      <w:r w:rsidR="009511D7" w:rsidRPr="00826EA3">
        <w:rPr>
          <w:rFonts w:cs="Arial"/>
          <w:sz w:val="20"/>
          <w:szCs w:val="20"/>
        </w:rPr>
        <w:t xml:space="preserve"> and Gannet and used as reference in metabolite/Cr values</w:t>
      </w:r>
      <w:r w:rsidR="009511D7">
        <w:rPr>
          <w:rFonts w:cs="Arial"/>
          <w:sz w:val="20"/>
          <w:szCs w:val="20"/>
        </w:rPr>
        <w:t>.</w:t>
      </w:r>
      <w:r w:rsidR="005F48FF">
        <w:rPr>
          <w:rFonts w:cs="Arial"/>
          <w:sz w:val="20"/>
          <w:szCs w:val="20"/>
        </w:rPr>
        <w:t xml:space="preserve"> </w:t>
      </w:r>
      <w:r w:rsidR="005F48FF" w:rsidRPr="00527528">
        <w:rPr>
          <w:sz w:val="20"/>
          <w:szCs w:val="20"/>
          <w:lang w:val="en-US"/>
        </w:rPr>
        <w:t xml:space="preserve">C: Metabolites in a </w:t>
      </w:r>
      <w:r w:rsidR="005F48FF"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2.0x2.0x2.0 cm voxel. D: </w:t>
      </w:r>
      <w:r w:rsidR="005F48FF" w:rsidRPr="00527528">
        <w:rPr>
          <w:sz w:val="20"/>
          <w:szCs w:val="20"/>
          <w:lang w:val="en-US"/>
        </w:rPr>
        <w:t xml:space="preserve">Metabolites in a </w:t>
      </w:r>
      <w:r w:rsidR="005F48FF" w:rsidRPr="00527528">
        <w:rPr>
          <w:rFonts w:asciiTheme="majorHAnsi" w:hAnsiTheme="majorHAnsi" w:cstheme="majorHAnsi"/>
          <w:sz w:val="20"/>
          <w:szCs w:val="20"/>
          <w:lang w:val="en-US"/>
        </w:rPr>
        <w:t>3.0x3.0x3.0 cm voxel (details provided in the patient</w:t>
      </w:r>
      <w:r w:rsidR="005F48FF">
        <w:rPr>
          <w:rFonts w:asciiTheme="majorHAnsi" w:hAnsiTheme="majorHAnsi" w:cstheme="majorHAnsi"/>
          <w:sz w:val="20"/>
          <w:szCs w:val="20"/>
          <w:lang w:val="en-US"/>
        </w:rPr>
        <w:t>s</w:t>
      </w:r>
      <w:r w:rsidR="005F48FF"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 and methods section). </w:t>
      </w:r>
      <w:r w:rsidR="005F48FF" w:rsidRPr="00527528">
        <w:rPr>
          <w:sz w:val="20"/>
          <w:szCs w:val="20"/>
        </w:rPr>
        <w:t xml:space="preserve"> </w:t>
      </w:r>
    </w:p>
    <w:p w14:paraId="59A67C24" w14:textId="77777777" w:rsidR="001E76BC" w:rsidRDefault="001E76B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3A807AEA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6DF8386C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66998A22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2B5520C8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BD757BE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0F4E11FB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41148AB2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4C19B790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11A3F48B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59E93B2E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639046E0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30FBE02F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43DF8075" w14:textId="77777777" w:rsidR="00CF72BD" w:rsidRPr="00826EA3" w:rsidRDefault="00CF72BD" w:rsidP="00CF72BD">
      <w:pPr>
        <w:ind w:left="-709" w:right="-314"/>
        <w:outlineLvl w:val="0"/>
        <w:rPr>
          <w:rFonts w:cs="Arial"/>
          <w:b/>
          <w:sz w:val="24"/>
          <w:szCs w:val="24"/>
        </w:rPr>
      </w:pPr>
      <w:r w:rsidRPr="00826EA3">
        <w:rPr>
          <w:rFonts w:cs="Arial"/>
          <w:b/>
          <w:sz w:val="24"/>
          <w:szCs w:val="24"/>
        </w:rPr>
        <w:lastRenderedPageBreak/>
        <w:t>Table S</w:t>
      </w:r>
      <w:r>
        <w:rPr>
          <w:rFonts w:cs="Arial"/>
          <w:b/>
          <w:sz w:val="24"/>
          <w:szCs w:val="24"/>
        </w:rPr>
        <w:t>9</w:t>
      </w:r>
      <w:r w:rsidRPr="00826EA3">
        <w:rPr>
          <w:rFonts w:cs="Arial"/>
          <w:b/>
          <w:sz w:val="24"/>
          <w:szCs w:val="24"/>
        </w:rPr>
        <w:t xml:space="preserve">. </w:t>
      </w:r>
      <w:r w:rsidRPr="00AF63EC">
        <w:rPr>
          <w:rFonts w:cs="Arial"/>
          <w:b/>
          <w:sz w:val="24"/>
          <w:szCs w:val="24"/>
        </w:rPr>
        <w:t>Metabolites in institutional units</w:t>
      </w:r>
      <w:r w:rsidRPr="00826EA3">
        <w:rPr>
          <w:rFonts w:cs="Arial"/>
          <w:b/>
          <w:sz w:val="24"/>
          <w:szCs w:val="24"/>
        </w:rPr>
        <w:t xml:space="preserve"> in ACC and left thalamus at all assessments in first-episode psychosis patients and healthy controls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2268"/>
        <w:gridCol w:w="2126"/>
        <w:gridCol w:w="2126"/>
        <w:gridCol w:w="2127"/>
      </w:tblGrid>
      <w:tr w:rsidR="00CF72BD" w:rsidRPr="00590F53" w14:paraId="38FD98A0" w14:textId="77777777" w:rsidTr="002B39DC">
        <w:tc>
          <w:tcPr>
            <w:tcW w:w="2694" w:type="dxa"/>
            <w:tcBorders>
              <w:top w:val="single" w:sz="1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4FD9CC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2636A62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 w:rsidRPr="00590F53">
              <w:rPr>
                <w:rFonts w:cs="Arial"/>
                <w:b/>
                <w:sz w:val="24"/>
                <w:szCs w:val="24"/>
                <w:lang w:val="da-DK"/>
              </w:rPr>
              <w:t>Baseline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AF5146E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>
              <w:rPr>
                <w:rFonts w:cs="Arial"/>
                <w:b/>
                <w:sz w:val="24"/>
                <w:szCs w:val="24"/>
                <w:lang w:val="da-DK"/>
              </w:rPr>
              <w:t xml:space="preserve">6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da-DK"/>
              </w:rPr>
              <w:t>weeks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71DB035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>
              <w:rPr>
                <w:rFonts w:cs="Arial"/>
                <w:b/>
                <w:sz w:val="24"/>
                <w:szCs w:val="24"/>
                <w:lang w:val="da-DK"/>
              </w:rPr>
              <w:t xml:space="preserve">26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da-DK"/>
              </w:rPr>
              <w:t>weeks</w:t>
            </w:r>
            <w:proofErr w:type="spellEnd"/>
          </w:p>
        </w:tc>
      </w:tr>
      <w:tr w:rsidR="00CF72BD" w:rsidRPr="00590F53" w14:paraId="504B066C" w14:textId="77777777" w:rsidTr="002B39DC">
        <w:trPr>
          <w:trHeight w:val="95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3D514E1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08EE503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4F485E0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3C0976E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E7DFB28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218D6BF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DF30D1D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</w:tr>
      <w:tr w:rsidR="00CF72BD" w:rsidRPr="00590F53" w14:paraId="7321D8D0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94244DC" w14:textId="77777777" w:rsidR="00CF72BD" w:rsidRPr="005F48FF" w:rsidRDefault="00CF72BD" w:rsidP="002B39DC">
            <w:pPr>
              <w:spacing w:after="0" w:line="240" w:lineRule="auto"/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Thalamus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E588DC8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643EDAD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701CC48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B06B61B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 xml:space="preserve">Mean ± SD, </w:t>
            </w: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  <w:r w:rsidRPr="003B5FDB">
              <w:rPr>
                <w:vertAlign w:val="superscript"/>
                <w:lang w:val="da-DK"/>
              </w:rPr>
              <w:t>,</w:t>
            </w:r>
            <w:r w:rsidRPr="003B5FDB">
              <w:rPr>
                <w:rFonts w:cs="Arial"/>
                <w:b/>
                <w:vertAlign w:val="superscript"/>
                <w:lang w:val="da-DK"/>
              </w:rPr>
              <w:t>E</w:t>
            </w:r>
            <w:proofErr w:type="spellEnd"/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B84FC61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7D2F585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</w:tr>
      <w:tr w:rsidR="00CF72BD" w:rsidRPr="00590F53" w14:paraId="463EA563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879A2C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Glutamate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327882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>
              <w:rPr>
                <w:rFonts w:cs="Arial"/>
                <w:sz w:val="20"/>
                <w:szCs w:val="20"/>
                <w:lang w:val="da-DK"/>
              </w:rPr>
              <w:t>7</w:t>
            </w:r>
            <w:r w:rsidRPr="00A736EA">
              <w:rPr>
                <w:rFonts w:cs="Arial"/>
                <w:sz w:val="20"/>
                <w:szCs w:val="20"/>
                <w:lang w:val="da-DK"/>
              </w:rPr>
              <w:t>.</w:t>
            </w:r>
            <w:r>
              <w:rPr>
                <w:rFonts w:cs="Arial"/>
                <w:sz w:val="20"/>
                <w:szCs w:val="20"/>
                <w:lang w:val="da-DK"/>
              </w:rPr>
              <w:t>12</w:t>
            </w:r>
            <w:r w:rsidRPr="00A736EA">
              <w:rPr>
                <w:rFonts w:cs="Arial"/>
                <w:sz w:val="20"/>
                <w:szCs w:val="20"/>
                <w:lang w:val="da-DK"/>
              </w:rPr>
              <w:t xml:space="preserve"> ± 0.</w:t>
            </w:r>
            <w:r>
              <w:rPr>
                <w:rFonts w:cs="Arial"/>
                <w:sz w:val="20"/>
                <w:szCs w:val="20"/>
                <w:lang w:val="da-DK"/>
              </w:rPr>
              <w:t>8</w:t>
            </w:r>
            <w:r w:rsidRPr="00A736EA">
              <w:rPr>
                <w:rFonts w:cs="Arial"/>
                <w:sz w:val="20"/>
                <w:szCs w:val="20"/>
                <w:lang w:val="da-DK"/>
              </w:rPr>
              <w:t>5, n=38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845C3B4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>
              <w:rPr>
                <w:rFonts w:cs="Arial"/>
                <w:sz w:val="20"/>
                <w:szCs w:val="20"/>
                <w:lang w:val="da-DK"/>
              </w:rPr>
              <w:t>6</w:t>
            </w:r>
            <w:r w:rsidRPr="00A736EA">
              <w:rPr>
                <w:rFonts w:cs="Arial"/>
                <w:sz w:val="20"/>
                <w:szCs w:val="20"/>
                <w:lang w:val="da-DK"/>
              </w:rPr>
              <w:t>.</w:t>
            </w:r>
            <w:r>
              <w:rPr>
                <w:rFonts w:cs="Arial"/>
                <w:sz w:val="20"/>
                <w:szCs w:val="20"/>
                <w:lang w:val="da-DK"/>
              </w:rPr>
              <w:t>80</w:t>
            </w:r>
            <w:r w:rsidRPr="00A736EA">
              <w:rPr>
                <w:rFonts w:cs="Arial"/>
                <w:sz w:val="20"/>
                <w:szCs w:val="20"/>
                <w:lang w:val="da-DK"/>
              </w:rPr>
              <w:t xml:space="preserve"> ± 0.</w:t>
            </w:r>
            <w:r>
              <w:rPr>
                <w:rFonts w:cs="Arial"/>
                <w:sz w:val="20"/>
                <w:szCs w:val="20"/>
                <w:lang w:val="da-DK"/>
              </w:rPr>
              <w:t>83</w:t>
            </w:r>
            <w:r w:rsidRPr="00A736EA">
              <w:rPr>
                <w:rFonts w:cs="Arial"/>
                <w:sz w:val="20"/>
                <w:szCs w:val="20"/>
                <w:lang w:val="da-DK"/>
              </w:rPr>
              <w:t>, n=32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71BE3D" w14:textId="77777777" w:rsidR="00CF72BD" w:rsidRPr="0059701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7019">
              <w:rPr>
                <w:rFonts w:cs="Arial"/>
                <w:sz w:val="20"/>
                <w:szCs w:val="20"/>
                <w:lang w:val="da-DK"/>
              </w:rPr>
              <w:t>6.89 ± 0.79, n=24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9BE894" w14:textId="77777777" w:rsidR="00CF72BD" w:rsidRPr="0059701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7019">
              <w:rPr>
                <w:rFonts w:cs="Arial"/>
                <w:sz w:val="20"/>
                <w:szCs w:val="20"/>
                <w:lang w:val="da-DK"/>
              </w:rPr>
              <w:t>6.68 ± 0.74, n=30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363501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C575A">
              <w:rPr>
                <w:rFonts w:cs="Arial"/>
                <w:sz w:val="20"/>
                <w:szCs w:val="20"/>
                <w:lang w:val="da-DK"/>
              </w:rPr>
              <w:t>6.76 ± 0.82, n=25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9C4CE4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C575A">
              <w:rPr>
                <w:rFonts w:cs="Arial"/>
                <w:sz w:val="20"/>
                <w:szCs w:val="20"/>
                <w:lang w:val="da-DK"/>
              </w:rPr>
              <w:t>7.06 ± 0.73, n=26</w:t>
            </w:r>
          </w:p>
        </w:tc>
      </w:tr>
      <w:tr w:rsidR="00CF72BD" w:rsidRPr="00590F53" w14:paraId="024DA54F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C5BA9A5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880140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9.99 ± 1.50,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3A4B3B6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9.87 ± 1.29,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8F478D" w14:textId="77777777" w:rsidR="00CF72BD" w:rsidRPr="0059701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7019">
              <w:rPr>
                <w:rFonts w:cs="Arial"/>
                <w:sz w:val="20"/>
                <w:szCs w:val="20"/>
                <w:lang w:val="da-DK"/>
              </w:rPr>
              <w:t>9.75 ± 1.42,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B8BE6B" w14:textId="77777777" w:rsidR="00CF72BD" w:rsidRPr="0059701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7019">
              <w:rPr>
                <w:rFonts w:cs="Arial"/>
                <w:sz w:val="20"/>
                <w:szCs w:val="20"/>
                <w:lang w:val="da-DK"/>
              </w:rPr>
              <w:t>9.78 ± 1.10,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6DF2A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F4BBC">
              <w:rPr>
                <w:rFonts w:cs="Arial"/>
                <w:sz w:val="20"/>
                <w:szCs w:val="20"/>
                <w:lang w:val="da-DK"/>
              </w:rPr>
              <w:t>9.74 ± 1.40,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03AE97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F4BBC">
              <w:rPr>
                <w:rFonts w:cs="Arial"/>
                <w:sz w:val="20"/>
                <w:szCs w:val="20"/>
                <w:lang w:val="da-DK"/>
              </w:rPr>
              <w:t>10.09 ± 1.15, n=26</w:t>
            </w:r>
          </w:p>
        </w:tc>
      </w:tr>
      <w:tr w:rsidR="00CF72BD" w:rsidRPr="00590F53" w14:paraId="339F4945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CB81FE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NAA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46D341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7.13 ± 0.65,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233743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7.30 ± 0.52,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0BC63A" w14:textId="77777777" w:rsidR="00CF72BD" w:rsidRPr="0059701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7019">
              <w:rPr>
                <w:rFonts w:cs="Arial"/>
                <w:sz w:val="20"/>
                <w:szCs w:val="20"/>
                <w:lang w:val="da-DK"/>
              </w:rPr>
              <w:t>7.11 ± 0.46,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C08473" w14:textId="77777777" w:rsidR="00CF72BD" w:rsidRPr="003B5FDB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7019">
              <w:rPr>
                <w:rFonts w:cs="Arial"/>
                <w:sz w:val="20"/>
                <w:szCs w:val="20"/>
                <w:lang w:val="da-DK"/>
              </w:rPr>
              <w:t>7.24 ± 0.42,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A6007B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11511">
              <w:rPr>
                <w:rFonts w:cs="Arial"/>
                <w:sz w:val="20"/>
                <w:szCs w:val="20"/>
                <w:lang w:val="da-DK"/>
              </w:rPr>
              <w:t>7.13 ± 0.38,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6D13D9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11511">
              <w:rPr>
                <w:rFonts w:cs="Arial"/>
                <w:sz w:val="20"/>
                <w:szCs w:val="20"/>
                <w:lang w:val="da-DK"/>
              </w:rPr>
              <w:t>7.31 ± 0.34, n=26</w:t>
            </w:r>
          </w:p>
        </w:tc>
      </w:tr>
      <w:tr w:rsidR="00CF72BD" w:rsidRPr="00590F53" w14:paraId="62F75AB7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CAA2F4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Myo-inositol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DA17AB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3.57 ± 0.50,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CB01B1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3.70 ± 0.49,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0CD15F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EC0B68">
              <w:rPr>
                <w:rFonts w:cs="Arial"/>
                <w:sz w:val="20"/>
                <w:szCs w:val="20"/>
                <w:lang w:val="da-DK"/>
              </w:rPr>
              <w:t>3.51 ± 0.55,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C8FCD5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EC0B68">
              <w:rPr>
                <w:rFonts w:cs="Arial"/>
                <w:sz w:val="20"/>
                <w:szCs w:val="20"/>
                <w:lang w:val="da-DK"/>
              </w:rPr>
              <w:t>3.56 ± 0.62,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98509E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22BDA">
              <w:rPr>
                <w:rFonts w:cs="Arial"/>
                <w:sz w:val="20"/>
                <w:szCs w:val="20"/>
                <w:lang w:val="da-DK"/>
              </w:rPr>
              <w:t>3.57 ± 0.29,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D59A40D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22BDA">
              <w:rPr>
                <w:rFonts w:cs="Arial"/>
                <w:sz w:val="20"/>
                <w:szCs w:val="20"/>
                <w:lang w:val="da-DK"/>
              </w:rPr>
              <w:t>3.65 ± 0.51, n=26</w:t>
            </w:r>
          </w:p>
        </w:tc>
      </w:tr>
      <w:tr w:rsidR="00CF72BD" w:rsidRPr="00590F53" w14:paraId="081BA97F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601012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Choline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556A76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1.66 ± 0.20,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E22E98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1.73 ± 0.15,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2275A1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1.69 ± 0.17,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07775B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1.70 ± 0.16,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7ABE0B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1.71 ± 0.16,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D9799F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1.72 ± 0.14, n=26</w:t>
            </w:r>
          </w:p>
        </w:tc>
      </w:tr>
      <w:tr w:rsidR="00CF72BD" w:rsidRPr="00590F53" w14:paraId="05FB891D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4233B9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C6F7BB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5.63 ± 0.66,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1A8B44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5.59 ± 0.32,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5D6A5F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5.74 ± 0.36,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C6A0F8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>
              <w:rPr>
                <w:rFonts w:cs="Arial"/>
                <w:sz w:val="20"/>
                <w:szCs w:val="20"/>
                <w:lang w:val="da-DK"/>
              </w:rPr>
              <w:t>5.46</w:t>
            </w:r>
            <w:r w:rsidRPr="001F2598">
              <w:rPr>
                <w:rFonts w:cs="Arial"/>
                <w:sz w:val="20"/>
                <w:szCs w:val="20"/>
                <w:lang w:val="da-DK"/>
              </w:rPr>
              <w:t xml:space="preserve"> ± 0.31,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81A2E7F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5.61 ± 0.31,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76A742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5.54 ± 0.30, n=26</w:t>
            </w:r>
          </w:p>
        </w:tc>
      </w:tr>
      <w:tr w:rsidR="00CF72BD" w:rsidRPr="00590F53" w14:paraId="1A0DAE78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C7D403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Grey matter 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1D2C97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19.1 ± 6.8,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446ADA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19.4 ± 4.5,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C430C4" w14:textId="77777777" w:rsidR="00CF72BD" w:rsidRPr="001F2598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21.3 ± 5.9,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8FCDE8" w14:textId="77777777" w:rsidR="00CF72BD" w:rsidRPr="001F2598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18.6 ± 5.7,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DB1D1D" w14:textId="77777777" w:rsidR="00CF72BD" w:rsidRPr="00347BB7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17.3 ± 5.2,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F8C797" w14:textId="77777777" w:rsidR="00CF72BD" w:rsidRPr="00347BB7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20.0 ± 5.3, n=26</w:t>
            </w:r>
          </w:p>
        </w:tc>
      </w:tr>
      <w:tr w:rsidR="00CF72BD" w:rsidRPr="00590F53" w14:paraId="37E8E3EA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9EAF76E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White matter 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622F586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80.1 ± 7.7,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6320938" w14:textId="77777777" w:rsidR="00CF72BD" w:rsidRPr="00A736EA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736EA">
              <w:rPr>
                <w:rFonts w:cs="Arial"/>
                <w:sz w:val="20"/>
                <w:szCs w:val="20"/>
                <w:lang w:val="da-DK"/>
              </w:rPr>
              <w:t>80.5 ± 4.6,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89886A2" w14:textId="77777777" w:rsidR="00CF72BD" w:rsidRPr="001F2598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78.7 ± 6.1,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E71ADCB" w14:textId="77777777" w:rsidR="00CF72BD" w:rsidRPr="001F2598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1F2598">
              <w:rPr>
                <w:rFonts w:cs="Arial"/>
                <w:sz w:val="20"/>
                <w:szCs w:val="20"/>
                <w:lang w:val="da-DK"/>
              </w:rPr>
              <w:t>81.3 ± 5.8, n=30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A2546BF" w14:textId="77777777" w:rsidR="00CF72BD" w:rsidRPr="00347BB7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82.6 ± 5.2,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317ECEC" w14:textId="77777777" w:rsidR="00CF72BD" w:rsidRPr="00347BB7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347BB7">
              <w:rPr>
                <w:rFonts w:cs="Arial"/>
                <w:sz w:val="20"/>
                <w:szCs w:val="20"/>
                <w:lang w:val="da-DK"/>
              </w:rPr>
              <w:t>79.9 ± 5.3, n=26</w:t>
            </w:r>
          </w:p>
        </w:tc>
      </w:tr>
      <w:tr w:rsidR="00CF72BD" w:rsidRPr="00590F53" w14:paraId="3C536021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C7C5B1A" w14:textId="77777777" w:rsidR="00CF72BD" w:rsidRPr="005F48FF" w:rsidRDefault="00CF72BD" w:rsidP="002B39DC">
            <w:pPr>
              <w:spacing w:after="0" w:line="240" w:lineRule="auto"/>
              <w:rPr>
                <w:rFonts w:cs="Arial"/>
                <w:b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ACC</w:t>
            </w:r>
            <w:r w:rsidRPr="005F48FF">
              <w:rPr>
                <w:b/>
                <w:i/>
                <w:color w:val="595959" w:themeColor="text1" w:themeTint="A6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9BFDF25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0E05B17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A137A98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852C8A5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AE86152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FEA5889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</w:tr>
      <w:tr w:rsidR="00CF72BD" w:rsidRPr="00590F53" w14:paraId="0B78786E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9B9C17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Glutamate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C010D9" w14:textId="77777777" w:rsidR="00CF72BD" w:rsidRPr="003E3CC0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3E3CC0">
              <w:rPr>
                <w:rFonts w:cs="Arial"/>
                <w:sz w:val="20"/>
                <w:szCs w:val="20"/>
                <w:lang w:val="da-DK"/>
              </w:rPr>
              <w:t>10.94 ± 1.46, n=37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C531D49" w14:textId="77777777" w:rsidR="00CF72BD" w:rsidRPr="003E3CC0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3E3CC0">
              <w:rPr>
                <w:rFonts w:cs="Arial"/>
                <w:sz w:val="20"/>
                <w:szCs w:val="20"/>
                <w:lang w:val="da-DK"/>
              </w:rPr>
              <w:t>11.19 ± 1.00, n=36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976C29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B04B1">
              <w:rPr>
                <w:rFonts w:cs="Arial"/>
                <w:sz w:val="20"/>
                <w:szCs w:val="20"/>
                <w:lang w:val="da-DK"/>
              </w:rPr>
              <w:t>11.03 ± 1.56, n=27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1D3771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B04B1">
              <w:rPr>
                <w:rFonts w:cs="Arial"/>
                <w:sz w:val="20"/>
                <w:szCs w:val="20"/>
                <w:lang w:val="da-DK"/>
              </w:rPr>
              <w:t>10.98 ± 1.35, n=31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E495A8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10.90 ± 0.88, n=26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E4E434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10.75 ± 0.88, n=31</w:t>
            </w:r>
          </w:p>
        </w:tc>
      </w:tr>
      <w:tr w:rsidR="00CF72BD" w:rsidRPr="00590F53" w14:paraId="5364705C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B0C1D2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084F0F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E3CC0">
              <w:rPr>
                <w:rFonts w:cs="Arial"/>
                <w:sz w:val="20"/>
                <w:szCs w:val="20"/>
                <w:lang w:val="da-DK"/>
              </w:rPr>
              <w:t>14.56 ± 2.07,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CDCE03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E3CC0">
              <w:rPr>
                <w:rFonts w:cs="Arial"/>
                <w:sz w:val="20"/>
                <w:szCs w:val="20"/>
                <w:lang w:val="da-DK"/>
              </w:rPr>
              <w:t>14.66 ± 1.52,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652194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B04B1">
              <w:rPr>
                <w:rFonts w:cs="Arial"/>
                <w:sz w:val="20"/>
                <w:szCs w:val="20"/>
                <w:lang w:val="da-DK"/>
              </w:rPr>
              <w:t>14.72 ± 2.44,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C61876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C5516">
              <w:rPr>
                <w:rFonts w:cs="Arial"/>
                <w:sz w:val="20"/>
                <w:szCs w:val="20"/>
                <w:lang w:val="da-DK"/>
              </w:rPr>
              <w:t>14.55 ± 1.84,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A53DB6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14.54 ± 1.42,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C3D3698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14.28 ± 1.31, n=31</w:t>
            </w:r>
          </w:p>
        </w:tc>
      </w:tr>
      <w:tr w:rsidR="00CF72BD" w:rsidRPr="00590F53" w14:paraId="1C5868C1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375F19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>utamine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482E95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64EC2">
              <w:rPr>
                <w:rFonts w:cs="Arial"/>
                <w:sz w:val="20"/>
                <w:szCs w:val="20"/>
                <w:lang w:val="da-DK"/>
              </w:rPr>
              <w:t>3.83 ± 0.72,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2FBE34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64EC2">
              <w:rPr>
                <w:rFonts w:cs="Arial"/>
                <w:sz w:val="20"/>
                <w:szCs w:val="20"/>
                <w:lang w:val="da-DK"/>
              </w:rPr>
              <w:t>3.79 ± 0.59, n=27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A0B3F2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957ECE">
              <w:rPr>
                <w:rFonts w:cs="Arial"/>
                <w:sz w:val="20"/>
                <w:szCs w:val="20"/>
                <w:lang w:val="da-DK"/>
              </w:rPr>
              <w:t>3.99 ± 0.80, n=22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2429B2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957ECE">
              <w:rPr>
                <w:rFonts w:cs="Arial"/>
                <w:sz w:val="20"/>
                <w:szCs w:val="20"/>
                <w:lang w:val="da-DK"/>
              </w:rPr>
              <w:t>3.66 ± 0.61,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608941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3.87 ± 0.62, n=21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7E3231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3.60 ± 0.57, n=29</w:t>
            </w:r>
          </w:p>
        </w:tc>
      </w:tr>
      <w:tr w:rsidR="00CF72BD" w:rsidRPr="00590F53" w14:paraId="4498F6C6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B77DC6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NAA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60B73F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3525D">
              <w:rPr>
                <w:rFonts w:cs="Arial"/>
                <w:sz w:val="20"/>
                <w:szCs w:val="20"/>
                <w:lang w:val="da-DK"/>
              </w:rPr>
              <w:t>8.87 ± 0.98,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162CD12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3525D">
              <w:rPr>
                <w:rFonts w:cs="Arial"/>
                <w:sz w:val="20"/>
                <w:szCs w:val="20"/>
                <w:lang w:val="da-DK"/>
              </w:rPr>
              <w:t>9.09 ± 0.61,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61F592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D64E2">
              <w:rPr>
                <w:rFonts w:cs="Arial"/>
                <w:sz w:val="20"/>
                <w:szCs w:val="20"/>
                <w:lang w:val="da-DK"/>
              </w:rPr>
              <w:t>9.01 ± 0.81,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16A732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D64E2">
              <w:rPr>
                <w:rFonts w:cs="Arial"/>
                <w:sz w:val="20"/>
                <w:szCs w:val="20"/>
                <w:lang w:val="da-DK"/>
              </w:rPr>
              <w:t>9.07 ± 1.01,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191C1B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9.02 ± 0.80,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5803D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8.96 ± 0.77, n=31</w:t>
            </w:r>
          </w:p>
        </w:tc>
      </w:tr>
      <w:tr w:rsidR="00CF72BD" w:rsidRPr="00590F53" w14:paraId="6B408B41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3FDA54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Myo-inositol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A79E89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6211A">
              <w:rPr>
                <w:rFonts w:cs="Arial"/>
                <w:sz w:val="20"/>
                <w:szCs w:val="20"/>
                <w:lang w:val="da-DK"/>
              </w:rPr>
              <w:t>5.98 ± 0.76,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79B554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6211A">
              <w:rPr>
                <w:rFonts w:cs="Arial"/>
                <w:sz w:val="20"/>
                <w:szCs w:val="20"/>
                <w:lang w:val="da-DK"/>
              </w:rPr>
              <w:t>6.12 ± 0.57,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2E1CE6" w14:textId="77777777" w:rsidR="00CF72BD" w:rsidRPr="005616C7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616C7">
              <w:rPr>
                <w:rFonts w:cs="Arial"/>
                <w:sz w:val="20"/>
                <w:szCs w:val="20"/>
                <w:lang w:val="da-DK"/>
              </w:rPr>
              <w:t>6.05 ± 0.78,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178509" w14:textId="77777777" w:rsidR="00CF72BD" w:rsidRPr="005616C7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616C7">
              <w:rPr>
                <w:rFonts w:cs="Arial"/>
                <w:sz w:val="20"/>
                <w:szCs w:val="20"/>
                <w:lang w:val="da-DK"/>
              </w:rPr>
              <w:t>6.15 ± 0.91,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57902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6.11 ± 0.67,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42C306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F44BD">
              <w:rPr>
                <w:rFonts w:cs="Arial"/>
                <w:sz w:val="20"/>
                <w:szCs w:val="20"/>
                <w:lang w:val="da-DK"/>
              </w:rPr>
              <w:t>6.14 ± 0.70, n=31</w:t>
            </w:r>
          </w:p>
        </w:tc>
      </w:tr>
      <w:tr w:rsidR="00CF72BD" w:rsidRPr="00590F53" w14:paraId="06EEC878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62B20CB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Choline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F95E00A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6211A">
              <w:rPr>
                <w:rFonts w:cs="Arial"/>
                <w:sz w:val="20"/>
                <w:szCs w:val="20"/>
                <w:lang w:val="da-DK"/>
              </w:rPr>
              <w:t>1.99 ± 0.27,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C0C6BD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6211A">
              <w:rPr>
                <w:rFonts w:cs="Arial"/>
                <w:sz w:val="20"/>
                <w:szCs w:val="20"/>
                <w:lang w:val="da-DK"/>
              </w:rPr>
              <w:t>2.11 ± 0.23,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94F1B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87884">
              <w:rPr>
                <w:rFonts w:cs="Arial"/>
                <w:sz w:val="20"/>
                <w:szCs w:val="20"/>
                <w:lang w:val="da-DK"/>
              </w:rPr>
              <w:t>1.99 ± 0.27,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0AB887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87884">
              <w:rPr>
                <w:rFonts w:cs="Arial"/>
                <w:sz w:val="20"/>
                <w:szCs w:val="20"/>
                <w:lang w:val="da-DK"/>
              </w:rPr>
              <w:t>2.13 ± 0.28,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C55D6DB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2.09 ± 0.24,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2051C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2.11 ± 0.26, n=31</w:t>
            </w:r>
          </w:p>
        </w:tc>
      </w:tr>
      <w:tr w:rsidR="00CF72BD" w:rsidRPr="00590F53" w14:paraId="3E401201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8D5067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5524AB8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05966">
              <w:rPr>
                <w:rFonts w:cs="Arial"/>
                <w:sz w:val="20"/>
                <w:szCs w:val="20"/>
                <w:lang w:val="da-DK"/>
              </w:rPr>
              <w:t>7.26 ± 0.74,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0963BC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05966">
              <w:rPr>
                <w:rFonts w:cs="Arial"/>
                <w:sz w:val="20"/>
                <w:szCs w:val="20"/>
                <w:lang w:val="da-DK"/>
              </w:rPr>
              <w:t>7.24 ± 0.50,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441CE9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448C">
              <w:rPr>
                <w:rFonts w:cs="Arial"/>
                <w:sz w:val="20"/>
                <w:szCs w:val="20"/>
                <w:lang w:val="da-DK"/>
              </w:rPr>
              <w:t>7.37 ± 0.68,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15C2A1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448C">
              <w:rPr>
                <w:rFonts w:cs="Arial"/>
                <w:sz w:val="20"/>
                <w:szCs w:val="20"/>
                <w:lang w:val="da-DK"/>
              </w:rPr>
              <w:t>7.20 ± 0.70,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D865DD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7.35 ± 0.62,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C8C525" w14:textId="77777777" w:rsidR="00CF72BD" w:rsidRPr="000C2D7B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7.03 ± 0.62, n=31</w:t>
            </w:r>
          </w:p>
        </w:tc>
      </w:tr>
      <w:tr w:rsidR="00CF72BD" w:rsidRPr="00590F53" w14:paraId="479AE0FA" w14:textId="77777777" w:rsidTr="002B39DC">
        <w:trPr>
          <w:trHeight w:val="388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FF8A0E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Grey matter 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5FFED1" w14:textId="77777777" w:rsidR="00CF72BD" w:rsidRPr="00ED21D1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ED21D1">
              <w:rPr>
                <w:rFonts w:cs="Arial"/>
                <w:sz w:val="20"/>
                <w:szCs w:val="20"/>
                <w:lang w:val="da-DK"/>
              </w:rPr>
              <w:t xml:space="preserve">67.6 ± 6.4, n=37 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BF9FEC" w14:textId="77777777" w:rsidR="00CF72BD" w:rsidRPr="00ED21D1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ED21D1">
              <w:rPr>
                <w:rFonts w:cs="Arial"/>
                <w:sz w:val="20"/>
                <w:szCs w:val="20"/>
                <w:lang w:val="da-DK"/>
              </w:rPr>
              <w:t>68.0 ± 3.8,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66EE48" w14:textId="77777777" w:rsidR="00CF72BD" w:rsidRPr="00AE448C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E448C">
              <w:rPr>
                <w:rFonts w:cs="Arial"/>
                <w:sz w:val="20"/>
                <w:szCs w:val="20"/>
                <w:lang w:val="da-DK"/>
              </w:rPr>
              <w:t>66.9 ± 5.8,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D04048" w14:textId="77777777" w:rsidR="00CF72BD" w:rsidRPr="00AE448C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E448C">
              <w:rPr>
                <w:rFonts w:cs="Arial"/>
                <w:sz w:val="20"/>
                <w:szCs w:val="20"/>
                <w:lang w:val="da-DK"/>
              </w:rPr>
              <w:t>68.0 ± 6.2,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63EFB60" w14:textId="77777777" w:rsidR="00CF72BD" w:rsidRPr="00AE3D3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66.8 ± 5.0,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3E56F5" w14:textId="77777777" w:rsidR="00CF72BD" w:rsidRPr="00AE3D3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68.6 ± 5.5, n=31</w:t>
            </w:r>
          </w:p>
        </w:tc>
      </w:tr>
      <w:tr w:rsidR="00CF72BD" w:rsidRPr="00590F53" w14:paraId="2DD65558" w14:textId="77777777" w:rsidTr="002B39DC">
        <w:trPr>
          <w:trHeight w:val="438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132EFA" w14:textId="77777777" w:rsidR="00CF72BD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White matter (%)</w:t>
            </w:r>
          </w:p>
          <w:p w14:paraId="57FDCE03" w14:textId="77777777" w:rsidR="00CF72BD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</w:p>
          <w:p w14:paraId="1BB5A6D9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CE8603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14.2 ± 4.2,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7F7D6E3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12.9 ± 2.6,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FBAC57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14.1 ± 3.4,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0F5255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13.4 ± 2.7,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D660B7" w14:textId="77777777" w:rsidR="00CF72BD" w:rsidRPr="00AE3D3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13.8 ± 2.4,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494483" w14:textId="77777777" w:rsidR="00CF72BD" w:rsidRPr="00AE3D39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13.5 ± 2.7, n=31</w:t>
            </w:r>
          </w:p>
        </w:tc>
      </w:tr>
      <w:tr w:rsidR="00CF72BD" w:rsidRPr="00590F53" w14:paraId="42502299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294DF46" w14:textId="77777777" w:rsidR="00CF72BD" w:rsidRPr="005F48FF" w:rsidRDefault="00CF72BD" w:rsidP="002B39DC">
            <w:pPr>
              <w:spacing w:after="0" w:line="240" w:lineRule="auto"/>
              <w:rPr>
                <w:rFonts w:cs="Arial"/>
                <w:b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lastRenderedPageBreak/>
              <w:t>ACC</w:t>
            </w:r>
            <w:r w:rsidRPr="005F48FF">
              <w:rPr>
                <w:b/>
                <w:i/>
                <w:color w:val="595959" w:themeColor="text1" w:themeTint="A6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4462CC9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331093D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B3C4A7E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3029BBD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61D84F0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581DEE0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</w:tr>
      <w:tr w:rsidR="00CF72BD" w:rsidRPr="00590F53" w14:paraId="6D879150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4C1EA7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GABA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40A2B1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01174">
              <w:rPr>
                <w:rFonts w:cs="Arial"/>
                <w:sz w:val="20"/>
                <w:szCs w:val="20"/>
                <w:lang w:val="da-DK"/>
              </w:rPr>
              <w:t>2.</w:t>
            </w:r>
            <w:r>
              <w:rPr>
                <w:rFonts w:cs="Arial"/>
                <w:sz w:val="20"/>
                <w:szCs w:val="20"/>
                <w:lang w:val="da-DK"/>
              </w:rPr>
              <w:t>32</w:t>
            </w:r>
            <w:r w:rsidRPr="00201174">
              <w:rPr>
                <w:rFonts w:cs="Arial"/>
                <w:sz w:val="20"/>
                <w:szCs w:val="20"/>
                <w:lang w:val="da-DK"/>
              </w:rPr>
              <w:t xml:space="preserve"> ± 0.</w:t>
            </w:r>
            <w:r>
              <w:rPr>
                <w:rFonts w:cs="Arial"/>
                <w:sz w:val="20"/>
                <w:szCs w:val="20"/>
                <w:lang w:val="da-DK"/>
              </w:rPr>
              <w:t>39</w:t>
            </w:r>
            <w:r w:rsidRPr="00201174">
              <w:rPr>
                <w:rFonts w:cs="Arial"/>
                <w:sz w:val="20"/>
                <w:szCs w:val="20"/>
                <w:lang w:val="da-DK"/>
              </w:rPr>
              <w:t>, n=2</w:t>
            </w:r>
            <w:r>
              <w:rPr>
                <w:rFonts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AE38B7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01174">
              <w:rPr>
                <w:rFonts w:cs="Arial"/>
                <w:sz w:val="20"/>
                <w:szCs w:val="20"/>
                <w:lang w:val="da-DK"/>
              </w:rPr>
              <w:t>2.50 ± 0.28, n=32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C2AB35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22B7E">
              <w:rPr>
                <w:rFonts w:cs="Arial"/>
                <w:sz w:val="20"/>
                <w:szCs w:val="20"/>
                <w:lang w:val="da-DK"/>
              </w:rPr>
              <w:t>2.34 ± 0.27, n=20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2EEB4A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22B7E">
              <w:rPr>
                <w:rFonts w:cs="Arial"/>
                <w:sz w:val="20"/>
                <w:szCs w:val="20"/>
                <w:lang w:val="da-DK"/>
              </w:rPr>
              <w:t>2.43 ± 0.25, n=31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056A53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2.44 ± 0.31, n=24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CCAFF7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E3D39">
              <w:rPr>
                <w:rFonts w:cs="Arial"/>
                <w:sz w:val="20"/>
                <w:szCs w:val="20"/>
                <w:lang w:val="da-DK"/>
              </w:rPr>
              <w:t>2.47 ± 0.42, n=29</w:t>
            </w:r>
          </w:p>
        </w:tc>
      </w:tr>
      <w:tr w:rsidR="00CF72BD" w:rsidRPr="00590F53" w14:paraId="799EC60C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DE8A33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687BCD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01174">
              <w:rPr>
                <w:rFonts w:cs="Arial"/>
                <w:sz w:val="20"/>
                <w:szCs w:val="20"/>
                <w:lang w:val="da-DK"/>
              </w:rPr>
              <w:t>10.</w:t>
            </w:r>
            <w:r>
              <w:rPr>
                <w:rFonts w:cs="Arial"/>
                <w:sz w:val="20"/>
                <w:szCs w:val="20"/>
                <w:lang w:val="da-DK"/>
              </w:rPr>
              <w:t>64</w:t>
            </w:r>
            <w:r w:rsidRPr="00201174">
              <w:rPr>
                <w:rFonts w:cs="Arial"/>
                <w:sz w:val="20"/>
                <w:szCs w:val="20"/>
                <w:lang w:val="da-DK"/>
              </w:rPr>
              <w:t xml:space="preserve"> ± 1.</w:t>
            </w:r>
            <w:r>
              <w:rPr>
                <w:rFonts w:cs="Arial"/>
                <w:sz w:val="20"/>
                <w:szCs w:val="20"/>
                <w:lang w:val="da-DK"/>
              </w:rPr>
              <w:t>63</w:t>
            </w:r>
            <w:r w:rsidRPr="00201174">
              <w:rPr>
                <w:rFonts w:cs="Arial"/>
                <w:sz w:val="20"/>
                <w:szCs w:val="20"/>
                <w:lang w:val="da-DK"/>
              </w:rPr>
              <w:t>, n=2</w:t>
            </w:r>
            <w:r>
              <w:rPr>
                <w:rFonts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6246EF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01174">
              <w:rPr>
                <w:rFonts w:cs="Arial"/>
                <w:sz w:val="20"/>
                <w:szCs w:val="20"/>
                <w:lang w:val="da-DK"/>
              </w:rPr>
              <w:t>11.25 ± 0.87,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480209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624A1">
              <w:rPr>
                <w:rFonts w:cs="Arial"/>
                <w:sz w:val="20"/>
                <w:szCs w:val="20"/>
                <w:lang w:val="da-DK"/>
              </w:rPr>
              <w:t>11.27 ± 1.30,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982EA7C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624A1">
              <w:rPr>
                <w:rFonts w:cs="Arial"/>
                <w:sz w:val="20"/>
                <w:szCs w:val="20"/>
                <w:lang w:val="da-DK"/>
              </w:rPr>
              <w:t>10.87 ± 1.40,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6A815E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776D0">
              <w:rPr>
                <w:rFonts w:cs="Arial"/>
                <w:sz w:val="20"/>
                <w:szCs w:val="20"/>
                <w:lang w:val="da-DK"/>
              </w:rPr>
              <w:t>11.06 ± 1.24,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F1E9B0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776D0">
              <w:rPr>
                <w:rFonts w:cs="Arial"/>
                <w:sz w:val="20"/>
                <w:szCs w:val="20"/>
                <w:lang w:val="da-DK"/>
              </w:rPr>
              <w:t>10.95 ± 1.17, n=29</w:t>
            </w:r>
          </w:p>
        </w:tc>
      </w:tr>
      <w:tr w:rsidR="00CF72BD" w:rsidRPr="00590F53" w14:paraId="1B5B8E4C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20B4A4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proofErr w:type="spellEnd"/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 IU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BEE234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01174">
              <w:rPr>
                <w:rFonts w:cs="Arial"/>
                <w:sz w:val="20"/>
                <w:szCs w:val="20"/>
                <w:lang w:val="da-DK"/>
              </w:rPr>
              <w:t>14.</w:t>
            </w:r>
            <w:r>
              <w:rPr>
                <w:rFonts w:cs="Arial"/>
                <w:sz w:val="20"/>
                <w:szCs w:val="20"/>
                <w:lang w:val="da-DK"/>
              </w:rPr>
              <w:t>54</w:t>
            </w:r>
            <w:r w:rsidRPr="00201174">
              <w:rPr>
                <w:rFonts w:cs="Arial"/>
                <w:sz w:val="20"/>
                <w:szCs w:val="20"/>
                <w:lang w:val="da-DK"/>
              </w:rPr>
              <w:t xml:space="preserve"> ± 1.</w:t>
            </w:r>
            <w:r>
              <w:rPr>
                <w:rFonts w:cs="Arial"/>
                <w:sz w:val="20"/>
                <w:szCs w:val="20"/>
                <w:lang w:val="da-DK"/>
              </w:rPr>
              <w:t>19</w:t>
            </w:r>
            <w:r w:rsidRPr="00201174">
              <w:rPr>
                <w:rFonts w:cs="Arial"/>
                <w:sz w:val="20"/>
                <w:szCs w:val="20"/>
                <w:lang w:val="da-DK"/>
              </w:rPr>
              <w:t>, n=2</w:t>
            </w:r>
            <w:r>
              <w:rPr>
                <w:rFonts w:cs="Arial"/>
                <w:sz w:val="20"/>
                <w:szCs w:val="20"/>
                <w:lang w:val="da-DK"/>
              </w:rPr>
              <w:t>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F8AA94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01174">
              <w:rPr>
                <w:rFonts w:cs="Arial"/>
                <w:sz w:val="20"/>
                <w:szCs w:val="20"/>
                <w:lang w:val="da-DK"/>
              </w:rPr>
              <w:t>14.23 ± 1.06,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B4A065" w14:textId="77777777" w:rsidR="00CF72BD" w:rsidRPr="00AD65AE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E5839">
              <w:rPr>
                <w:rFonts w:cs="Arial"/>
                <w:sz w:val="20"/>
                <w:szCs w:val="20"/>
                <w:lang w:val="da-DK"/>
              </w:rPr>
              <w:t xml:space="preserve"> 14.52 ± 1.00,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7A181C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E5839">
              <w:rPr>
                <w:rFonts w:cs="Arial"/>
                <w:sz w:val="20"/>
                <w:szCs w:val="20"/>
                <w:lang w:val="da-DK"/>
              </w:rPr>
              <w:t>14.11 ± 1.29,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FBC6B5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F6E50">
              <w:rPr>
                <w:rFonts w:cs="Arial"/>
                <w:sz w:val="20"/>
                <w:szCs w:val="20"/>
                <w:lang w:val="da-DK"/>
              </w:rPr>
              <w:t>14.18 ± 0.81,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02F41B" w14:textId="77777777" w:rsidR="00CF72BD" w:rsidRPr="00AD65AE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F6E50">
              <w:rPr>
                <w:rFonts w:cs="Arial"/>
                <w:sz w:val="20"/>
                <w:szCs w:val="20"/>
                <w:lang w:val="da-DK"/>
              </w:rPr>
              <w:t>13.87 ± 1.12, n=29</w:t>
            </w:r>
          </w:p>
        </w:tc>
      </w:tr>
      <w:tr w:rsidR="00CF72BD" w:rsidRPr="00590F53" w14:paraId="2B88C762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6EAEF6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Grey matter</w:t>
            </w:r>
            <w:r w:rsidRPr="00590F53">
              <w:rPr>
                <w:rFonts w:cs="Arial"/>
                <w:b/>
                <w:sz w:val="20"/>
                <w:szCs w:val="20"/>
                <w:vertAlign w:val="subscript"/>
                <w:lang w:val="da-DK"/>
              </w:rPr>
              <w:t xml:space="preserve"> </w:t>
            </w: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3AD36F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51.2 ± 4.7,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ACE0869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53.2 ± 3.2,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25A218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51.5 ± 4.2,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C87FF6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52.7 ± 4.9,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1E1C2FA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52.7 ± 3.5,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01DD04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53.2 ± 4.4, n=29</w:t>
            </w:r>
          </w:p>
        </w:tc>
      </w:tr>
      <w:tr w:rsidR="00CF72BD" w:rsidRPr="00590F53" w14:paraId="4EB3318A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955C7C7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White matter</w:t>
            </w:r>
            <w:r w:rsidRPr="00590F53">
              <w:rPr>
                <w:rFonts w:cs="Arial"/>
                <w:b/>
                <w:sz w:val="20"/>
                <w:szCs w:val="20"/>
                <w:vertAlign w:val="subscript"/>
                <w:lang w:val="da-DK"/>
              </w:rPr>
              <w:t xml:space="preserve"> </w:t>
            </w: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(%)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ADDFA95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32.3 ± 4.1, n=28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0E2DF14" w14:textId="77777777" w:rsidR="00CF72BD" w:rsidRPr="00590F53" w:rsidRDefault="00CF72BD" w:rsidP="002B39DC">
            <w:pPr>
              <w:spacing w:after="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30.5 ± 3.0,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A94B78A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31.1 ± 3.6,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6520897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31.3 ± 3.5,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420726E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30.1 ± 3.1,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BD2BD41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sz w:val="20"/>
                <w:szCs w:val="20"/>
                <w:lang w:val="da-DK"/>
              </w:rPr>
              <w:t>31.2 ± 3.6, n=29</w:t>
            </w:r>
          </w:p>
        </w:tc>
      </w:tr>
    </w:tbl>
    <w:p w14:paraId="4B806D8C" w14:textId="77777777" w:rsidR="00CF72BD" w:rsidRDefault="00CF72BD" w:rsidP="00CF72BD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Table S9 shows metabolite levels in institutional units calculated with the formula provided in the supplementary methods. </w:t>
      </w:r>
    </w:p>
    <w:p w14:paraId="18F77BB6" w14:textId="77777777" w:rsidR="00CF72BD" w:rsidRPr="00826EA3" w:rsidRDefault="00CF72BD" w:rsidP="00CF72BD">
      <w:pPr>
        <w:spacing w:after="0" w:line="240" w:lineRule="auto"/>
        <w:rPr>
          <w:rFonts w:cs="Arial"/>
          <w:sz w:val="20"/>
          <w:szCs w:val="20"/>
        </w:rPr>
      </w:pPr>
      <w:r w:rsidRPr="00826EA3">
        <w:rPr>
          <w:rFonts w:cs="Arial"/>
          <w:sz w:val="20"/>
          <w:szCs w:val="20"/>
        </w:rPr>
        <w:t>Abbreviations: ACC: Anteri</w:t>
      </w:r>
      <w:r>
        <w:rPr>
          <w:rFonts w:cs="Arial"/>
          <w:sz w:val="20"/>
          <w:szCs w:val="20"/>
        </w:rPr>
        <w:t xml:space="preserve">or cingulate cortex; FEP: First </w:t>
      </w:r>
      <w:r w:rsidRPr="00826EA3">
        <w:rPr>
          <w:rFonts w:cs="Arial"/>
          <w:sz w:val="20"/>
          <w:szCs w:val="20"/>
        </w:rPr>
        <w:t xml:space="preserve">episode psychosis; HCs: Healthy controls; </w:t>
      </w:r>
      <w:r>
        <w:rPr>
          <w:sz w:val="20"/>
          <w:szCs w:val="20"/>
        </w:rPr>
        <w:t>IU: institutional units</w:t>
      </w:r>
      <w:r>
        <w:rPr>
          <w:rFonts w:cs="Arial"/>
          <w:sz w:val="20"/>
          <w:szCs w:val="20"/>
        </w:rPr>
        <w:t xml:space="preserve">; </w:t>
      </w:r>
      <w:proofErr w:type="spellStart"/>
      <w:r w:rsidRPr="00826EA3">
        <w:rPr>
          <w:rFonts w:cs="Arial"/>
          <w:sz w:val="20"/>
          <w:szCs w:val="20"/>
        </w:rPr>
        <w:t>Glx</w:t>
      </w:r>
      <w:proofErr w:type="spellEnd"/>
      <w:r w:rsidRPr="00826EA3">
        <w:rPr>
          <w:rFonts w:cs="Arial"/>
          <w:sz w:val="20"/>
          <w:szCs w:val="20"/>
        </w:rPr>
        <w:t xml:space="preserve">: </w:t>
      </w:r>
      <w:proofErr w:type="spellStart"/>
      <w:r w:rsidRPr="00826EA3">
        <w:rPr>
          <w:rFonts w:cs="Arial"/>
          <w:sz w:val="20"/>
          <w:szCs w:val="20"/>
        </w:rPr>
        <w:t>glutamate+glutamine</w:t>
      </w:r>
      <w:proofErr w:type="spellEnd"/>
      <w:r w:rsidRPr="00826EA3">
        <w:rPr>
          <w:rFonts w:cs="Arial"/>
          <w:sz w:val="20"/>
          <w:szCs w:val="20"/>
        </w:rPr>
        <w:t xml:space="preserve">; NAA: N-acetyl aspartate; </w:t>
      </w:r>
      <w:proofErr w:type="spellStart"/>
      <w:r w:rsidRPr="00826EA3">
        <w:rPr>
          <w:rFonts w:cs="Arial"/>
          <w:sz w:val="20"/>
          <w:szCs w:val="20"/>
        </w:rPr>
        <w:t>PCr+Cr</w:t>
      </w:r>
      <w:proofErr w:type="spellEnd"/>
      <w:r w:rsidRPr="00826EA3">
        <w:rPr>
          <w:rFonts w:cs="Arial"/>
          <w:sz w:val="20"/>
          <w:szCs w:val="20"/>
        </w:rPr>
        <w:t>: Total creatine (</w:t>
      </w:r>
      <w:proofErr w:type="spellStart"/>
      <w:r w:rsidRPr="00826EA3">
        <w:rPr>
          <w:rFonts w:cs="Arial"/>
          <w:sz w:val="20"/>
          <w:szCs w:val="20"/>
        </w:rPr>
        <w:t>phosphocreatine+creatine</w:t>
      </w:r>
      <w:proofErr w:type="spellEnd"/>
      <w:r w:rsidRPr="00826EA3">
        <w:rPr>
          <w:rFonts w:cs="Arial"/>
          <w:sz w:val="20"/>
          <w:szCs w:val="20"/>
        </w:rPr>
        <w:t>); GABA: Gamma-aminobutyric acid. A:</w:t>
      </w: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n states the number of </w:t>
      </w:r>
      <w:proofErr w:type="spellStart"/>
      <w:r>
        <w:rPr>
          <w:sz w:val="20"/>
          <w:szCs w:val="20"/>
        </w:rPr>
        <w:t>analyzed</w:t>
      </w:r>
      <w:proofErr w:type="spellEnd"/>
      <w:r>
        <w:rPr>
          <w:sz w:val="20"/>
          <w:szCs w:val="20"/>
        </w:rPr>
        <w:t xml:space="preserve"> spectra</w:t>
      </w:r>
      <w:r w:rsidRPr="00826EA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B: </w:t>
      </w:r>
      <w:r w:rsidRPr="00826EA3">
        <w:rPr>
          <w:rFonts w:cs="Arial"/>
          <w:sz w:val="20"/>
          <w:szCs w:val="20"/>
        </w:rPr>
        <w:t xml:space="preserve">Water-scaled value of </w:t>
      </w:r>
      <w:proofErr w:type="spellStart"/>
      <w:r w:rsidRPr="00826EA3">
        <w:rPr>
          <w:rFonts w:cs="Arial"/>
          <w:sz w:val="20"/>
          <w:szCs w:val="20"/>
        </w:rPr>
        <w:t>PCr+Cr</w:t>
      </w:r>
      <w:proofErr w:type="spellEnd"/>
      <w:r w:rsidRPr="00826EA3">
        <w:rPr>
          <w:rFonts w:cs="Arial"/>
          <w:sz w:val="20"/>
          <w:szCs w:val="20"/>
        </w:rPr>
        <w:t xml:space="preserve"> provided by </w:t>
      </w:r>
      <w:proofErr w:type="spellStart"/>
      <w:r w:rsidRPr="00826EA3">
        <w:rPr>
          <w:rFonts w:cs="Arial"/>
          <w:sz w:val="20"/>
          <w:szCs w:val="20"/>
        </w:rPr>
        <w:t>LCModel</w:t>
      </w:r>
      <w:proofErr w:type="spellEnd"/>
      <w:r w:rsidRPr="00826EA3">
        <w:rPr>
          <w:rFonts w:cs="Arial"/>
          <w:sz w:val="20"/>
          <w:szCs w:val="20"/>
        </w:rPr>
        <w:t xml:space="preserve"> and Gannet and used as reference in metabolite/Cr values</w:t>
      </w:r>
      <w:r>
        <w:rPr>
          <w:rFonts w:cs="Arial"/>
          <w:sz w:val="20"/>
          <w:szCs w:val="20"/>
        </w:rPr>
        <w:t xml:space="preserve">. </w:t>
      </w:r>
      <w:r w:rsidRPr="00527528">
        <w:rPr>
          <w:sz w:val="20"/>
          <w:szCs w:val="20"/>
          <w:lang w:val="en-US"/>
        </w:rPr>
        <w:t xml:space="preserve">C: Metabolites in a 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2.0x2.0x2.0 cm voxel. D: </w:t>
      </w:r>
      <w:r w:rsidRPr="00527528">
        <w:rPr>
          <w:sz w:val="20"/>
          <w:szCs w:val="20"/>
          <w:lang w:val="en-US"/>
        </w:rPr>
        <w:t xml:space="preserve">Metabolites in a 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>3.0x3.0x3.0 cm voxel (details provided in the patient</w:t>
      </w:r>
      <w:r>
        <w:rPr>
          <w:rFonts w:asciiTheme="majorHAnsi" w:hAnsiTheme="majorHAnsi" w:cstheme="majorHAnsi"/>
          <w:sz w:val="20"/>
          <w:szCs w:val="20"/>
          <w:lang w:val="en-US"/>
        </w:rPr>
        <w:t>s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 and methods section). </w:t>
      </w:r>
      <w:r w:rsidRPr="00954124">
        <w:rPr>
          <w:rFonts w:asciiTheme="majorHAnsi" w:hAnsiTheme="majorHAnsi" w:cstheme="majorHAnsi"/>
          <w:sz w:val="20"/>
          <w:szCs w:val="20"/>
          <w:lang w:val="en-US"/>
        </w:rPr>
        <w:t xml:space="preserve">E: </w:t>
      </w:r>
      <w:r w:rsidRPr="00954124">
        <w:rPr>
          <w:sz w:val="20"/>
          <w:szCs w:val="20"/>
        </w:rPr>
        <w:t>The segmentation of grey and white matter could not be done for 1 HC</w:t>
      </w:r>
      <w:r>
        <w:rPr>
          <w:sz w:val="20"/>
          <w:szCs w:val="20"/>
        </w:rPr>
        <w:t>.</w:t>
      </w:r>
      <w:r w:rsidRPr="00527528">
        <w:rPr>
          <w:sz w:val="20"/>
          <w:szCs w:val="20"/>
        </w:rPr>
        <w:t xml:space="preserve"> </w:t>
      </w:r>
    </w:p>
    <w:p w14:paraId="49D438A0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3ED534D7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1458E2B1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30FD57D3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021F03FC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AE89536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47B14170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6284A2A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02B21D5B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061CD559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1B316E09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52570A4E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0332205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E9CCD2B" w14:textId="77777777" w:rsidR="00CF72BD" w:rsidRPr="00826EA3" w:rsidRDefault="00CF72BD" w:rsidP="00CF72BD">
      <w:pPr>
        <w:ind w:left="-709" w:right="-314"/>
        <w:outlineLvl w:val="0"/>
        <w:rPr>
          <w:rFonts w:cs="Arial"/>
          <w:b/>
          <w:sz w:val="24"/>
          <w:szCs w:val="24"/>
        </w:rPr>
      </w:pPr>
      <w:r w:rsidRPr="00BF7DAF">
        <w:rPr>
          <w:rFonts w:cs="Arial"/>
          <w:b/>
          <w:sz w:val="24"/>
          <w:szCs w:val="24"/>
        </w:rPr>
        <w:lastRenderedPageBreak/>
        <w:t>Table S10. Metabolites scaled to water in ACC and left thalamus at all assessments in first-episode psychosis patients and healthy controls</w:t>
      </w:r>
      <w:r w:rsidRPr="00826EA3">
        <w:rPr>
          <w:rFonts w:cs="Arial"/>
          <w:b/>
          <w:sz w:val="24"/>
          <w:szCs w:val="24"/>
        </w:rPr>
        <w:t xml:space="preserve"> 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2268"/>
        <w:gridCol w:w="2126"/>
        <w:gridCol w:w="2126"/>
        <w:gridCol w:w="2127"/>
      </w:tblGrid>
      <w:tr w:rsidR="00CF72BD" w:rsidRPr="00590F53" w14:paraId="7FEB30EF" w14:textId="77777777" w:rsidTr="002B39DC">
        <w:tc>
          <w:tcPr>
            <w:tcW w:w="2694" w:type="dxa"/>
            <w:tcBorders>
              <w:top w:val="single" w:sz="18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77DBC3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136AC77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 w:rsidRPr="00590F53">
              <w:rPr>
                <w:rFonts w:cs="Arial"/>
                <w:b/>
                <w:sz w:val="24"/>
                <w:szCs w:val="24"/>
                <w:lang w:val="da-DK"/>
              </w:rPr>
              <w:t>Baseline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59834F42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>
              <w:rPr>
                <w:rFonts w:cs="Arial"/>
                <w:b/>
                <w:sz w:val="24"/>
                <w:szCs w:val="24"/>
                <w:lang w:val="da-DK"/>
              </w:rPr>
              <w:t xml:space="preserve">6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da-DK"/>
              </w:rPr>
              <w:t>weeks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18" w:space="0" w:color="000000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D8484E6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da-DK"/>
              </w:rPr>
            </w:pPr>
            <w:r>
              <w:rPr>
                <w:rFonts w:cs="Arial"/>
                <w:b/>
                <w:sz w:val="24"/>
                <w:szCs w:val="24"/>
                <w:lang w:val="da-DK"/>
              </w:rPr>
              <w:t xml:space="preserve">26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da-DK"/>
              </w:rPr>
              <w:t>weeks</w:t>
            </w:r>
            <w:proofErr w:type="spellEnd"/>
          </w:p>
        </w:tc>
      </w:tr>
      <w:tr w:rsidR="00CF72BD" w:rsidRPr="00590F53" w14:paraId="755BFF16" w14:textId="77777777" w:rsidTr="002B39DC">
        <w:trPr>
          <w:trHeight w:val="95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CC148AA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E0DAE1A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DDCD72B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C37372E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D4CC025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4741C97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FEP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5799BD5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HCs</w:t>
            </w:r>
            <w:proofErr w:type="spellEnd"/>
          </w:p>
        </w:tc>
      </w:tr>
      <w:tr w:rsidR="00CF72BD" w:rsidRPr="00590F53" w14:paraId="672598CE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555DE7C" w14:textId="77777777" w:rsidR="00CF72BD" w:rsidRPr="005F48FF" w:rsidRDefault="00CF72BD" w:rsidP="002B39DC">
            <w:pPr>
              <w:spacing w:after="0" w:line="240" w:lineRule="auto"/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Thalamus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A451FAD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8DD0784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2761A5D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7DE193B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E7AD627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976A1AF" w14:textId="77777777" w:rsidR="00CF72BD" w:rsidRPr="00590F53" w:rsidRDefault="00CF72BD" w:rsidP="002B39DC">
            <w:pPr>
              <w:spacing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Mean ± SD, n</w:t>
            </w:r>
            <w:r w:rsidRPr="00BD607D">
              <w:rPr>
                <w:b/>
                <w:vertAlign w:val="superscript"/>
                <w:lang w:val="da-DK"/>
              </w:rPr>
              <w:t>A</w:t>
            </w:r>
          </w:p>
        </w:tc>
      </w:tr>
      <w:tr w:rsidR="00CF72BD" w:rsidRPr="00590F53" w14:paraId="32029072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63F5B2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Glutamate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D585D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47C62">
              <w:rPr>
                <w:rFonts w:cs="Arial"/>
                <w:sz w:val="20"/>
                <w:szCs w:val="20"/>
                <w:lang w:val="da-DK"/>
              </w:rPr>
              <w:t>7.04 ± 0.87, n=38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7CF462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47C62">
              <w:rPr>
                <w:rFonts w:cs="Arial"/>
                <w:sz w:val="20"/>
                <w:szCs w:val="20"/>
                <w:lang w:val="da-DK"/>
              </w:rPr>
              <w:t>6.79 ± 0.82, n=32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B81491" w14:textId="77777777" w:rsidR="00CF72BD" w:rsidRPr="00697AB9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697AB9">
              <w:rPr>
                <w:rFonts w:cs="Arial"/>
                <w:sz w:val="20"/>
                <w:szCs w:val="20"/>
                <w:lang w:val="da-DK"/>
              </w:rPr>
              <w:t>6.89 ± 0.</w:t>
            </w:r>
            <w:r>
              <w:rPr>
                <w:rFonts w:cs="Arial"/>
                <w:sz w:val="20"/>
                <w:szCs w:val="20"/>
                <w:lang w:val="da-DK"/>
              </w:rPr>
              <w:t>77</w:t>
            </w:r>
            <w:r w:rsidRPr="00697AB9">
              <w:rPr>
                <w:rFonts w:cs="Arial"/>
                <w:sz w:val="20"/>
                <w:szCs w:val="20"/>
                <w:lang w:val="da-DK"/>
              </w:rPr>
              <w:t>, n=24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F9C4A9" w14:textId="77777777" w:rsidR="00CF72BD" w:rsidRPr="00697AB9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697AB9">
              <w:rPr>
                <w:rFonts w:cs="Arial"/>
                <w:sz w:val="20"/>
                <w:szCs w:val="20"/>
                <w:lang w:val="da-DK"/>
              </w:rPr>
              <w:t>6.</w:t>
            </w:r>
            <w:r>
              <w:rPr>
                <w:rFonts w:cs="Arial"/>
                <w:sz w:val="20"/>
                <w:szCs w:val="20"/>
                <w:lang w:val="da-DK"/>
              </w:rPr>
              <w:t>70</w:t>
            </w:r>
            <w:r w:rsidRPr="00697AB9">
              <w:rPr>
                <w:rFonts w:cs="Arial"/>
                <w:sz w:val="20"/>
                <w:szCs w:val="20"/>
                <w:lang w:val="da-DK"/>
              </w:rPr>
              <w:t xml:space="preserve"> ± 0.7</w:t>
            </w:r>
            <w:r>
              <w:rPr>
                <w:rFonts w:cs="Arial"/>
                <w:sz w:val="20"/>
                <w:szCs w:val="20"/>
                <w:lang w:val="da-DK"/>
              </w:rPr>
              <w:t>6</w:t>
            </w:r>
            <w:r w:rsidRPr="00697AB9">
              <w:rPr>
                <w:rFonts w:cs="Arial"/>
                <w:sz w:val="20"/>
                <w:szCs w:val="20"/>
                <w:lang w:val="da-DK"/>
              </w:rPr>
              <w:t>, n=31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FA53E6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767E22">
              <w:rPr>
                <w:rFonts w:cs="Arial"/>
                <w:sz w:val="20"/>
                <w:szCs w:val="20"/>
                <w:lang w:val="da-DK"/>
              </w:rPr>
              <w:t>6.75 ± 0.81, n=25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71637C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767E22">
              <w:rPr>
                <w:rFonts w:cs="Arial"/>
                <w:sz w:val="20"/>
                <w:szCs w:val="20"/>
                <w:lang w:val="da-DK"/>
              </w:rPr>
              <w:t>7.04 ± 0.73, n=26</w:t>
            </w:r>
          </w:p>
        </w:tc>
      </w:tr>
      <w:tr w:rsidR="00CF72BD" w:rsidRPr="00590F53" w14:paraId="3040A184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6C3DC2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E89F4D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47C62">
              <w:rPr>
                <w:rFonts w:cs="Arial"/>
                <w:sz w:val="20"/>
                <w:szCs w:val="20"/>
                <w:lang w:val="da-DK"/>
              </w:rPr>
              <w:t>9.88 ± 1.55,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83EE19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47C62">
              <w:rPr>
                <w:rFonts w:cs="Arial"/>
                <w:sz w:val="20"/>
                <w:szCs w:val="20"/>
                <w:lang w:val="da-DK"/>
              </w:rPr>
              <w:t>9.86 ± 1.28,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51FBE4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06DA8">
              <w:rPr>
                <w:rFonts w:cs="Arial"/>
                <w:sz w:val="20"/>
                <w:szCs w:val="20"/>
                <w:lang w:val="da-DK"/>
              </w:rPr>
              <w:t>9.74 ± 1.39,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39264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06DA8">
              <w:rPr>
                <w:rFonts w:cs="Arial"/>
                <w:sz w:val="20"/>
                <w:szCs w:val="20"/>
                <w:lang w:val="da-DK"/>
              </w:rPr>
              <w:t>9.79 ± 1.10,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7D6FF2" w14:textId="77777777" w:rsidR="00CF72BD" w:rsidRPr="00767E22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767E22">
              <w:rPr>
                <w:rFonts w:cs="Arial"/>
                <w:sz w:val="20"/>
                <w:szCs w:val="20"/>
                <w:lang w:val="da-DK"/>
              </w:rPr>
              <w:t>9.73 ± 1.40,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3C52C9" w14:textId="77777777" w:rsidR="00CF72BD" w:rsidRPr="00767E22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767E22">
              <w:rPr>
                <w:rFonts w:cs="Arial"/>
                <w:sz w:val="20"/>
                <w:szCs w:val="20"/>
                <w:lang w:val="da-DK"/>
              </w:rPr>
              <w:t>10.07 ± 1.14, n=26</w:t>
            </w:r>
          </w:p>
        </w:tc>
      </w:tr>
      <w:tr w:rsidR="00CF72BD" w:rsidRPr="00590F53" w14:paraId="6275E6A4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811D25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NAA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47E644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92555">
              <w:rPr>
                <w:rFonts w:cs="Arial"/>
                <w:sz w:val="20"/>
                <w:szCs w:val="20"/>
                <w:lang w:val="da-DK"/>
              </w:rPr>
              <w:t>7.04 ± 0.60,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597FA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92555">
              <w:rPr>
                <w:rFonts w:cs="Arial"/>
                <w:sz w:val="20"/>
                <w:szCs w:val="20"/>
                <w:lang w:val="da-DK"/>
              </w:rPr>
              <w:t>7.29 ± 0.51,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83891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06DA8">
              <w:rPr>
                <w:rFonts w:cs="Arial"/>
                <w:sz w:val="20"/>
                <w:szCs w:val="20"/>
                <w:lang w:val="da-DK"/>
              </w:rPr>
              <w:t>7.11 ± 0.45,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C2F9D5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06DA8">
              <w:rPr>
                <w:rFonts w:cs="Arial"/>
                <w:sz w:val="20"/>
                <w:szCs w:val="20"/>
                <w:lang w:val="da-DK"/>
              </w:rPr>
              <w:t>7.22 ± 0.41,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B2CB13" w14:textId="77777777" w:rsidR="00CF72BD" w:rsidRPr="00767E22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767E22">
              <w:rPr>
                <w:rFonts w:cs="Arial"/>
                <w:sz w:val="20"/>
                <w:szCs w:val="20"/>
                <w:lang w:val="da-DK"/>
              </w:rPr>
              <w:t>7.13 ± 0.38,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25568A" w14:textId="77777777" w:rsidR="00CF72BD" w:rsidRPr="00767E22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767E22">
              <w:rPr>
                <w:rFonts w:cs="Arial"/>
                <w:sz w:val="20"/>
                <w:szCs w:val="20"/>
                <w:lang w:val="da-DK"/>
              </w:rPr>
              <w:t>7.30 ± 0.34, n=26</w:t>
            </w:r>
          </w:p>
        </w:tc>
      </w:tr>
      <w:tr w:rsidR="00CF72BD" w:rsidRPr="00590F53" w14:paraId="039F422C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01DFAD1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Myo-inositol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2C0A93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57FD4">
              <w:rPr>
                <w:rFonts w:cs="Arial"/>
                <w:sz w:val="20"/>
                <w:szCs w:val="20"/>
                <w:lang w:val="da-DK"/>
              </w:rPr>
              <w:t>3.53 ± 0.53,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9EA3C3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57FD4">
              <w:rPr>
                <w:rFonts w:cs="Arial"/>
                <w:sz w:val="20"/>
                <w:szCs w:val="20"/>
                <w:lang w:val="da-DK"/>
              </w:rPr>
              <w:t>3.70 ± 0.48,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FD3B25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B570D">
              <w:rPr>
                <w:rFonts w:cs="Arial"/>
                <w:sz w:val="20"/>
                <w:szCs w:val="20"/>
                <w:lang w:val="da-DK"/>
              </w:rPr>
              <w:t>3.51 ± 0.54,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D2C2F9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B570D">
              <w:rPr>
                <w:rFonts w:cs="Arial"/>
                <w:sz w:val="20"/>
                <w:szCs w:val="20"/>
                <w:lang w:val="da-DK"/>
              </w:rPr>
              <w:t>3.57 ± 0.61,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8E9DB5" w14:textId="77777777" w:rsidR="00CF72BD" w:rsidRPr="00615536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615536">
              <w:rPr>
                <w:rFonts w:cs="Arial"/>
                <w:sz w:val="20"/>
                <w:szCs w:val="20"/>
                <w:lang w:val="da-DK"/>
              </w:rPr>
              <w:t>3.57 ± 0.29,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44D4A9" w14:textId="77777777" w:rsidR="00CF72BD" w:rsidRPr="00615536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615536">
              <w:rPr>
                <w:rFonts w:cs="Arial"/>
                <w:sz w:val="20"/>
                <w:szCs w:val="20"/>
                <w:lang w:val="da-DK"/>
              </w:rPr>
              <w:t>3.64 ± 0.51, n=26</w:t>
            </w:r>
          </w:p>
        </w:tc>
      </w:tr>
      <w:tr w:rsidR="00CF72BD" w:rsidRPr="00590F53" w14:paraId="7AB3BA31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BA3F52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Choline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1BDC24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D6D86">
              <w:rPr>
                <w:rFonts w:cs="Arial"/>
                <w:sz w:val="20"/>
                <w:szCs w:val="20"/>
                <w:lang w:val="da-DK"/>
              </w:rPr>
              <w:t>1.64 ± 0.21,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D9497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D6D86">
              <w:rPr>
                <w:rFonts w:cs="Arial"/>
                <w:sz w:val="20"/>
                <w:szCs w:val="20"/>
                <w:lang w:val="da-DK"/>
              </w:rPr>
              <w:t>1.73 ± 0.15,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4E5165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D6070">
              <w:rPr>
                <w:rFonts w:cs="Arial"/>
                <w:sz w:val="20"/>
                <w:szCs w:val="20"/>
                <w:lang w:val="da-DK"/>
              </w:rPr>
              <w:t>1.70 ± 0.18,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9761A6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D6070">
              <w:rPr>
                <w:rFonts w:cs="Arial"/>
                <w:sz w:val="20"/>
                <w:szCs w:val="20"/>
                <w:lang w:val="da-DK"/>
              </w:rPr>
              <w:t>1.69 ± 0.16,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89FDD1" w14:textId="77777777" w:rsidR="00CF72BD" w:rsidRPr="00FE230F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FE230F">
              <w:rPr>
                <w:rFonts w:cs="Arial"/>
                <w:sz w:val="20"/>
                <w:szCs w:val="20"/>
                <w:lang w:val="da-DK"/>
              </w:rPr>
              <w:t>1.71 ± 0.16,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DAEC9A" w14:textId="77777777" w:rsidR="00CF72BD" w:rsidRPr="00FE230F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FE230F">
              <w:rPr>
                <w:rFonts w:cs="Arial"/>
                <w:sz w:val="20"/>
                <w:szCs w:val="20"/>
                <w:lang w:val="da-DK"/>
              </w:rPr>
              <w:t>1.72 ± 0.14, n=26</w:t>
            </w:r>
          </w:p>
        </w:tc>
      </w:tr>
      <w:tr w:rsidR="00CF72BD" w:rsidRPr="00590F53" w14:paraId="60B879B6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FAD95E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171D6D2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D6D86">
              <w:rPr>
                <w:rFonts w:cs="Arial"/>
                <w:sz w:val="20"/>
                <w:szCs w:val="20"/>
                <w:lang w:val="da-DK"/>
              </w:rPr>
              <w:t>5.56 ± 0.71, n=38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74B10CD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D6D86">
              <w:rPr>
                <w:rFonts w:cs="Arial"/>
                <w:sz w:val="20"/>
                <w:szCs w:val="20"/>
                <w:lang w:val="da-DK"/>
              </w:rPr>
              <w:t>5.58 ± 0.32, n=33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5D0728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90DCE">
              <w:rPr>
                <w:rFonts w:cs="Arial"/>
                <w:sz w:val="20"/>
                <w:szCs w:val="20"/>
                <w:lang w:val="da-DK"/>
              </w:rPr>
              <w:t>5.74 ± 0.36, n=24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C54CCD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D90DCE">
              <w:rPr>
                <w:rFonts w:cs="Arial"/>
                <w:sz w:val="20"/>
                <w:szCs w:val="20"/>
                <w:lang w:val="da-DK"/>
              </w:rPr>
              <w:t>5.45 ± 0.31, n=31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202612" w14:textId="77777777" w:rsidR="00CF72BD" w:rsidRPr="00AF0CD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F0CD4">
              <w:rPr>
                <w:rFonts w:cs="Arial"/>
                <w:sz w:val="20"/>
                <w:szCs w:val="20"/>
                <w:lang w:val="da-DK"/>
              </w:rPr>
              <w:t>5.60 ± 0.31, n=25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6152F5" w14:textId="77777777" w:rsidR="00CF72BD" w:rsidRPr="00AF0CD4" w:rsidRDefault="00CF72BD" w:rsidP="002B39DC">
            <w:pPr>
              <w:spacing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AF0CD4">
              <w:rPr>
                <w:rFonts w:cs="Arial"/>
                <w:sz w:val="20"/>
                <w:szCs w:val="20"/>
                <w:lang w:val="da-DK"/>
              </w:rPr>
              <w:t>5.53 ± 0.30, n=26</w:t>
            </w:r>
          </w:p>
        </w:tc>
      </w:tr>
      <w:tr w:rsidR="00CF72BD" w:rsidRPr="00590F53" w14:paraId="7A94F1A8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0222CEF" w14:textId="77777777" w:rsidR="00CF72BD" w:rsidRPr="005F48FF" w:rsidRDefault="00CF72BD" w:rsidP="002B39DC">
            <w:pPr>
              <w:spacing w:after="0" w:line="240" w:lineRule="auto"/>
              <w:rPr>
                <w:rFonts w:cs="Arial"/>
                <w:b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ACC</w:t>
            </w:r>
            <w:r w:rsidRPr="005F48FF">
              <w:rPr>
                <w:b/>
                <w:i/>
                <w:color w:val="595959" w:themeColor="text1" w:themeTint="A6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A22A34A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DDF3F3F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88A4D44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CC333CB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7A6E9F6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96A358A" w14:textId="77777777" w:rsidR="00CF72BD" w:rsidRPr="000C2D7B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</w:tr>
      <w:tr w:rsidR="00CF72BD" w:rsidRPr="00590F53" w14:paraId="52FFC73E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07A40E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Glutamate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2D87D4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25C93">
              <w:rPr>
                <w:rFonts w:cs="Arial"/>
                <w:sz w:val="20"/>
                <w:szCs w:val="20"/>
                <w:lang w:val="da-DK"/>
              </w:rPr>
              <w:t>8.07 ± 0.78, n=37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C08238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25C93">
              <w:rPr>
                <w:rFonts w:cs="Arial"/>
                <w:sz w:val="20"/>
                <w:szCs w:val="20"/>
                <w:lang w:val="da-DK"/>
              </w:rPr>
              <w:t>8.17 ± 0.52, n=36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506CA6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4596D">
              <w:rPr>
                <w:rFonts w:cs="Arial"/>
                <w:sz w:val="20"/>
                <w:szCs w:val="20"/>
                <w:lang w:val="da-DK"/>
              </w:rPr>
              <w:t>8.02 ± 0.81, n=27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64C8A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4596D">
              <w:rPr>
                <w:rFonts w:cs="Arial"/>
                <w:sz w:val="20"/>
                <w:szCs w:val="20"/>
                <w:lang w:val="da-DK"/>
              </w:rPr>
              <w:t>8.02 ± 0.50, n=32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72E99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271FC">
              <w:rPr>
                <w:rFonts w:cs="Arial"/>
                <w:sz w:val="20"/>
                <w:szCs w:val="20"/>
                <w:lang w:val="da-DK"/>
              </w:rPr>
              <w:t>7.93 ± 0.54, n=26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790D4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A271FC">
              <w:rPr>
                <w:rFonts w:cs="Arial"/>
                <w:sz w:val="20"/>
                <w:szCs w:val="20"/>
                <w:lang w:val="da-DK"/>
              </w:rPr>
              <w:t>8.00 ± 0.36, n=31</w:t>
            </w:r>
          </w:p>
        </w:tc>
      </w:tr>
      <w:tr w:rsidR="00CF72BD" w:rsidRPr="00590F53" w14:paraId="3F53461E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8B7CED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445D0D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72E37">
              <w:rPr>
                <w:rFonts w:cs="Arial"/>
                <w:sz w:val="20"/>
                <w:szCs w:val="20"/>
                <w:lang w:val="da-DK"/>
              </w:rPr>
              <w:t>10.73 ± 1.17,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B2841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72E37">
              <w:rPr>
                <w:rFonts w:cs="Arial"/>
                <w:sz w:val="20"/>
                <w:szCs w:val="20"/>
                <w:lang w:val="da-DK"/>
              </w:rPr>
              <w:t>10.69 ± 0.91,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F82C51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F0368">
              <w:rPr>
                <w:rFonts w:cs="Arial"/>
                <w:sz w:val="20"/>
                <w:szCs w:val="20"/>
                <w:lang w:val="da-DK"/>
              </w:rPr>
              <w:t>10.70 ± 1.48,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D0EA6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BF0368">
              <w:rPr>
                <w:rFonts w:cs="Arial"/>
                <w:sz w:val="20"/>
                <w:szCs w:val="20"/>
                <w:lang w:val="da-DK"/>
              </w:rPr>
              <w:t>10.61 ± 0.71,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BDA82C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714D3">
              <w:rPr>
                <w:rFonts w:cs="Arial"/>
                <w:sz w:val="20"/>
                <w:szCs w:val="20"/>
                <w:lang w:val="da-DK"/>
              </w:rPr>
              <w:t>10.56 ± 0.84,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E9544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714D3">
              <w:rPr>
                <w:rFonts w:cs="Arial"/>
                <w:sz w:val="20"/>
                <w:szCs w:val="20"/>
                <w:lang w:val="da-DK"/>
              </w:rPr>
              <w:t>10.63 ± 0.60, n=31</w:t>
            </w:r>
          </w:p>
        </w:tc>
      </w:tr>
      <w:tr w:rsidR="00CF72BD" w:rsidRPr="00590F53" w14:paraId="44A508CC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B5BF51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</w:t>
            </w:r>
            <w:r>
              <w:rPr>
                <w:rFonts w:cs="Arial"/>
                <w:b/>
                <w:sz w:val="20"/>
                <w:szCs w:val="20"/>
                <w:lang w:val="da-DK"/>
              </w:rPr>
              <w:t>utamine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F797F22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36FD7">
              <w:rPr>
                <w:rFonts w:cs="Arial"/>
                <w:sz w:val="20"/>
                <w:szCs w:val="20"/>
                <w:lang w:val="da-DK"/>
              </w:rPr>
              <w:t>2.78 ± 0.55,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0F2D2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136FD7">
              <w:rPr>
                <w:rFonts w:cs="Arial"/>
                <w:sz w:val="20"/>
                <w:szCs w:val="20"/>
                <w:lang w:val="da-DK"/>
              </w:rPr>
              <w:t>2.77 ± 0.41, n=27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44A12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2.88 ± 0.61, n=22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E79A3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2.63 ± 0.37, n=29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149856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D5DDE">
              <w:rPr>
                <w:rFonts w:cs="Arial"/>
                <w:sz w:val="20"/>
                <w:szCs w:val="20"/>
                <w:lang w:val="da-DK"/>
              </w:rPr>
              <w:t>2.79 ± 0.39, n=21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24D8F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D5DDE">
              <w:rPr>
                <w:rFonts w:cs="Arial"/>
                <w:sz w:val="20"/>
                <w:szCs w:val="20"/>
                <w:lang w:val="da-DK"/>
              </w:rPr>
              <w:t>2.67 ± 0.37, n=29</w:t>
            </w:r>
          </w:p>
        </w:tc>
      </w:tr>
      <w:tr w:rsidR="00CF72BD" w:rsidRPr="00590F53" w14:paraId="1E6C9E94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A4F5E71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NAA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E6D0D9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70375">
              <w:rPr>
                <w:rFonts w:cs="Arial"/>
                <w:sz w:val="20"/>
                <w:szCs w:val="20"/>
                <w:lang w:val="da-DK"/>
              </w:rPr>
              <w:t>6.54 ± 0.29,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EE6C65C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70375">
              <w:rPr>
                <w:rFonts w:cs="Arial"/>
                <w:sz w:val="20"/>
                <w:szCs w:val="20"/>
                <w:lang w:val="da-DK"/>
              </w:rPr>
              <w:t>6.63 ± 0.25,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5493BB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6.57 ± 0.34,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B464B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6.62 ± 0.26,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89B7E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F5ADB">
              <w:rPr>
                <w:rFonts w:cs="Arial"/>
                <w:sz w:val="20"/>
                <w:szCs w:val="20"/>
                <w:lang w:val="da-DK"/>
              </w:rPr>
              <w:t>6.55 ± 0.23,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25FC09A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F5ADB">
              <w:rPr>
                <w:rFonts w:cs="Arial"/>
                <w:sz w:val="20"/>
                <w:szCs w:val="20"/>
                <w:lang w:val="da-DK"/>
              </w:rPr>
              <w:t>6.67 ± 0.37, n=31</w:t>
            </w:r>
          </w:p>
        </w:tc>
      </w:tr>
      <w:tr w:rsidR="00CF72BD" w:rsidRPr="00590F53" w14:paraId="333C6EE0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0C43F2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Myo-inositol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976CE3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45F7E">
              <w:rPr>
                <w:rFonts w:cs="Arial"/>
                <w:sz w:val="20"/>
                <w:szCs w:val="20"/>
                <w:lang w:val="da-DK"/>
              </w:rPr>
              <w:t>4.41 ± 0.34,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390F5D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45F7E">
              <w:rPr>
                <w:rFonts w:cs="Arial"/>
                <w:sz w:val="20"/>
                <w:szCs w:val="20"/>
                <w:lang w:val="da-DK"/>
              </w:rPr>
              <w:t>4.47 ± 0.34,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0F46E3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4.40 ± 0.36,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1F6615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4.48 ± 0.37,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9BF185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70FA">
              <w:rPr>
                <w:rFonts w:cs="Arial"/>
                <w:sz w:val="20"/>
                <w:szCs w:val="20"/>
                <w:lang w:val="da-DK"/>
              </w:rPr>
              <w:t>4.43 ± 0.33,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28D568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5970FA">
              <w:rPr>
                <w:rFonts w:cs="Arial"/>
                <w:sz w:val="20"/>
                <w:szCs w:val="20"/>
                <w:lang w:val="da-DK"/>
              </w:rPr>
              <w:t>4.56 ± 0.31, n=31</w:t>
            </w:r>
          </w:p>
        </w:tc>
      </w:tr>
      <w:tr w:rsidR="00CF72BD" w:rsidRPr="00590F53" w14:paraId="7BE2C981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766350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Choline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CCC908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84752">
              <w:rPr>
                <w:rFonts w:cs="Arial"/>
                <w:sz w:val="20"/>
                <w:szCs w:val="20"/>
                <w:lang w:val="da-DK"/>
              </w:rPr>
              <w:t>1.47 ± 0.16,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4910F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991D80">
              <w:rPr>
                <w:rFonts w:cs="Arial"/>
                <w:sz w:val="20"/>
                <w:szCs w:val="20"/>
                <w:lang w:val="da-DK"/>
              </w:rPr>
              <w:t>1.54 ± 0.12,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1DDF5A" w14:textId="77777777" w:rsidR="00CF72BD" w:rsidRPr="002736A5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1.45 ± 0.15,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60E5BEE" w14:textId="77777777" w:rsidR="00CF72BD" w:rsidRPr="002736A5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1.55 ± 0.14,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E9AA4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042E0">
              <w:rPr>
                <w:rFonts w:cs="Arial"/>
                <w:sz w:val="20"/>
                <w:szCs w:val="20"/>
                <w:lang w:val="da-DK"/>
              </w:rPr>
              <w:t>1.52 ± 0.12,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373B17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4042E0">
              <w:rPr>
                <w:rFonts w:cs="Arial"/>
                <w:sz w:val="20"/>
                <w:szCs w:val="20"/>
                <w:lang w:val="da-DK"/>
              </w:rPr>
              <w:t>1.57 ± 0.12, n=31</w:t>
            </w:r>
          </w:p>
        </w:tc>
      </w:tr>
      <w:tr w:rsidR="00CF72BD" w:rsidRPr="00590F53" w14:paraId="73A732AF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A41E57" w14:textId="77777777" w:rsidR="00CF72BD" w:rsidRDefault="00CF72BD" w:rsidP="002B39DC">
            <w:pPr>
              <w:spacing w:after="60" w:line="360" w:lineRule="auto"/>
              <w:rPr>
                <w:b/>
                <w:sz w:val="20"/>
                <w:szCs w:val="20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  <w:p w14:paraId="572CF2F4" w14:textId="77777777" w:rsidR="00CF72BD" w:rsidRDefault="00CF72BD" w:rsidP="002B39DC">
            <w:pPr>
              <w:spacing w:after="60" w:line="360" w:lineRule="auto"/>
              <w:rPr>
                <w:b/>
                <w:sz w:val="20"/>
                <w:szCs w:val="20"/>
              </w:rPr>
            </w:pPr>
          </w:p>
          <w:p w14:paraId="72716483" w14:textId="77777777" w:rsidR="00CF72BD" w:rsidRDefault="00CF72BD" w:rsidP="002B39DC">
            <w:pPr>
              <w:spacing w:after="60" w:line="360" w:lineRule="auto"/>
              <w:rPr>
                <w:b/>
                <w:sz w:val="20"/>
                <w:szCs w:val="20"/>
              </w:rPr>
            </w:pPr>
          </w:p>
          <w:p w14:paraId="0329E8AF" w14:textId="77777777" w:rsidR="00CF72BD" w:rsidRDefault="00CF72BD" w:rsidP="002B39DC">
            <w:pPr>
              <w:spacing w:after="60" w:line="360" w:lineRule="auto"/>
              <w:rPr>
                <w:b/>
                <w:sz w:val="20"/>
                <w:szCs w:val="20"/>
              </w:rPr>
            </w:pPr>
          </w:p>
          <w:p w14:paraId="46594622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9E47252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E60B55">
              <w:rPr>
                <w:rFonts w:cs="Arial"/>
                <w:sz w:val="20"/>
                <w:szCs w:val="20"/>
                <w:lang w:val="da-DK"/>
              </w:rPr>
              <w:lastRenderedPageBreak/>
              <w:t>5.36 ± 0.23, n=37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C02AA2C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E60B55">
              <w:rPr>
                <w:rFonts w:cs="Arial"/>
                <w:sz w:val="20"/>
                <w:szCs w:val="20"/>
                <w:lang w:val="da-DK"/>
              </w:rPr>
              <w:t>5.28 ± 0.25, n=36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4759E4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5.38 ± 0.25,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5035B5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2736A5">
              <w:rPr>
                <w:rFonts w:cs="Arial"/>
                <w:sz w:val="20"/>
                <w:szCs w:val="20"/>
                <w:lang w:val="da-DK"/>
              </w:rPr>
              <w:t>5.26 ± 0.25,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2904D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D46B9">
              <w:rPr>
                <w:rFonts w:cs="Arial"/>
                <w:sz w:val="20"/>
                <w:szCs w:val="20"/>
                <w:lang w:val="da-DK"/>
              </w:rPr>
              <w:t>5.34 ± 0.26, n=26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ACA79E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D46B9">
              <w:rPr>
                <w:rFonts w:cs="Arial"/>
                <w:sz w:val="20"/>
                <w:szCs w:val="20"/>
                <w:lang w:val="da-DK"/>
              </w:rPr>
              <w:t>5.23 ± 0.25, n=31</w:t>
            </w:r>
          </w:p>
        </w:tc>
      </w:tr>
      <w:tr w:rsidR="00CF72BD" w:rsidRPr="00590F53" w14:paraId="715D7A8E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0505F0E" w14:textId="77777777" w:rsidR="00CF72BD" w:rsidRPr="005F48FF" w:rsidRDefault="00CF72BD" w:rsidP="002B39DC">
            <w:pPr>
              <w:spacing w:after="0" w:line="240" w:lineRule="auto"/>
              <w:rPr>
                <w:rFonts w:cs="Arial"/>
                <w:b/>
                <w:color w:val="595959" w:themeColor="text1" w:themeTint="A6"/>
                <w:sz w:val="24"/>
                <w:szCs w:val="24"/>
                <w:lang w:val="da-DK"/>
              </w:rPr>
            </w:pPr>
            <w:r w:rsidRPr="005F48FF">
              <w:rPr>
                <w:rFonts w:cs="Arial"/>
                <w:b/>
                <w:i/>
                <w:color w:val="595959" w:themeColor="text1" w:themeTint="A6"/>
                <w:sz w:val="24"/>
                <w:szCs w:val="24"/>
                <w:lang w:val="da-DK"/>
              </w:rPr>
              <w:t>ACC</w:t>
            </w:r>
            <w:r w:rsidRPr="005F48FF">
              <w:rPr>
                <w:b/>
                <w:i/>
                <w:color w:val="595959" w:themeColor="text1" w:themeTint="A6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65B831C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FC1C016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6F2C996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B2C3ECE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B725154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BA70452" w14:textId="77777777" w:rsidR="00CF72BD" w:rsidRPr="00590F53" w:rsidRDefault="00CF72BD" w:rsidP="002B39DC">
            <w:pPr>
              <w:spacing w:after="0" w:line="240" w:lineRule="auto"/>
              <w:rPr>
                <w:rFonts w:cs="Arial"/>
                <w:sz w:val="20"/>
                <w:szCs w:val="20"/>
                <w:lang w:val="da-DK"/>
              </w:rPr>
            </w:pPr>
          </w:p>
        </w:tc>
      </w:tr>
      <w:tr w:rsidR="00CF72BD" w:rsidRPr="00590F53" w14:paraId="749FA7B9" w14:textId="77777777" w:rsidTr="002B39DC">
        <w:tc>
          <w:tcPr>
            <w:tcW w:w="269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337F57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GABA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A8F9DC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22440">
              <w:rPr>
                <w:rFonts w:cs="Arial"/>
                <w:sz w:val="20"/>
                <w:szCs w:val="20"/>
                <w:lang w:val="da-DK"/>
              </w:rPr>
              <w:t>1.76 ± 0.26, n=27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862AD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322440">
              <w:rPr>
                <w:rFonts w:cs="Arial"/>
                <w:sz w:val="20"/>
                <w:szCs w:val="20"/>
                <w:lang w:val="da-DK"/>
              </w:rPr>
              <w:t>1.91 ± 0.20, n=32</w:t>
            </w:r>
          </w:p>
        </w:tc>
        <w:tc>
          <w:tcPr>
            <w:tcW w:w="226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32548C1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F262F">
              <w:rPr>
                <w:rFonts w:cs="Arial"/>
                <w:sz w:val="20"/>
                <w:szCs w:val="20"/>
                <w:lang w:val="da-DK"/>
              </w:rPr>
              <w:t>1.76 ± 0.17, n=20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64C9C3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FF262F">
              <w:rPr>
                <w:rFonts w:cs="Arial"/>
                <w:sz w:val="20"/>
                <w:szCs w:val="20"/>
                <w:lang w:val="da-DK"/>
              </w:rPr>
              <w:t>1.86 ± 0.14, n=32</w:t>
            </w:r>
          </w:p>
        </w:tc>
        <w:tc>
          <w:tcPr>
            <w:tcW w:w="212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9D19C7" w14:textId="77777777" w:rsidR="00CF72BD" w:rsidRPr="00A476E4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321CE">
              <w:rPr>
                <w:rFonts w:cs="Arial"/>
                <w:sz w:val="20"/>
                <w:szCs w:val="20"/>
                <w:lang w:val="da-DK"/>
              </w:rPr>
              <w:t>1.85 ± 0.23, n=24</w:t>
            </w:r>
          </w:p>
        </w:tc>
        <w:tc>
          <w:tcPr>
            <w:tcW w:w="2127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F2D343" w14:textId="77777777" w:rsidR="00CF72BD" w:rsidRPr="00A476E4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321CE">
              <w:rPr>
                <w:rFonts w:cs="Arial"/>
                <w:sz w:val="20"/>
                <w:szCs w:val="20"/>
                <w:lang w:val="da-DK"/>
              </w:rPr>
              <w:t>1.91 ± 0.31, n=29</w:t>
            </w:r>
          </w:p>
        </w:tc>
      </w:tr>
      <w:tr w:rsidR="00CF72BD" w:rsidRPr="00590F53" w14:paraId="1624DD7C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BF2641C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Glx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CF76269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44C15">
              <w:rPr>
                <w:rFonts w:cs="Arial"/>
                <w:sz w:val="20"/>
                <w:szCs w:val="20"/>
                <w:lang w:val="da-DK"/>
              </w:rPr>
              <w:t>8.08 ± 1.08,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8720A0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C44C15">
              <w:rPr>
                <w:rFonts w:cs="Arial"/>
                <w:sz w:val="20"/>
                <w:szCs w:val="20"/>
                <w:lang w:val="da-DK"/>
              </w:rPr>
              <w:t>8.63 ± 0.66,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FB62BC" w14:textId="77777777" w:rsidR="00CF72BD" w:rsidRPr="00A476E4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D4F3F">
              <w:rPr>
                <w:rFonts w:cs="Arial"/>
                <w:sz w:val="20"/>
                <w:szCs w:val="20"/>
                <w:lang w:val="da-DK"/>
              </w:rPr>
              <w:t>8.49 ± 1.03,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A077A27" w14:textId="77777777" w:rsidR="00CF72BD" w:rsidRPr="00A476E4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6D4F3F">
              <w:rPr>
                <w:rFonts w:cs="Arial"/>
                <w:sz w:val="20"/>
                <w:szCs w:val="20"/>
                <w:lang w:val="da-DK"/>
              </w:rPr>
              <w:t>8.36 ± 0.80,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E5D1F4" w14:textId="77777777" w:rsidR="00CF72BD" w:rsidRPr="00A476E4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27980">
              <w:rPr>
                <w:rFonts w:cs="Arial"/>
                <w:sz w:val="20"/>
                <w:szCs w:val="20"/>
                <w:lang w:val="da-DK"/>
              </w:rPr>
              <w:t>8.34 ± 0.82,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B468CA" w14:textId="77777777" w:rsidR="00CF72BD" w:rsidRPr="00A476E4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827980">
              <w:rPr>
                <w:rFonts w:cs="Arial"/>
                <w:sz w:val="20"/>
                <w:szCs w:val="20"/>
                <w:lang w:val="da-DK"/>
              </w:rPr>
              <w:t>8.49 ± 0.77, n=29</w:t>
            </w:r>
          </w:p>
        </w:tc>
      </w:tr>
      <w:tr w:rsidR="00CF72BD" w:rsidRPr="00590F53" w14:paraId="68FC958D" w14:textId="77777777" w:rsidTr="002B39DC"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F519832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b/>
                <w:sz w:val="20"/>
                <w:szCs w:val="20"/>
                <w:lang w:val="da-DK"/>
              </w:rPr>
            </w:pPr>
            <w:proofErr w:type="spellStart"/>
            <w:r w:rsidRPr="00590F53">
              <w:rPr>
                <w:rFonts w:cs="Arial"/>
                <w:b/>
                <w:sz w:val="20"/>
                <w:szCs w:val="20"/>
                <w:lang w:val="da-DK"/>
              </w:rPr>
              <w:t>PCr+Cr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84867D8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0501DB">
              <w:rPr>
                <w:rFonts w:cs="Arial"/>
                <w:sz w:val="20"/>
                <w:szCs w:val="20"/>
                <w:lang w:val="da-DK"/>
              </w:rPr>
              <w:t>11.07 ± 0.58, n=27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CC48D5B" w14:textId="77777777" w:rsidR="00CF72BD" w:rsidRPr="00590F53" w:rsidRDefault="00CF72BD" w:rsidP="002B39DC">
            <w:pPr>
              <w:spacing w:after="60" w:line="360" w:lineRule="auto"/>
              <w:rPr>
                <w:rFonts w:cs="Arial"/>
                <w:sz w:val="20"/>
                <w:szCs w:val="20"/>
                <w:highlight w:val="yellow"/>
                <w:lang w:val="da-DK"/>
              </w:rPr>
            </w:pPr>
            <w:r w:rsidRPr="000501DB">
              <w:rPr>
                <w:rFonts w:cs="Arial"/>
                <w:sz w:val="20"/>
                <w:szCs w:val="20"/>
                <w:lang w:val="da-DK"/>
              </w:rPr>
              <w:t>10.91 ± 0.65, n=32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B6FA544" w14:textId="77777777" w:rsidR="00CF72BD" w:rsidRPr="00590F53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E15912">
              <w:rPr>
                <w:rFonts w:cs="Arial"/>
                <w:sz w:val="20"/>
                <w:szCs w:val="20"/>
                <w:lang w:val="da-DK"/>
              </w:rPr>
              <w:t>10.93 ± 0.67, n=20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523E6F0" w14:textId="77777777" w:rsidR="00CF72BD" w:rsidRPr="00590F53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E15912">
              <w:rPr>
                <w:rFonts w:cs="Arial"/>
                <w:sz w:val="20"/>
                <w:szCs w:val="20"/>
                <w:lang w:val="da-DK"/>
              </w:rPr>
              <w:t>10.84 ± 0.73, n=32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D5F58BB" w14:textId="77777777" w:rsidR="00CF72BD" w:rsidRPr="00590F53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1342F7">
              <w:rPr>
                <w:rFonts w:cs="Arial"/>
                <w:sz w:val="20"/>
                <w:szCs w:val="20"/>
                <w:lang w:val="da-DK"/>
              </w:rPr>
              <w:t>10.71 ± 0.57, n=24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DDBEC14" w14:textId="77777777" w:rsidR="00CF72BD" w:rsidRPr="00590F53" w:rsidRDefault="00CF72BD" w:rsidP="002B39DC">
            <w:pPr>
              <w:spacing w:after="60" w:line="240" w:lineRule="auto"/>
              <w:rPr>
                <w:rFonts w:cs="Arial"/>
                <w:sz w:val="20"/>
                <w:szCs w:val="20"/>
                <w:lang w:val="da-DK"/>
              </w:rPr>
            </w:pPr>
            <w:r w:rsidRPr="001342F7">
              <w:rPr>
                <w:rFonts w:cs="Arial"/>
                <w:sz w:val="20"/>
                <w:szCs w:val="20"/>
                <w:lang w:val="da-DK"/>
              </w:rPr>
              <w:t>10.75 ± 0.60, n=29</w:t>
            </w:r>
          </w:p>
        </w:tc>
      </w:tr>
    </w:tbl>
    <w:p w14:paraId="3D023DB4" w14:textId="77777777" w:rsidR="00CF72BD" w:rsidRDefault="00CF72BD" w:rsidP="00CF72BD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Table S10 shows metabolite levels scaled to water as reported in the output from </w:t>
      </w:r>
      <w:proofErr w:type="spellStart"/>
      <w:r>
        <w:rPr>
          <w:rFonts w:cs="Arial"/>
          <w:sz w:val="20"/>
          <w:szCs w:val="20"/>
        </w:rPr>
        <w:t>LCModel</w:t>
      </w:r>
      <w:proofErr w:type="spellEnd"/>
      <w:r>
        <w:rPr>
          <w:rFonts w:cs="Arial"/>
          <w:sz w:val="20"/>
          <w:szCs w:val="20"/>
        </w:rPr>
        <w:t xml:space="preserve"> and Gannet. </w:t>
      </w:r>
    </w:p>
    <w:p w14:paraId="1A06096B" w14:textId="77777777" w:rsidR="00CF72BD" w:rsidRPr="00954124" w:rsidRDefault="00CF72BD" w:rsidP="00CF72BD">
      <w:pPr>
        <w:spacing w:after="0" w:line="240" w:lineRule="auto"/>
        <w:rPr>
          <w:rFonts w:cs="Arial"/>
          <w:sz w:val="20"/>
          <w:szCs w:val="20"/>
        </w:rPr>
      </w:pPr>
      <w:r w:rsidRPr="00954124">
        <w:rPr>
          <w:rFonts w:cs="Arial"/>
          <w:sz w:val="20"/>
          <w:szCs w:val="20"/>
        </w:rPr>
        <w:t xml:space="preserve">Abbreviations: ACC: Anterior cingulate cortex; FEP: First episode psychosis; HCs: Healthy controls; </w:t>
      </w:r>
      <w:proofErr w:type="spellStart"/>
      <w:r w:rsidRPr="00954124">
        <w:rPr>
          <w:rFonts w:cs="Arial"/>
          <w:sz w:val="20"/>
          <w:szCs w:val="20"/>
        </w:rPr>
        <w:t>Glx</w:t>
      </w:r>
      <w:proofErr w:type="spellEnd"/>
      <w:r w:rsidRPr="00954124">
        <w:rPr>
          <w:rFonts w:cs="Arial"/>
          <w:sz w:val="20"/>
          <w:szCs w:val="20"/>
        </w:rPr>
        <w:t xml:space="preserve">: </w:t>
      </w:r>
      <w:proofErr w:type="spellStart"/>
      <w:r w:rsidRPr="00954124">
        <w:rPr>
          <w:rFonts w:cs="Arial"/>
          <w:sz w:val="20"/>
          <w:szCs w:val="20"/>
        </w:rPr>
        <w:t>glutamate+glutamine</w:t>
      </w:r>
      <w:proofErr w:type="spellEnd"/>
      <w:r w:rsidRPr="00954124">
        <w:rPr>
          <w:rFonts w:cs="Arial"/>
          <w:sz w:val="20"/>
          <w:szCs w:val="20"/>
        </w:rPr>
        <w:t xml:space="preserve">; NAA: N-acetyl aspartate; </w:t>
      </w:r>
      <w:proofErr w:type="spellStart"/>
      <w:r w:rsidRPr="00954124">
        <w:rPr>
          <w:rFonts w:cs="Arial"/>
          <w:sz w:val="20"/>
          <w:szCs w:val="20"/>
        </w:rPr>
        <w:t>PCr+Cr</w:t>
      </w:r>
      <w:proofErr w:type="spellEnd"/>
      <w:r w:rsidRPr="00954124">
        <w:rPr>
          <w:rFonts w:cs="Arial"/>
          <w:sz w:val="20"/>
          <w:szCs w:val="20"/>
        </w:rPr>
        <w:t>: Total creatine (</w:t>
      </w:r>
      <w:proofErr w:type="spellStart"/>
      <w:r w:rsidRPr="00954124">
        <w:rPr>
          <w:rFonts w:cs="Arial"/>
          <w:sz w:val="20"/>
          <w:szCs w:val="20"/>
        </w:rPr>
        <w:t>phosphocreatine+creatine</w:t>
      </w:r>
      <w:proofErr w:type="spellEnd"/>
      <w:r w:rsidRPr="00954124">
        <w:rPr>
          <w:rFonts w:cs="Arial"/>
          <w:sz w:val="20"/>
          <w:szCs w:val="20"/>
        </w:rPr>
        <w:t xml:space="preserve">); GABA: Gamma-aminobutyric acid. A: </w:t>
      </w:r>
      <w:r w:rsidRPr="00954124">
        <w:rPr>
          <w:sz w:val="20"/>
          <w:szCs w:val="20"/>
        </w:rPr>
        <w:t xml:space="preserve">n states the number of </w:t>
      </w:r>
      <w:proofErr w:type="spellStart"/>
      <w:r w:rsidRPr="00954124">
        <w:rPr>
          <w:sz w:val="20"/>
          <w:szCs w:val="20"/>
        </w:rPr>
        <w:t>analyzed</w:t>
      </w:r>
      <w:proofErr w:type="spellEnd"/>
      <w:r w:rsidRPr="00954124">
        <w:rPr>
          <w:sz w:val="20"/>
          <w:szCs w:val="20"/>
        </w:rPr>
        <w:t xml:space="preserve"> spectra</w:t>
      </w:r>
      <w:r w:rsidRPr="00954124">
        <w:rPr>
          <w:rFonts w:cs="Arial"/>
          <w:sz w:val="20"/>
          <w:szCs w:val="20"/>
        </w:rPr>
        <w:t xml:space="preserve">. B: Water-scaled value of </w:t>
      </w:r>
      <w:proofErr w:type="spellStart"/>
      <w:r w:rsidRPr="00954124">
        <w:rPr>
          <w:rFonts w:cs="Arial"/>
          <w:sz w:val="20"/>
          <w:szCs w:val="20"/>
        </w:rPr>
        <w:t>PCr+Cr</w:t>
      </w:r>
      <w:proofErr w:type="spellEnd"/>
      <w:r w:rsidRPr="00954124">
        <w:rPr>
          <w:rFonts w:cs="Arial"/>
          <w:sz w:val="20"/>
          <w:szCs w:val="20"/>
        </w:rPr>
        <w:t xml:space="preserve"> provided by </w:t>
      </w:r>
      <w:proofErr w:type="spellStart"/>
      <w:r w:rsidRPr="00954124">
        <w:rPr>
          <w:rFonts w:cs="Arial"/>
          <w:sz w:val="20"/>
          <w:szCs w:val="20"/>
        </w:rPr>
        <w:t>LCModel</w:t>
      </w:r>
      <w:proofErr w:type="spellEnd"/>
      <w:r w:rsidRPr="00954124">
        <w:rPr>
          <w:rFonts w:cs="Arial"/>
          <w:sz w:val="20"/>
          <w:szCs w:val="20"/>
        </w:rPr>
        <w:t xml:space="preserve"> and Gannet and used as reference in metabolite/Cr values. </w:t>
      </w:r>
      <w:r w:rsidRPr="00954124">
        <w:rPr>
          <w:sz w:val="20"/>
          <w:szCs w:val="20"/>
          <w:lang w:val="en-US"/>
        </w:rPr>
        <w:t xml:space="preserve">C: Metabolites in a </w:t>
      </w:r>
      <w:r w:rsidRPr="00954124">
        <w:rPr>
          <w:rFonts w:asciiTheme="majorHAnsi" w:hAnsiTheme="majorHAnsi" w:cstheme="majorHAnsi"/>
          <w:sz w:val="20"/>
          <w:szCs w:val="20"/>
          <w:lang w:val="en-US"/>
        </w:rPr>
        <w:t xml:space="preserve">2.0x2.0x2.0 cm voxel. D: </w:t>
      </w:r>
      <w:r w:rsidRPr="00954124">
        <w:rPr>
          <w:sz w:val="20"/>
          <w:szCs w:val="20"/>
          <w:lang w:val="en-US"/>
        </w:rPr>
        <w:t xml:space="preserve">Metabolites in a </w:t>
      </w:r>
      <w:r w:rsidRPr="00954124">
        <w:rPr>
          <w:rFonts w:asciiTheme="majorHAnsi" w:hAnsiTheme="majorHAnsi" w:cstheme="majorHAnsi"/>
          <w:sz w:val="20"/>
          <w:szCs w:val="20"/>
          <w:lang w:val="en-US"/>
        </w:rPr>
        <w:t xml:space="preserve">3.0x3.0x3.0 cm voxel (details provided in the patients and methods section). </w:t>
      </w:r>
    </w:p>
    <w:p w14:paraId="74AD0D81" w14:textId="77777777" w:rsidR="00CF72BD" w:rsidRDefault="00CF72BD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5B7A8BBC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074F87EA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111DD39C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404BB29B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330FC139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E74642C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5233DC3A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2A947ACF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1D381398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0B547122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4184E0B2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21ACE11C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7A9DE0D4" w14:textId="77777777" w:rsidR="002B39DC" w:rsidRPr="001872A6" w:rsidRDefault="002B39DC" w:rsidP="002B39DC">
      <w:pPr>
        <w:rPr>
          <w:b/>
        </w:rPr>
      </w:pPr>
      <w:r w:rsidRPr="00885F85">
        <w:rPr>
          <w:b/>
        </w:rPr>
        <w:lastRenderedPageBreak/>
        <w:t xml:space="preserve">Table </w:t>
      </w:r>
      <w:r>
        <w:rPr>
          <w:b/>
        </w:rPr>
        <w:t xml:space="preserve">S11. </w:t>
      </w:r>
      <w:r w:rsidRPr="00095CAB">
        <w:rPr>
          <w:b/>
        </w:rPr>
        <w:t xml:space="preserve">Baseline </w:t>
      </w:r>
      <w:proofErr w:type="spellStart"/>
      <w:r w:rsidRPr="00095CAB">
        <w:rPr>
          <w:b/>
        </w:rPr>
        <w:t>neurometabolite</w:t>
      </w:r>
      <w:proofErr w:type="spellEnd"/>
      <w:r w:rsidRPr="00095CAB">
        <w:rPr>
          <w:b/>
        </w:rPr>
        <w:t xml:space="preserve"> levels in institutional units in responders and non-responders after 6 and 26 weeks compared with HCs</w:t>
      </w:r>
    </w:p>
    <w:tbl>
      <w:tblPr>
        <w:tblpPr w:leftFromText="180" w:rightFromText="180" w:vertAnchor="text" w:horzAnchor="margin" w:tblpX="-1378" w:tblpY="74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1843"/>
        <w:gridCol w:w="992"/>
        <w:gridCol w:w="958"/>
        <w:gridCol w:w="1736"/>
        <w:gridCol w:w="1701"/>
        <w:gridCol w:w="1842"/>
        <w:gridCol w:w="993"/>
        <w:gridCol w:w="992"/>
      </w:tblGrid>
      <w:tr w:rsidR="002B39DC" w:rsidRPr="00E33FDE" w14:paraId="04467A02" w14:textId="77777777" w:rsidTr="002B39DC">
        <w:trPr>
          <w:trHeight w:val="526"/>
        </w:trPr>
        <w:tc>
          <w:tcPr>
            <w:tcW w:w="184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C72C57" w14:textId="77777777" w:rsidR="002B39DC" w:rsidRPr="00E33FDE" w:rsidRDefault="002B39DC" w:rsidP="002B39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FCBAE2" w14:textId="77777777" w:rsidR="002B39DC" w:rsidRDefault="002B39DC" w:rsidP="002B39DC">
            <w:pPr>
              <w:spacing w:after="0" w:line="240" w:lineRule="auto"/>
              <w:jc w:val="center"/>
              <w:rPr>
                <w:b/>
              </w:rPr>
            </w:pPr>
            <w:r w:rsidRPr="00187EAE">
              <w:rPr>
                <w:b/>
              </w:rPr>
              <w:t xml:space="preserve">Non-responders </w:t>
            </w:r>
          </w:p>
          <w:p w14:paraId="3E9A2933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  <w:vertAlign w:val="subscript"/>
              </w:rPr>
            </w:pPr>
            <w:r w:rsidRPr="00085AAB">
              <w:rPr>
                <w:b/>
                <w:sz w:val="18"/>
                <w:szCs w:val="18"/>
              </w:rPr>
              <w:t>6 weeks</w:t>
            </w:r>
            <w:r w:rsidRPr="00085AAB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  <w:p w14:paraId="3B2B4CBD" w14:textId="77777777" w:rsidR="002B39DC" w:rsidRPr="00187EAE" w:rsidRDefault="002B39DC" w:rsidP="002B39DC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2BC5E1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</w:rPr>
            </w:pPr>
            <w:r w:rsidRPr="00187EAE">
              <w:rPr>
                <w:b/>
              </w:rPr>
              <w:t>Responders</w:t>
            </w:r>
          </w:p>
          <w:p w14:paraId="35530CB3" w14:textId="77777777" w:rsidR="002B39DC" w:rsidRPr="00085AAB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AAB">
              <w:rPr>
                <w:b/>
                <w:sz w:val="18"/>
                <w:szCs w:val="18"/>
              </w:rPr>
              <w:t>6 weeks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1AFF33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  <w:vertAlign w:val="subscript"/>
              </w:rPr>
            </w:pPr>
            <w:r w:rsidRPr="00187EAE">
              <w:rPr>
                <w:b/>
              </w:rPr>
              <w:t>HCs</w:t>
            </w:r>
          </w:p>
          <w:p w14:paraId="7CBD2F00" w14:textId="77777777" w:rsidR="002B39DC" w:rsidRPr="00085AAB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C10D4A" w14:textId="7E35B115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7EAE">
              <w:rPr>
                <w:b/>
              </w:rPr>
              <w:t>P</w:t>
            </w:r>
            <w:r w:rsidRPr="00187EAE">
              <w:rPr>
                <w:b/>
                <w:sz w:val="20"/>
                <w:szCs w:val="20"/>
                <w:vertAlign w:val="subscript"/>
              </w:rPr>
              <w:t xml:space="preserve">6 </w:t>
            </w:r>
            <w:proofErr w:type="spellStart"/>
            <w:r w:rsidRPr="00187EAE">
              <w:rPr>
                <w:b/>
                <w:sz w:val="20"/>
                <w:szCs w:val="20"/>
                <w:vertAlign w:val="subscript"/>
              </w:rPr>
              <w:t>weeks</w:t>
            </w:r>
            <w:r w:rsidR="008646B4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09276DC8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NR vs HCs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AB5757" w14:textId="1985AED8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7EAE">
              <w:rPr>
                <w:b/>
              </w:rPr>
              <w:t>P</w:t>
            </w:r>
            <w:r>
              <w:rPr>
                <w:b/>
                <w:sz w:val="20"/>
                <w:szCs w:val="20"/>
                <w:vertAlign w:val="subscript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  <w:vertAlign w:val="subscript"/>
              </w:rPr>
              <w:t>weeks</w:t>
            </w:r>
            <w:r w:rsidR="008646B4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70428719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R vs HCs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45AE30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</w:rPr>
            </w:pPr>
            <w:r w:rsidRPr="00187EAE">
              <w:rPr>
                <w:b/>
              </w:rPr>
              <w:t>Non-responders</w:t>
            </w:r>
          </w:p>
          <w:p w14:paraId="633834B0" w14:textId="77777777" w:rsidR="002B39DC" w:rsidRPr="00085AAB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bscript"/>
              </w:rPr>
            </w:pPr>
            <w:r w:rsidRPr="00187EAE">
              <w:rPr>
                <w:b/>
              </w:rPr>
              <w:t xml:space="preserve"> </w:t>
            </w:r>
            <w:r w:rsidRPr="00085AAB">
              <w:rPr>
                <w:b/>
                <w:sz w:val="18"/>
                <w:szCs w:val="18"/>
              </w:rPr>
              <w:t>26 weeks</w:t>
            </w:r>
            <w:r w:rsidRPr="00085AAB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  <w:p w14:paraId="7E4A2830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F4BAFC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187EAE">
              <w:rPr>
                <w:b/>
              </w:rPr>
              <w:t>esponders</w:t>
            </w:r>
          </w:p>
          <w:p w14:paraId="30B65800" w14:textId="77777777" w:rsidR="002B39DC" w:rsidRPr="00085AAB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</w:rPr>
              <w:t xml:space="preserve"> </w:t>
            </w:r>
            <w:r w:rsidRPr="00085AAB">
              <w:rPr>
                <w:b/>
                <w:sz w:val="18"/>
                <w:szCs w:val="18"/>
              </w:rPr>
              <w:t>26 weeks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5AB49E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E33FDE">
              <w:rPr>
                <w:b/>
                <w:sz w:val="24"/>
                <w:szCs w:val="24"/>
              </w:rPr>
              <w:t>HC</w:t>
            </w:r>
            <w:r>
              <w:rPr>
                <w:b/>
                <w:sz w:val="24"/>
                <w:szCs w:val="24"/>
              </w:rPr>
              <w:t>s</w:t>
            </w:r>
          </w:p>
          <w:p w14:paraId="58CFE937" w14:textId="77777777" w:rsidR="002B39DC" w:rsidRPr="00085AAB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32B853" w14:textId="3891555C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3FD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0"/>
                <w:szCs w:val="20"/>
                <w:vertAlign w:val="subscript"/>
              </w:rPr>
              <w:t xml:space="preserve">26 </w:t>
            </w:r>
            <w:proofErr w:type="spellStart"/>
            <w:r>
              <w:rPr>
                <w:b/>
                <w:sz w:val="20"/>
                <w:szCs w:val="20"/>
                <w:vertAlign w:val="subscript"/>
              </w:rPr>
              <w:t>weeks</w:t>
            </w:r>
            <w:r w:rsidR="008646B4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23D61DB9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NR vs HCs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3F0651" w14:textId="3A846970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3FD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0"/>
                <w:szCs w:val="20"/>
                <w:vertAlign w:val="subscript"/>
              </w:rPr>
              <w:t xml:space="preserve">26 </w:t>
            </w:r>
            <w:proofErr w:type="spellStart"/>
            <w:r>
              <w:rPr>
                <w:b/>
                <w:sz w:val="20"/>
                <w:szCs w:val="20"/>
                <w:vertAlign w:val="subscript"/>
              </w:rPr>
              <w:t>weeks</w:t>
            </w:r>
            <w:r w:rsidR="008646B4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54E22F89" w14:textId="77777777" w:rsidR="002B39DC" w:rsidRPr="00187EAE" w:rsidRDefault="002B39DC" w:rsidP="002B39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R vs HC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2B39DC" w:rsidRPr="00E33FDE" w14:paraId="18F01D81" w14:textId="77777777" w:rsidTr="002B39DC">
        <w:trPr>
          <w:trHeight w:val="608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EC34D09" w14:textId="77777777" w:rsidR="002B39DC" w:rsidRPr="00B9572C" w:rsidRDefault="002B39DC" w:rsidP="002B39DC">
            <w:pPr>
              <w:spacing w:after="0" w:line="240" w:lineRule="auto"/>
              <w:rPr>
                <w:b/>
                <w:i/>
                <w:color w:val="404040" w:themeColor="text1" w:themeTint="BF"/>
                <w:sz w:val="24"/>
                <w:szCs w:val="24"/>
                <w:vertAlign w:val="subscript"/>
              </w:rPr>
            </w:pPr>
            <w:r w:rsidRPr="00B9572C">
              <w:rPr>
                <w:b/>
                <w:i/>
                <w:color w:val="404040" w:themeColor="text1" w:themeTint="BF"/>
                <w:sz w:val="24"/>
                <w:szCs w:val="24"/>
              </w:rPr>
              <w:t>Thalamus</w:t>
            </w:r>
          </w:p>
          <w:p w14:paraId="456F0F7C" w14:textId="77777777" w:rsidR="002B39DC" w:rsidRPr="00D92683" w:rsidRDefault="002B39DC" w:rsidP="002B39DC">
            <w:pPr>
              <w:spacing w:after="0" w:line="240" w:lineRule="auto"/>
              <w:rPr>
                <w:b/>
                <w:i/>
                <w:color w:val="404040" w:themeColor="text1" w:themeTint="BF"/>
                <w:sz w:val="20"/>
                <w:szCs w:val="20"/>
              </w:rPr>
            </w:pPr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>Baseline levels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0B1F13F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580D8A0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B034AB1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855369A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81C84AA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91A5BFA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3476713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54A3B43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BD060BE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41C25FA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6E9B034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E198034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357FF0A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71E00CA7" w14:textId="77777777" w:rsidR="002B39DC" w:rsidRPr="00B9572C" w:rsidRDefault="002B39DC" w:rsidP="002B39DC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B5263B2" w14:textId="77777777" w:rsidR="002B39DC" w:rsidRPr="00B9572C" w:rsidRDefault="002B39DC" w:rsidP="002B39DC">
            <w:pPr>
              <w:spacing w:after="0" w:line="240" w:lineRule="auto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2C77569" w14:textId="77777777" w:rsidR="002B39DC" w:rsidRPr="00B9572C" w:rsidRDefault="002B39DC" w:rsidP="002B39DC">
            <w:pPr>
              <w:spacing w:after="0" w:line="240" w:lineRule="auto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2B39DC" w:rsidRPr="00E33FDE" w14:paraId="0BB49181" w14:textId="77777777" w:rsidTr="002B39DC">
        <w:trPr>
          <w:trHeight w:val="559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A8A7F7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Glutamate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40A139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328B">
              <w:rPr>
                <w:sz w:val="20"/>
                <w:szCs w:val="20"/>
              </w:rPr>
              <w:t>7.06 ± 0.70, (18)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75D02A" w14:textId="77777777" w:rsidR="002B39DC" w:rsidRPr="00CC328B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CC328B">
              <w:rPr>
                <w:sz w:val="20"/>
                <w:szCs w:val="20"/>
              </w:rPr>
              <w:t>7.12 ± 0.70, (11)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BFA789" w14:textId="77777777" w:rsidR="002B39DC" w:rsidRPr="00CC328B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CC328B">
              <w:rPr>
                <w:sz w:val="20"/>
                <w:szCs w:val="20"/>
              </w:rPr>
              <w:t>6.81 ± 0.84, (31)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8B0929" w14:textId="2C100DE6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P=0.</w:t>
            </w:r>
            <w:r w:rsidRPr="00626D37">
              <w:rPr>
                <w:sz w:val="20"/>
                <w:szCs w:val="20"/>
              </w:rPr>
              <w:t>2</w:t>
            </w:r>
            <w:r w:rsidR="00AA66EF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EB544B" w14:textId="24636EF0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26D37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0D9863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05F89">
              <w:rPr>
                <w:sz w:val="20"/>
                <w:szCs w:val="20"/>
              </w:rPr>
              <w:t>7.39 ± 0.82, (15)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9BF151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05F89">
              <w:rPr>
                <w:sz w:val="20"/>
                <w:szCs w:val="20"/>
              </w:rPr>
              <w:t>7.23 ± 0.83, (9)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85AB15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92295">
              <w:rPr>
                <w:sz w:val="20"/>
                <w:szCs w:val="20"/>
              </w:rPr>
              <w:t>6.81 ± 0.87, (28)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012BCF" w14:textId="41858AFD" w:rsidR="002B39DC" w:rsidRPr="000D3403" w:rsidRDefault="002B39DC" w:rsidP="0033115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92295">
              <w:rPr>
                <w:sz w:val="20"/>
                <w:szCs w:val="20"/>
              </w:rPr>
              <w:t>P=0.03</w:t>
            </w:r>
            <w:r w:rsidR="0033115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FA5C52" w14:textId="0544BD0C" w:rsidR="002B39DC" w:rsidRPr="000D3403" w:rsidRDefault="002B39DC" w:rsidP="0033115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92295">
              <w:rPr>
                <w:sz w:val="20"/>
                <w:szCs w:val="20"/>
              </w:rPr>
              <w:t>P=0.2</w:t>
            </w:r>
            <w:r w:rsidR="0033115B">
              <w:rPr>
                <w:sz w:val="20"/>
                <w:szCs w:val="20"/>
              </w:rPr>
              <w:t>8</w:t>
            </w:r>
          </w:p>
        </w:tc>
      </w:tr>
      <w:tr w:rsidR="002B39DC" w:rsidRPr="00E33FDE" w14:paraId="5BC3FCB0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3EC1EE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Glx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7A2868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63E05">
              <w:rPr>
                <w:sz w:val="20"/>
                <w:szCs w:val="20"/>
              </w:rPr>
              <w:t>9.58 ± 1.05,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10A6D0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63E05">
              <w:rPr>
                <w:sz w:val="20"/>
                <w:szCs w:val="20"/>
              </w:rPr>
              <w:t>9.97 ± 1.30,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DC605D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63E05">
              <w:rPr>
                <w:sz w:val="20"/>
                <w:szCs w:val="20"/>
              </w:rPr>
              <w:t>9.90 ± 1.30,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F69B1B7" w14:textId="43A1D10C" w:rsidR="002B39DC" w:rsidRPr="00763E05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763E05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42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D3A2D4" w14:textId="1CD2184A" w:rsidR="002B39DC" w:rsidRPr="00763E05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763E05">
              <w:rPr>
                <w:sz w:val="20"/>
                <w:szCs w:val="20"/>
              </w:rPr>
              <w:t>P=0.8</w:t>
            </w:r>
            <w:r w:rsidR="00AA66EF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61A87B0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A1B6D">
              <w:rPr>
                <w:sz w:val="20"/>
                <w:szCs w:val="20"/>
              </w:rPr>
              <w:t>10.55 ± 1.83,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2D461B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A1B6D">
              <w:rPr>
                <w:sz w:val="20"/>
                <w:szCs w:val="20"/>
              </w:rPr>
              <w:t>10.09 ± 0.73,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8B4E61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A1B6D">
              <w:rPr>
                <w:sz w:val="20"/>
                <w:szCs w:val="20"/>
              </w:rPr>
              <w:t>9.93 ± 1.32,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EED01DD" w14:textId="79204A31" w:rsidR="002B39DC" w:rsidRPr="008A1B6D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A1B6D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6D4384" w14:textId="1AEDA799" w:rsidR="002B39DC" w:rsidRPr="008A1B6D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P=0.8</w:t>
            </w:r>
            <w:r w:rsidR="002B39DC" w:rsidRPr="008A1B6D">
              <w:rPr>
                <w:sz w:val="20"/>
                <w:szCs w:val="20"/>
              </w:rPr>
              <w:t>6</w:t>
            </w:r>
          </w:p>
        </w:tc>
      </w:tr>
      <w:tr w:rsidR="002B39DC" w:rsidRPr="00E33FDE" w14:paraId="4D39F7CA" w14:textId="77777777" w:rsidTr="002B39DC">
        <w:trPr>
          <w:trHeight w:val="541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C1CEB2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NAA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23459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F0277">
              <w:rPr>
                <w:sz w:val="20"/>
                <w:szCs w:val="20"/>
              </w:rPr>
              <w:t>7.15 ± 0.68,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30FA1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F0277">
              <w:rPr>
                <w:sz w:val="20"/>
                <w:szCs w:val="20"/>
              </w:rPr>
              <w:t>7.09 ± 0.50,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F7D89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F0277">
              <w:rPr>
                <w:sz w:val="20"/>
                <w:szCs w:val="20"/>
              </w:rPr>
              <w:t>7.30 ± 0.52,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3DF427" w14:textId="1EDDDB4E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7800">
              <w:rPr>
                <w:sz w:val="20"/>
                <w:szCs w:val="20"/>
              </w:rPr>
              <w:t>P=0.3</w:t>
            </w:r>
            <w:r w:rsidR="00AA66EF"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CC2BF8" w14:textId="7E6E9DA9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D7800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29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BFC4F3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A57D0">
              <w:rPr>
                <w:sz w:val="20"/>
                <w:szCs w:val="20"/>
              </w:rPr>
              <w:t>7.17 ± 0.65,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F381C9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A57D0">
              <w:rPr>
                <w:sz w:val="20"/>
                <w:szCs w:val="20"/>
              </w:rPr>
              <w:t>7.15 ± 0.76,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C6B7E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01AAB">
              <w:rPr>
                <w:sz w:val="20"/>
                <w:szCs w:val="20"/>
              </w:rPr>
              <w:t>7.32 ± 0.54,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895E54" w14:textId="76982147" w:rsidR="002B39DC" w:rsidRPr="00C01AAB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C01AAB">
              <w:rPr>
                <w:sz w:val="20"/>
                <w:szCs w:val="20"/>
              </w:rPr>
              <w:t>P=0.4</w:t>
            </w:r>
            <w:r w:rsidR="0033115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F46E58" w14:textId="6D3CA208" w:rsidR="002B39DC" w:rsidRPr="00C01AAB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C01AAB">
              <w:rPr>
                <w:sz w:val="20"/>
                <w:szCs w:val="20"/>
              </w:rPr>
              <w:t>P=0.</w:t>
            </w:r>
            <w:r w:rsidR="0033115B">
              <w:rPr>
                <w:sz w:val="20"/>
                <w:szCs w:val="20"/>
              </w:rPr>
              <w:t>51</w:t>
            </w:r>
          </w:p>
        </w:tc>
      </w:tr>
      <w:tr w:rsidR="002B39DC" w:rsidRPr="00E33FDE" w14:paraId="386435B3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E3E7B6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Myo-inositol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93CF71A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5FAF">
              <w:rPr>
                <w:sz w:val="20"/>
                <w:szCs w:val="20"/>
              </w:rPr>
              <w:t>3.55 ± 0.43,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2E06CF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5FAF">
              <w:rPr>
                <w:sz w:val="20"/>
                <w:szCs w:val="20"/>
              </w:rPr>
              <w:t>3.49 ± 0.59,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C06B37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5FAF">
              <w:rPr>
                <w:sz w:val="20"/>
                <w:szCs w:val="20"/>
              </w:rPr>
              <w:t>3.71 ± 0.49,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DDD4A8" w14:textId="3A5DA8BE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54DF3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33E2EF" w14:textId="6C102067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54DF3">
              <w:rPr>
                <w:sz w:val="20"/>
                <w:szCs w:val="20"/>
              </w:rPr>
              <w:t>P=0.2</w:t>
            </w:r>
            <w:r w:rsidR="00AA66EF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95C39D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7D4">
              <w:rPr>
                <w:sz w:val="20"/>
                <w:szCs w:val="20"/>
              </w:rPr>
              <w:t>3.56 ± 0.54,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7E413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7D4">
              <w:rPr>
                <w:sz w:val="20"/>
                <w:szCs w:val="20"/>
              </w:rPr>
              <w:t>3.64 ± 0.59,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699ADE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7D4">
              <w:rPr>
                <w:sz w:val="20"/>
                <w:szCs w:val="20"/>
              </w:rPr>
              <w:t>3.74 ± 0.48,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B08016" w14:textId="6E7CD9E3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C3F86">
              <w:rPr>
                <w:sz w:val="20"/>
                <w:szCs w:val="20"/>
              </w:rPr>
              <w:t>P=0.2</w:t>
            </w:r>
            <w:r w:rsidR="0033115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2E7C52" w14:textId="44A499C5" w:rsidR="002B39DC" w:rsidRPr="000D3403" w:rsidRDefault="0033115B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P=0.6</w:t>
            </w:r>
            <w:r w:rsidR="002B39DC" w:rsidRPr="006C3F86">
              <w:rPr>
                <w:sz w:val="20"/>
                <w:szCs w:val="20"/>
              </w:rPr>
              <w:t>9</w:t>
            </w:r>
          </w:p>
        </w:tc>
      </w:tr>
      <w:tr w:rsidR="002B39DC" w:rsidRPr="00E33FDE" w14:paraId="4699D652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6CDAAF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Choline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60E506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907BF">
              <w:rPr>
                <w:sz w:val="20"/>
                <w:szCs w:val="20"/>
              </w:rPr>
              <w:t>1.62 ± 0.21,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30525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907BF">
              <w:rPr>
                <w:sz w:val="20"/>
                <w:szCs w:val="20"/>
              </w:rPr>
              <w:t>1.69 ± 0.15,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D2DCC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907BF">
              <w:rPr>
                <w:sz w:val="20"/>
                <w:szCs w:val="20"/>
              </w:rPr>
              <w:t>1.74 ± 0.14,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6C4843" w14:textId="4B816C6D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907BF">
              <w:rPr>
                <w:sz w:val="20"/>
                <w:szCs w:val="20"/>
              </w:rPr>
              <w:t>P=0.01</w:t>
            </w:r>
            <w:r w:rsidR="00AA66EF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71CEBF6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907BF">
              <w:rPr>
                <w:sz w:val="20"/>
                <w:szCs w:val="20"/>
              </w:rPr>
              <w:t>P=0.41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9509F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05262">
              <w:rPr>
                <w:sz w:val="20"/>
                <w:szCs w:val="20"/>
              </w:rPr>
              <w:t>1.68 ± 0.19,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AD360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25316">
              <w:rPr>
                <w:sz w:val="20"/>
                <w:szCs w:val="20"/>
              </w:rPr>
              <w:t>1.61 ± 0.20,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FDB150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25316">
              <w:rPr>
                <w:sz w:val="20"/>
                <w:szCs w:val="20"/>
              </w:rPr>
              <w:t>1.74 ± 0.14,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880195" w14:textId="0016D0C6" w:rsidR="002B39DC" w:rsidRPr="00F2531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F25316">
              <w:rPr>
                <w:sz w:val="20"/>
                <w:szCs w:val="20"/>
              </w:rPr>
              <w:t>P=0.</w:t>
            </w:r>
            <w:r w:rsidR="0033115B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1B1A1D1" w14:textId="5B792CF2" w:rsidR="002B39DC" w:rsidRPr="00F2531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F25316">
              <w:rPr>
                <w:sz w:val="20"/>
                <w:szCs w:val="20"/>
              </w:rPr>
              <w:t>P=0.0</w:t>
            </w:r>
            <w:r w:rsidR="0033115B">
              <w:rPr>
                <w:sz w:val="20"/>
                <w:szCs w:val="20"/>
              </w:rPr>
              <w:t>4</w:t>
            </w:r>
          </w:p>
        </w:tc>
      </w:tr>
      <w:tr w:rsidR="002B39DC" w:rsidRPr="00E33FDE" w14:paraId="25332B6D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BFEA53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33FDE">
              <w:rPr>
                <w:b/>
                <w:sz w:val="20"/>
                <w:szCs w:val="20"/>
              </w:rPr>
              <w:t>PCr+Cr</w:t>
            </w:r>
            <w:proofErr w:type="spellEnd"/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8D2028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B5898">
              <w:rPr>
                <w:sz w:val="20"/>
                <w:szCs w:val="20"/>
              </w:rPr>
              <w:t>5.41 ± 0.53,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178C9A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B5898">
              <w:rPr>
                <w:sz w:val="20"/>
                <w:szCs w:val="20"/>
              </w:rPr>
              <w:t>5.67 ± 0.40,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279C34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B5898">
              <w:rPr>
                <w:sz w:val="20"/>
                <w:szCs w:val="20"/>
              </w:rPr>
              <w:t>5.61 ±0.31,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44E0F2" w14:textId="3164EC5F" w:rsidR="002B39DC" w:rsidRPr="00D43EBF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D43EBF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05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766433" w14:textId="330369E5" w:rsidR="002B39DC" w:rsidRPr="00D43EBF" w:rsidRDefault="00AA66EF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</w:t>
            </w:r>
            <w:r w:rsidR="002B39DC" w:rsidRPr="00D43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EEF2E3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1434C">
              <w:rPr>
                <w:sz w:val="20"/>
                <w:szCs w:val="20"/>
              </w:rPr>
              <w:t>5.59 ± 0.41,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AE8B9B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1434C">
              <w:rPr>
                <w:sz w:val="20"/>
                <w:szCs w:val="20"/>
              </w:rPr>
              <w:t>5.48 ± 0.76,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28A33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1434C">
              <w:rPr>
                <w:sz w:val="20"/>
                <w:szCs w:val="20"/>
              </w:rPr>
              <w:t>5.59 ± 0.32,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0ABF70" w14:textId="77777777" w:rsidR="002B39DC" w:rsidRPr="00BD21D4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D21D4">
              <w:rPr>
                <w:sz w:val="20"/>
                <w:szCs w:val="20"/>
              </w:rPr>
              <w:t>P=0.99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65EFD96" w14:textId="65FD3C0C" w:rsidR="002B39DC" w:rsidRPr="00BD21D4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</w:t>
            </w:r>
            <w:r w:rsidR="002B39DC" w:rsidRPr="00BD21D4">
              <w:rPr>
                <w:sz w:val="20"/>
                <w:szCs w:val="20"/>
              </w:rPr>
              <w:t>1</w:t>
            </w:r>
          </w:p>
        </w:tc>
      </w:tr>
      <w:tr w:rsidR="002B39DC" w:rsidRPr="00E33FDE" w14:paraId="3A3DBDE7" w14:textId="77777777" w:rsidTr="002B39DC">
        <w:trPr>
          <w:trHeight w:val="541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15B676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Grey matter</w:t>
            </w:r>
            <w:r w:rsidRPr="00E33FD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E33FD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0599BE" w14:textId="77777777" w:rsidR="002B39DC" w:rsidRPr="008C50FC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20.7 ± 6.5,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CE7F5CD" w14:textId="77777777" w:rsidR="002B39DC" w:rsidRPr="008C50FC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17.8 ± 7.2,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CD82E7" w14:textId="77777777" w:rsidR="002B39DC" w:rsidRPr="008C50FC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19.3 ± 4,6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C23B20F" w14:textId="626F2F7A" w:rsidR="002B39DC" w:rsidRPr="008C50FC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72B0A2" w14:textId="0655E196" w:rsidR="002B39DC" w:rsidRPr="008C50FC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37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AEEFFC1" w14:textId="77777777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19.5 ± 9.0,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D68533" w14:textId="77777777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18.4 ± 5.8,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C0D98E" w14:textId="77777777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19.4 ± 4.6,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67094E" w14:textId="5428D243" w:rsidR="002B39DC" w:rsidRPr="00A96D3E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P=0.87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DCE4AE" w14:textId="3F83F32A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P=0.6</w:t>
            </w:r>
            <w:r w:rsidR="0033115B">
              <w:rPr>
                <w:sz w:val="20"/>
                <w:szCs w:val="20"/>
              </w:rPr>
              <w:t>5</w:t>
            </w:r>
          </w:p>
        </w:tc>
      </w:tr>
      <w:tr w:rsidR="002B39DC" w:rsidRPr="00E33FDE" w14:paraId="4BDBE3CB" w14:textId="77777777" w:rsidTr="002B39DC">
        <w:trPr>
          <w:trHeight w:val="488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E3AD34C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White matter</w:t>
            </w:r>
            <w:r w:rsidRPr="00E33FD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E33FDE">
              <w:rPr>
                <w:b/>
                <w:sz w:val="20"/>
                <w:szCs w:val="20"/>
              </w:rPr>
              <w:t>(%)</w:t>
            </w:r>
          </w:p>
          <w:p w14:paraId="29553EE3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5D85477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72CF9C0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3760E24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0981A7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BF9FD5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863A91C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25B8564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192E95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D1D017D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CCEFFE4" w14:textId="77777777" w:rsidR="002B39DC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DAB26D3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9FD59AC" w14:textId="77777777" w:rsidR="002B39DC" w:rsidRPr="008C50FC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78.3 ± 8.9,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7660069" w14:textId="77777777" w:rsidR="002B39DC" w:rsidRPr="008C50FC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82.1 ± 7.3,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F2AAFAF" w14:textId="77777777" w:rsidR="002B39DC" w:rsidRPr="008C50FC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80.6 ± 4.6,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3A2A9DC" w14:textId="6D9F8FDE" w:rsidR="002B39DC" w:rsidRPr="008C50FC" w:rsidRDefault="002B39DC" w:rsidP="00AA66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25B3C3C" w14:textId="6916B621" w:rsidR="002B39DC" w:rsidRPr="008C50FC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8C50FC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44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1227F13" w14:textId="77777777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78.6 ± 10.7,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371B501" w14:textId="77777777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81.5 ± 5.8,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C399B35" w14:textId="77777777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80.5 ± 4.6,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90421A0" w14:textId="0D199136" w:rsidR="002B39DC" w:rsidRPr="00A96D3E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E8ABF5C" w14:textId="2607E130" w:rsidR="002B39DC" w:rsidRPr="00A96D3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A96D3E">
              <w:rPr>
                <w:sz w:val="20"/>
                <w:szCs w:val="20"/>
              </w:rPr>
              <w:t>P=0.</w:t>
            </w:r>
            <w:r w:rsidR="0033115B">
              <w:rPr>
                <w:sz w:val="20"/>
                <w:szCs w:val="20"/>
              </w:rPr>
              <w:t>68</w:t>
            </w:r>
          </w:p>
        </w:tc>
      </w:tr>
      <w:tr w:rsidR="002B39DC" w:rsidRPr="00E33FDE" w14:paraId="367DD70A" w14:textId="77777777" w:rsidTr="009D1E83">
        <w:trPr>
          <w:trHeight w:val="381"/>
        </w:trPr>
        <w:tc>
          <w:tcPr>
            <w:tcW w:w="3686" w:type="dxa"/>
            <w:gridSpan w:val="2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67695A4" w14:textId="3DD80AC8" w:rsidR="002B39DC" w:rsidRPr="00E33FDE" w:rsidRDefault="002B39DC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B9572C">
              <w:rPr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ACC</w:t>
            </w:r>
            <w:r>
              <w:rPr>
                <w:b/>
                <w:i/>
                <w:color w:val="404040" w:themeColor="text1" w:themeTint="BF"/>
                <w:sz w:val="24"/>
                <w:szCs w:val="24"/>
                <w:vertAlign w:val="superscript"/>
              </w:rPr>
              <w:t xml:space="preserve">B </w:t>
            </w:r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 xml:space="preserve"> Baseline</w:t>
            </w:r>
            <w:proofErr w:type="gramEnd"/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 xml:space="preserve"> levels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E5762A8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970BC11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4EBCDBD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540A545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C11518F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F72C0C7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05A665E" w14:textId="77777777" w:rsidR="002B39DC" w:rsidRPr="00E33FDE" w:rsidRDefault="002B39DC" w:rsidP="002B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715CFFC" w14:textId="77777777" w:rsidR="002B39DC" w:rsidRPr="00E33FD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AD8B3FE" w14:textId="77777777" w:rsidR="002B39DC" w:rsidRPr="00E33FD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39DC" w:rsidRPr="00E33FDE" w14:paraId="0588C5DE" w14:textId="77777777" w:rsidTr="002B39DC">
        <w:trPr>
          <w:trHeight w:val="488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AF6437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Glutamate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A453B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4F72">
              <w:rPr>
                <w:sz w:val="20"/>
                <w:szCs w:val="20"/>
              </w:rPr>
              <w:t>10.80 ± 1.84, (17)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2B929A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4F72">
              <w:rPr>
                <w:sz w:val="20"/>
                <w:szCs w:val="20"/>
              </w:rPr>
              <w:t>10.76 ± 1.12, (11)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A40DF7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B1FF4">
              <w:rPr>
                <w:sz w:val="20"/>
                <w:szCs w:val="20"/>
              </w:rPr>
              <w:t>11.15 ± 0.98, (35)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B8856A" w14:textId="29CC6F97" w:rsidR="002B39DC" w:rsidRPr="00EB1FF4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EB1FF4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E2EE53" w14:textId="47EB41E2" w:rsidR="002B39DC" w:rsidRPr="00EB1FF4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EB1FF4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DDD68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516E">
              <w:rPr>
                <w:sz w:val="20"/>
                <w:szCs w:val="20"/>
              </w:rPr>
              <w:t>11.28 ± 1.42, (15)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E7C7E05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516E">
              <w:rPr>
                <w:sz w:val="20"/>
                <w:szCs w:val="20"/>
              </w:rPr>
              <w:t>10.57 ± 1.61, (8)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FB526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516E">
              <w:rPr>
                <w:sz w:val="20"/>
                <w:szCs w:val="20"/>
              </w:rPr>
              <w:t>11.21 ± 1.00, (32)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4B898" w14:textId="72C1F1D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516E">
              <w:rPr>
                <w:sz w:val="20"/>
                <w:szCs w:val="20"/>
              </w:rPr>
              <w:t>P=0.8</w:t>
            </w:r>
            <w:r w:rsidR="0033115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7A7935" w14:textId="4620BADE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516E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5</w:t>
            </w:r>
          </w:p>
        </w:tc>
      </w:tr>
      <w:tr w:rsidR="002B39DC" w:rsidRPr="00E33FDE" w14:paraId="13B790C8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B1B806E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Glx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91AF14D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66488">
              <w:rPr>
                <w:sz w:val="20"/>
                <w:szCs w:val="20"/>
              </w:rPr>
              <w:t>14.29 ± 2.46,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9A7DBD5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66488">
              <w:rPr>
                <w:sz w:val="20"/>
                <w:szCs w:val="20"/>
              </w:rPr>
              <w:t>14.33 ± 1.90,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7A95171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66488">
              <w:rPr>
                <w:sz w:val="20"/>
                <w:szCs w:val="20"/>
              </w:rPr>
              <w:t>14.61 ± 1.52,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35A65ECD" w14:textId="11EC3D5F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1482B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91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A8FB6F6" w14:textId="71061E92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1482B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39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66AE911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37990">
              <w:rPr>
                <w:sz w:val="20"/>
                <w:szCs w:val="20"/>
              </w:rPr>
              <w:t>15.05 ± 1.66,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E7BE1A7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37990">
              <w:rPr>
                <w:sz w:val="20"/>
                <w:szCs w:val="20"/>
              </w:rPr>
              <w:t>14.09 ± 2.46,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18CB18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37990">
              <w:rPr>
                <w:sz w:val="20"/>
                <w:szCs w:val="20"/>
              </w:rPr>
              <w:t>14.64 ± 1.58,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D82D35F" w14:textId="77777777" w:rsidR="002B39DC" w:rsidRPr="0033799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337990">
              <w:rPr>
                <w:sz w:val="20"/>
                <w:szCs w:val="20"/>
              </w:rPr>
              <w:t>P=0.46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EF3A2C0" w14:textId="5F1548B3" w:rsidR="002B39DC" w:rsidRPr="00337990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</w:t>
            </w:r>
            <w:r w:rsidR="002B39DC" w:rsidRPr="003379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2B39DC" w:rsidRPr="00E33FDE" w14:paraId="719100E8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3A0F9E" w14:textId="77777777" w:rsidR="002B39DC" w:rsidRPr="00E33FD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Gln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75D466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1482B">
              <w:rPr>
                <w:sz w:val="20"/>
                <w:szCs w:val="20"/>
              </w:rPr>
              <w:t>3.67 ± 0.83,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D62292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1482B">
              <w:rPr>
                <w:sz w:val="20"/>
                <w:szCs w:val="20"/>
              </w:rPr>
              <w:t>4.04 ± 0.70, (8)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9D12CF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3621A">
              <w:rPr>
                <w:sz w:val="20"/>
                <w:szCs w:val="20"/>
              </w:rPr>
              <w:t>3.80 ± 0.61, (26)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B79064" w14:textId="48CABF4E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3621A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85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2B4C3B" w14:textId="712DAC2D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3621A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56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184F98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C0F4B">
              <w:rPr>
                <w:sz w:val="20"/>
                <w:szCs w:val="20"/>
              </w:rPr>
              <w:t>3.77 ± 0.76,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B26418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C0F4B">
              <w:rPr>
                <w:sz w:val="20"/>
                <w:szCs w:val="20"/>
              </w:rPr>
              <w:t>3.74 ± 0.86, (7)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AB6B973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C0F4B">
              <w:rPr>
                <w:sz w:val="20"/>
                <w:szCs w:val="20"/>
              </w:rPr>
              <w:t>3.81 ± 0.62, (23)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F52441" w14:textId="71987ED8" w:rsidR="002B39DC" w:rsidRPr="001D690B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90B">
              <w:rPr>
                <w:sz w:val="20"/>
                <w:szCs w:val="20"/>
              </w:rPr>
              <w:t>P=0.8</w:t>
            </w:r>
            <w:r w:rsidR="0033115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D7CA349" w14:textId="7CE3DCFC" w:rsidR="002B39DC" w:rsidRPr="001D690B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D690B">
              <w:rPr>
                <w:sz w:val="20"/>
                <w:szCs w:val="20"/>
              </w:rPr>
              <w:t>P=0.8</w:t>
            </w:r>
            <w:r w:rsidR="0033115B">
              <w:rPr>
                <w:sz w:val="20"/>
                <w:szCs w:val="20"/>
              </w:rPr>
              <w:t>3</w:t>
            </w:r>
          </w:p>
        </w:tc>
      </w:tr>
      <w:tr w:rsidR="002B39DC" w:rsidRPr="00E33FDE" w14:paraId="11C2638E" w14:textId="77777777" w:rsidTr="002B39DC">
        <w:trPr>
          <w:trHeight w:val="541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DCB8DE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NAA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8AD0EC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B6088">
              <w:rPr>
                <w:sz w:val="20"/>
                <w:szCs w:val="20"/>
              </w:rPr>
              <w:t>8.92 ± 1.10,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21C412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B6088">
              <w:rPr>
                <w:sz w:val="20"/>
                <w:szCs w:val="20"/>
              </w:rPr>
              <w:t>8.50 ± 0.84,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FD6299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B6088">
              <w:rPr>
                <w:sz w:val="20"/>
                <w:szCs w:val="20"/>
              </w:rPr>
              <w:t>9.07 ± 0.61,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BC35BE" w14:textId="488AE2B2" w:rsidR="002B39DC" w:rsidRPr="00DB6088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DB6088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63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66694E" w14:textId="7333EA2F" w:rsidR="002B39DC" w:rsidRPr="00DB608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DB6088">
              <w:rPr>
                <w:sz w:val="20"/>
                <w:szCs w:val="20"/>
              </w:rPr>
              <w:t>P=0.0</w:t>
            </w:r>
            <w:r w:rsidR="00AA66EF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E2ABE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65AF7">
              <w:rPr>
                <w:sz w:val="20"/>
                <w:szCs w:val="20"/>
              </w:rPr>
              <w:t>9.02 ± 0.99,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EA189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65AF7">
              <w:rPr>
                <w:sz w:val="20"/>
                <w:szCs w:val="20"/>
              </w:rPr>
              <w:t>8.47 ± 1.35,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2BEE208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65AF7">
              <w:rPr>
                <w:sz w:val="20"/>
                <w:szCs w:val="20"/>
              </w:rPr>
              <w:t>9.12 ± 0.60,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F1F9B7" w14:textId="7313D3A9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65AF7">
              <w:rPr>
                <w:sz w:val="20"/>
                <w:szCs w:val="20"/>
              </w:rPr>
              <w:t>P=0.6</w:t>
            </w:r>
            <w:r w:rsidR="0033115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105ACC9" w14:textId="0F809660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65AF7">
              <w:rPr>
                <w:sz w:val="20"/>
                <w:szCs w:val="20"/>
              </w:rPr>
              <w:t>P=0.0</w:t>
            </w:r>
            <w:r w:rsidR="0033115B">
              <w:rPr>
                <w:sz w:val="20"/>
                <w:szCs w:val="20"/>
              </w:rPr>
              <w:t>5</w:t>
            </w:r>
          </w:p>
        </w:tc>
      </w:tr>
      <w:tr w:rsidR="002B39DC" w:rsidRPr="00E33FDE" w14:paraId="440575A3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971EB77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Myo-inositol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2632CDD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B5711">
              <w:rPr>
                <w:sz w:val="20"/>
                <w:szCs w:val="20"/>
              </w:rPr>
              <w:t>6.04 ± 0.83,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1BD050F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A40C6">
              <w:rPr>
                <w:sz w:val="20"/>
                <w:szCs w:val="20"/>
              </w:rPr>
              <w:t>5.77 ± 0.74,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77E413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D4D84">
              <w:rPr>
                <w:sz w:val="20"/>
                <w:szCs w:val="20"/>
              </w:rPr>
              <w:t>6.11 ± 0.57,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75554B" w14:textId="483891F5" w:rsidR="002B39DC" w:rsidRPr="006D4D84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6D4D84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96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55CE0D" w14:textId="7D618082" w:rsidR="002B39DC" w:rsidRPr="006D4D84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6D4D84">
              <w:rPr>
                <w:sz w:val="20"/>
                <w:szCs w:val="20"/>
              </w:rPr>
              <w:t>P=0.1</w:t>
            </w:r>
            <w:r w:rsidR="00AA66EF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FCE9E37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B1D1E">
              <w:rPr>
                <w:sz w:val="20"/>
                <w:szCs w:val="20"/>
              </w:rPr>
              <w:t>6.02 ± 0.81,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98877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B1D1E">
              <w:rPr>
                <w:sz w:val="20"/>
                <w:szCs w:val="20"/>
              </w:rPr>
              <w:t>5.91 ± 0.97,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A928248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B1D1E">
              <w:rPr>
                <w:sz w:val="20"/>
                <w:szCs w:val="20"/>
              </w:rPr>
              <w:t>6.18 ± 0.54,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9CBCBB" w14:textId="7CDDBE64" w:rsidR="002B39DC" w:rsidRPr="009B1D1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9B1D1E">
              <w:rPr>
                <w:sz w:val="20"/>
                <w:szCs w:val="20"/>
              </w:rPr>
              <w:t>P=0.4</w:t>
            </w:r>
            <w:r w:rsidR="0033115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5010ABA" w14:textId="1CF44E81" w:rsidR="002B39DC" w:rsidRPr="009B1D1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9B1D1E">
              <w:rPr>
                <w:sz w:val="20"/>
                <w:szCs w:val="20"/>
              </w:rPr>
              <w:t>P=0.3</w:t>
            </w:r>
            <w:r w:rsidR="0033115B">
              <w:rPr>
                <w:sz w:val="20"/>
                <w:szCs w:val="20"/>
              </w:rPr>
              <w:t>4</w:t>
            </w:r>
          </w:p>
        </w:tc>
      </w:tr>
      <w:tr w:rsidR="002B39DC" w:rsidRPr="00E33FDE" w14:paraId="7DA51C2B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7EBB2B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Choline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DF2901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D3408">
              <w:rPr>
                <w:sz w:val="20"/>
                <w:szCs w:val="20"/>
              </w:rPr>
              <w:t>1.98 ± 0.32,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434D0A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D3408">
              <w:rPr>
                <w:sz w:val="20"/>
                <w:szCs w:val="20"/>
              </w:rPr>
              <w:t>1.93 ± 0.23,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93630FF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D3408">
              <w:rPr>
                <w:sz w:val="20"/>
                <w:szCs w:val="20"/>
              </w:rPr>
              <w:t>2.10 ± 0.24,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0290AA" w14:textId="071CC003" w:rsidR="002B39DC" w:rsidRPr="009D340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9D3408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27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747E0E" w14:textId="3D216782" w:rsidR="002B39DC" w:rsidRPr="009D340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9D3408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14D70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30191">
              <w:rPr>
                <w:sz w:val="20"/>
                <w:szCs w:val="20"/>
              </w:rPr>
              <w:t>2.01 ± 0.29,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8AB9DA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30191">
              <w:rPr>
                <w:sz w:val="20"/>
                <w:szCs w:val="20"/>
              </w:rPr>
              <w:t>1.94 ± 0.34,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08DFE0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30191">
              <w:rPr>
                <w:sz w:val="20"/>
                <w:szCs w:val="20"/>
              </w:rPr>
              <w:t>2.12 ± 0.24,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A815BA1" w14:textId="034E1608" w:rsidR="002B39DC" w:rsidRPr="00C30191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C30191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A525B9" w14:textId="25CB4CF2" w:rsidR="002B39DC" w:rsidRPr="00C30191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C30191">
              <w:rPr>
                <w:sz w:val="20"/>
                <w:szCs w:val="20"/>
              </w:rPr>
              <w:t>P=0.0</w:t>
            </w:r>
            <w:r w:rsidR="0033115B">
              <w:rPr>
                <w:sz w:val="20"/>
                <w:szCs w:val="20"/>
              </w:rPr>
              <w:t>7</w:t>
            </w:r>
          </w:p>
        </w:tc>
      </w:tr>
      <w:tr w:rsidR="002B39DC" w:rsidRPr="00E33FDE" w14:paraId="0A95E3B1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36A877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33FDE">
              <w:rPr>
                <w:b/>
                <w:sz w:val="20"/>
                <w:szCs w:val="20"/>
              </w:rPr>
              <w:t>PCr+Cr</w:t>
            </w:r>
            <w:proofErr w:type="spellEnd"/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E9A709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D0B97">
              <w:rPr>
                <w:sz w:val="20"/>
                <w:szCs w:val="20"/>
              </w:rPr>
              <w:t>7.30 ± 0.69,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B9DAE3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D0B97">
              <w:rPr>
                <w:sz w:val="20"/>
                <w:szCs w:val="20"/>
              </w:rPr>
              <w:t>6.98 ± 0.81,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0F0F69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D0B97">
              <w:rPr>
                <w:sz w:val="20"/>
                <w:szCs w:val="20"/>
              </w:rPr>
              <w:t>7.22 ± 0.50,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CED38F" w14:textId="186C48F9" w:rsidR="002B39DC" w:rsidRPr="004D0B97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4D0B97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44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96F96D" w14:textId="42167DAC" w:rsidR="002B39DC" w:rsidRPr="004D0B97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4D0B97">
              <w:rPr>
                <w:sz w:val="20"/>
                <w:szCs w:val="20"/>
              </w:rPr>
              <w:t>P=0.2</w:t>
            </w:r>
            <w:r w:rsidR="00AA66EF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3EBBAB1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C371E">
              <w:rPr>
                <w:sz w:val="20"/>
                <w:szCs w:val="20"/>
              </w:rPr>
              <w:t>7.44 ± 0.68,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565E7F2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C371E">
              <w:rPr>
                <w:sz w:val="20"/>
                <w:szCs w:val="20"/>
              </w:rPr>
              <w:t>6.87 ± 1.00,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803256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C371E">
              <w:rPr>
                <w:sz w:val="20"/>
                <w:szCs w:val="20"/>
              </w:rPr>
              <w:t>7.26 ± 0.50,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17FE2A" w14:textId="39B464B5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P=0.3</w:t>
            </w:r>
            <w:r w:rsidR="0033115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7E3A78" w14:textId="7CF0CD1A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2</w:t>
            </w:r>
          </w:p>
        </w:tc>
      </w:tr>
      <w:tr w:rsidR="002B39DC" w:rsidRPr="00E33FDE" w14:paraId="085FAB22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34CA577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Grey matter</w:t>
            </w:r>
            <w:r w:rsidRPr="00E33FD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E33FD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74877F" w14:textId="77777777" w:rsidR="002B39DC" w:rsidRPr="00B6128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67.5 ± 6.8,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7ECEA0" w14:textId="77777777" w:rsidR="002B39DC" w:rsidRPr="00B6128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69.4 ± 4.5,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C9D8DE" w14:textId="77777777" w:rsidR="002B39DC" w:rsidRPr="00B6128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68.0 ± 3.9,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91A986" w14:textId="7628976E" w:rsidR="002B39DC" w:rsidRPr="00B61286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73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212A3C" w14:textId="3CBB6A4C" w:rsidR="002B39DC" w:rsidRPr="00B61286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42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E5E0E3F" w14:textId="77777777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65.2 ± 5.9,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55678C" w14:textId="77777777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70.9 ± 8.0,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C72257A" w14:textId="77777777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67.3 ± 3.4,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1474F6" w14:textId="44B6C33A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D7F1AF" w14:textId="04E08335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P=0.0</w:t>
            </w:r>
            <w:r w:rsidR="0033115B">
              <w:rPr>
                <w:sz w:val="20"/>
                <w:szCs w:val="20"/>
              </w:rPr>
              <w:t>9</w:t>
            </w:r>
          </w:p>
        </w:tc>
      </w:tr>
      <w:tr w:rsidR="002B39DC" w:rsidRPr="00E33FDE" w14:paraId="1E2847F2" w14:textId="77777777" w:rsidTr="002B39DC">
        <w:trPr>
          <w:trHeight w:val="257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934E1AF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White matter</w:t>
            </w:r>
            <w:r w:rsidRPr="00E33FD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E33FD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CC2E877" w14:textId="77777777" w:rsidR="002B39DC" w:rsidRPr="00B6128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13.4 ± 3.5,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C5CFAAB" w14:textId="77777777" w:rsidR="002B39DC" w:rsidRPr="00B6128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15.1 ± 5.5,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6093901" w14:textId="77777777" w:rsidR="002B39DC" w:rsidRPr="00B61286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13.0 ± 2.6,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ADCAEC2" w14:textId="2D235ECE" w:rsidR="002B39DC" w:rsidRPr="00B61286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85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F2928AF" w14:textId="2604EA36" w:rsidR="002B39DC" w:rsidRPr="00B61286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B61286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03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90AA41B" w14:textId="77777777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14.5 ± 5.0,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846742E" w14:textId="77777777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14.0 ± 4.0,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1E3D06A" w14:textId="77777777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13.0 ± 2.7,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BBF6C30" w14:textId="5D44D904" w:rsidR="002B39DC" w:rsidRPr="00EB1C33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</w:t>
            </w:r>
            <w:r w:rsidR="002B39DC" w:rsidRPr="00EB1C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79E4776" w14:textId="58039E5E" w:rsidR="002B39DC" w:rsidRPr="00EB1C33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B1C33">
              <w:rPr>
                <w:sz w:val="20"/>
                <w:szCs w:val="20"/>
              </w:rPr>
              <w:t>P=0.</w:t>
            </w:r>
            <w:r w:rsidR="0033115B">
              <w:rPr>
                <w:sz w:val="20"/>
                <w:szCs w:val="20"/>
              </w:rPr>
              <w:t>36</w:t>
            </w:r>
          </w:p>
        </w:tc>
      </w:tr>
      <w:tr w:rsidR="009D1E83" w:rsidRPr="00E33FDE" w14:paraId="3B4B96C1" w14:textId="77777777" w:rsidTr="009D1E83">
        <w:trPr>
          <w:trHeight w:val="413"/>
        </w:trPr>
        <w:tc>
          <w:tcPr>
            <w:tcW w:w="3686" w:type="dxa"/>
            <w:gridSpan w:val="2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AD35F92" w14:textId="2BE05AA8" w:rsidR="009D1E83" w:rsidRPr="00E33FDE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572C">
              <w:rPr>
                <w:b/>
                <w:i/>
                <w:color w:val="404040" w:themeColor="text1" w:themeTint="BF"/>
                <w:sz w:val="24"/>
                <w:szCs w:val="24"/>
              </w:rPr>
              <w:t>ACC</w:t>
            </w:r>
            <w:r>
              <w:rPr>
                <w:b/>
                <w:i/>
                <w:color w:val="404040" w:themeColor="text1" w:themeTint="BF"/>
                <w:sz w:val="24"/>
                <w:szCs w:val="24"/>
                <w:vertAlign w:val="superscript"/>
              </w:rPr>
              <w:t>C</w:t>
            </w:r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>Baseline</w:t>
            </w:r>
            <w:proofErr w:type="spellEnd"/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 xml:space="preserve"> levels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A06528F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F9A0EB7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6433695B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35DB0F6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C5A8C3B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8C29C7C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CFA0DD8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FF21EA4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68E4721" w14:textId="77777777" w:rsidR="009D1E83" w:rsidRPr="00E33FDE" w:rsidRDefault="009D1E83" w:rsidP="002B39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39DC" w:rsidRPr="00E33FDE" w14:paraId="04529D33" w14:textId="77777777" w:rsidTr="002B39DC">
        <w:trPr>
          <w:trHeight w:val="559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E334D1" w14:textId="77777777" w:rsidR="002B39DC" w:rsidRPr="00E33FD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GABA</w:t>
            </w:r>
            <w:r>
              <w:rPr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6E136F" w14:textId="77777777" w:rsidR="002B39DC" w:rsidRPr="005131C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131C8">
              <w:rPr>
                <w:sz w:val="20"/>
                <w:szCs w:val="20"/>
              </w:rPr>
              <w:t>2.39 ± 0.37, (11)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EC7D8A" w14:textId="77777777" w:rsidR="002B39DC" w:rsidRPr="005131C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131C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23</w:t>
            </w:r>
            <w:r w:rsidRPr="005131C8">
              <w:rPr>
                <w:sz w:val="20"/>
                <w:szCs w:val="20"/>
              </w:rPr>
              <w:t xml:space="preserve"> ± 0.4</w:t>
            </w:r>
            <w:r>
              <w:rPr>
                <w:sz w:val="20"/>
                <w:szCs w:val="20"/>
              </w:rPr>
              <w:t>6</w:t>
            </w:r>
            <w:r w:rsidRPr="005131C8"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</w:rPr>
              <w:t>8</w:t>
            </w:r>
            <w:r w:rsidRPr="005131C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98E67C" w14:textId="77777777" w:rsidR="002B39DC" w:rsidRPr="005131C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131C8">
              <w:rPr>
                <w:sz w:val="20"/>
                <w:szCs w:val="20"/>
              </w:rPr>
              <w:t>2.49 ± 0.28, (31)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CEE43C" w14:textId="1C79F40F" w:rsidR="002B39DC" w:rsidRPr="005131C8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5131C8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36</w:t>
            </w: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16ACB0" w14:textId="1C4BA749" w:rsidR="002B39DC" w:rsidRPr="005131C8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F77386">
              <w:rPr>
                <w:sz w:val="20"/>
                <w:szCs w:val="20"/>
              </w:rPr>
              <w:t>P=0.0</w:t>
            </w:r>
            <w:r w:rsidR="00AA66EF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EB9C1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02D99">
              <w:rPr>
                <w:sz w:val="20"/>
                <w:szCs w:val="20"/>
              </w:rPr>
              <w:t>2.37 ± 0.40, (8)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CF715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02D99">
              <w:rPr>
                <w:sz w:val="20"/>
                <w:szCs w:val="20"/>
              </w:rPr>
              <w:t>2.42 ± 0.35, (5)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63B509F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02D99">
              <w:rPr>
                <w:sz w:val="20"/>
                <w:szCs w:val="20"/>
              </w:rPr>
              <w:t>2.51 ± 0.27, (28)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0CAF0" w14:textId="1FC110BE" w:rsidR="002B39DC" w:rsidRPr="00B02D99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B02D99">
              <w:rPr>
                <w:sz w:val="20"/>
                <w:szCs w:val="20"/>
              </w:rPr>
              <w:t>P=0.2</w:t>
            </w:r>
            <w:r w:rsidR="0033115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C637AC" w14:textId="1C5F7F57" w:rsidR="002B39DC" w:rsidRPr="00B02D99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</w:t>
            </w:r>
            <w:r w:rsidR="002B39DC" w:rsidRPr="00B02D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</w:tr>
      <w:tr w:rsidR="002B39DC" w:rsidRPr="00E33FDE" w14:paraId="1872B78C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656D97" w14:textId="77777777" w:rsidR="002B39DC" w:rsidRPr="00E33FD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Glx IU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E2A1F4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17F3F">
              <w:rPr>
                <w:sz w:val="20"/>
                <w:szCs w:val="20"/>
              </w:rPr>
              <w:t>10.43 ± 1.78, (11)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FFF171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  <w:r w:rsidRPr="005131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 ±</w:t>
            </w:r>
            <w:r w:rsidRPr="005131C8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28,</w:t>
            </w:r>
            <w:r w:rsidRPr="005131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8</w:t>
            </w:r>
            <w:r w:rsidRPr="005131C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DE4A80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17F3F">
              <w:rPr>
                <w:sz w:val="20"/>
                <w:szCs w:val="20"/>
              </w:rPr>
              <w:t>11.23 ± 0.87, (31)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DCF129" w14:textId="1FE01BFC" w:rsidR="002B39DC" w:rsidRPr="00E17F3F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1C7183" w14:textId="1A41A23C" w:rsidR="002B39DC" w:rsidRPr="00E17F3F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E17F3F">
              <w:rPr>
                <w:sz w:val="20"/>
                <w:szCs w:val="20"/>
              </w:rPr>
              <w:t>P=0.0</w:t>
            </w:r>
            <w:r w:rsidR="00AA66EF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C3B6A3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3199E">
              <w:rPr>
                <w:sz w:val="20"/>
                <w:szCs w:val="20"/>
              </w:rPr>
              <w:t>11.37 ± 0.87, (8)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6749C0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3199E">
              <w:rPr>
                <w:sz w:val="20"/>
                <w:szCs w:val="20"/>
              </w:rPr>
              <w:t>10.59 ± 0.99, (5)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852F4E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3199E">
              <w:rPr>
                <w:sz w:val="20"/>
                <w:szCs w:val="20"/>
              </w:rPr>
              <w:t>11.27 ± 0.86, (28)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749408" w14:textId="516B80B3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P=0.7</w:t>
            </w:r>
            <w:r w:rsidR="0033115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65FE8CC" w14:textId="5924754E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</w:t>
            </w:r>
            <w:r w:rsidR="0033115B">
              <w:rPr>
                <w:sz w:val="20"/>
                <w:szCs w:val="20"/>
              </w:rPr>
              <w:t>08</w:t>
            </w:r>
          </w:p>
        </w:tc>
      </w:tr>
      <w:tr w:rsidR="002B39DC" w:rsidRPr="00E33FDE" w14:paraId="70CAD3F3" w14:textId="77777777" w:rsidTr="002B39DC">
        <w:trPr>
          <w:trHeight w:val="541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3F83CBF" w14:textId="77777777" w:rsidR="002B39DC" w:rsidRPr="00E33FD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33FDE">
              <w:rPr>
                <w:b/>
                <w:sz w:val="20"/>
                <w:szCs w:val="20"/>
              </w:rPr>
              <w:t>PCr+Cr</w:t>
            </w:r>
            <w:proofErr w:type="spellEnd"/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3F186B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32A06">
              <w:rPr>
                <w:sz w:val="20"/>
                <w:szCs w:val="20"/>
              </w:rPr>
              <w:t>14.81 ± 0.92, (11)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98A114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32A06">
              <w:rPr>
                <w:sz w:val="20"/>
                <w:szCs w:val="20"/>
              </w:rPr>
              <w:t>13.35 ± 1.66, (</w:t>
            </w:r>
            <w:r>
              <w:rPr>
                <w:sz w:val="20"/>
                <w:szCs w:val="20"/>
              </w:rPr>
              <w:t>8</w:t>
            </w:r>
            <w:r w:rsidRPr="00832A06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685EC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32A06">
              <w:rPr>
                <w:sz w:val="20"/>
                <w:szCs w:val="20"/>
              </w:rPr>
              <w:t>14.22 ± 1.07, (31)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1098C7A" w14:textId="1A49CF24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32A06">
              <w:rPr>
                <w:sz w:val="20"/>
                <w:szCs w:val="20"/>
              </w:rPr>
              <w:t>P=0.1</w:t>
            </w:r>
            <w:r w:rsidR="00AA66EF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65F1263" w14:textId="322B2259" w:rsidR="002B39DC" w:rsidRPr="000D3403" w:rsidRDefault="002B39DC" w:rsidP="00AA66E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32A06">
              <w:rPr>
                <w:sz w:val="20"/>
                <w:szCs w:val="20"/>
              </w:rPr>
              <w:t>P=0.</w:t>
            </w:r>
            <w:r>
              <w:rPr>
                <w:sz w:val="20"/>
                <w:szCs w:val="20"/>
              </w:rPr>
              <w:t>3</w:t>
            </w:r>
            <w:r w:rsidR="00AA66EF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85159A6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3199E">
              <w:rPr>
                <w:sz w:val="20"/>
                <w:szCs w:val="20"/>
              </w:rPr>
              <w:t>14.90 ± 1.11, (8)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E90E8C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3199E">
              <w:rPr>
                <w:sz w:val="20"/>
                <w:szCs w:val="20"/>
              </w:rPr>
              <w:t>13.86 ± 1.23, (5)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EDFD126" w14:textId="77777777" w:rsidR="002B39DC" w:rsidRPr="000D3403" w:rsidRDefault="002B39DC" w:rsidP="002B39D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3199E">
              <w:rPr>
                <w:sz w:val="20"/>
                <w:szCs w:val="20"/>
              </w:rPr>
              <w:t>14.27 ± 1.09, (28)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B6772CD" w14:textId="4CC7D482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ABEDB4" w14:textId="3EA4D50C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P=0.4</w:t>
            </w:r>
            <w:r w:rsidR="0033115B">
              <w:rPr>
                <w:sz w:val="20"/>
                <w:szCs w:val="20"/>
              </w:rPr>
              <w:t>7</w:t>
            </w:r>
          </w:p>
        </w:tc>
      </w:tr>
      <w:tr w:rsidR="002B39DC" w:rsidRPr="00E33FDE" w14:paraId="3FAD283F" w14:textId="77777777" w:rsidTr="002B39DC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320F02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Grey matter</w:t>
            </w:r>
            <w:r w:rsidRPr="00E33FD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E33FD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7691C7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51.0 ± 3.1, (11)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EC32ECC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53.7 ± 3.6, (9)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E72819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 xml:space="preserve">53.1 ± </w:t>
            </w:r>
            <w:proofErr w:type="gramStart"/>
            <w:r w:rsidRPr="001311B0">
              <w:rPr>
                <w:sz w:val="20"/>
                <w:szCs w:val="20"/>
              </w:rPr>
              <w:t>3.2 ,</w:t>
            </w:r>
            <w:proofErr w:type="gramEnd"/>
            <w:r w:rsidRPr="001311B0">
              <w:rPr>
                <w:sz w:val="20"/>
                <w:szCs w:val="20"/>
              </w:rPr>
              <w:t xml:space="preserve"> (31)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EF9EE58" w14:textId="6D0B358E" w:rsidR="002B39DC" w:rsidRPr="001311B0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P=0.0</w:t>
            </w:r>
            <w:r w:rsidR="00AA66EF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53986B5" w14:textId="7AE5CCD6" w:rsidR="002B39DC" w:rsidRPr="001311B0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82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F17970" w14:textId="77777777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48.9 ± 5.4, (8)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CCC938D" w14:textId="77777777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53.3 ± 3.8, (6)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F458E92" w14:textId="77777777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52.7 ± 2.9, (28)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7B44BE" w14:textId="06948F4F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P=0.0</w:t>
            </w:r>
            <w:r w:rsidR="0033115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608EE5D" w14:textId="1F5DC848" w:rsidR="002B39DC" w:rsidRPr="0053199E" w:rsidRDefault="0033115B" w:rsidP="002B3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P=0.9</w:t>
            </w:r>
            <w:r w:rsidR="002B39DC" w:rsidRPr="0053199E">
              <w:rPr>
                <w:sz w:val="20"/>
                <w:szCs w:val="20"/>
              </w:rPr>
              <w:t>9</w:t>
            </w:r>
          </w:p>
        </w:tc>
      </w:tr>
      <w:tr w:rsidR="002B39DC" w:rsidRPr="00E33FDE" w14:paraId="121D8F6C" w14:textId="77777777" w:rsidTr="002B39DC">
        <w:trPr>
          <w:trHeight w:val="260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0EDD725" w14:textId="77777777" w:rsidR="002B39DC" w:rsidRPr="00E33FDE" w:rsidRDefault="002B39DC" w:rsidP="002B3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White matter</w:t>
            </w:r>
            <w:r w:rsidRPr="00E33FD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E33FDE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F63939C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31.9 ± 2.4, (11)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5A22BA89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32.5 ± 5.1, (9)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15B0525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30.5 ± 3.1, (31)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BE11B16" w14:textId="0292EBF2" w:rsidR="002B39DC" w:rsidRPr="001311B0" w:rsidRDefault="002B39DC" w:rsidP="00AA66EF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P=0.</w:t>
            </w:r>
            <w:r w:rsidR="00AA66EF">
              <w:rPr>
                <w:sz w:val="20"/>
                <w:szCs w:val="20"/>
              </w:rPr>
              <w:t>38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25D8C8C7" w14:textId="77777777" w:rsidR="002B39DC" w:rsidRPr="001311B0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1311B0">
              <w:rPr>
                <w:sz w:val="20"/>
                <w:szCs w:val="20"/>
              </w:rPr>
              <w:t>P=0.14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089B3899" w14:textId="77777777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32.9 ± 3.8, (8)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5D70D8D" w14:textId="77777777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32.3 ± 5.2, (6)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62FB2C0" w14:textId="77777777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30.6 ± 3.2, (28)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EE94DB6" w14:textId="0856DD8E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P=0.1</w:t>
            </w:r>
            <w:r w:rsidR="0033115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757106A" w14:textId="7E38D2E0" w:rsidR="002B39DC" w:rsidRPr="0053199E" w:rsidRDefault="002B39DC" w:rsidP="002B39DC">
            <w:pPr>
              <w:spacing w:after="0" w:line="240" w:lineRule="auto"/>
              <w:rPr>
                <w:sz w:val="20"/>
                <w:szCs w:val="20"/>
              </w:rPr>
            </w:pPr>
            <w:r w:rsidRPr="0053199E">
              <w:rPr>
                <w:sz w:val="20"/>
                <w:szCs w:val="20"/>
              </w:rPr>
              <w:t>P=0.3</w:t>
            </w:r>
            <w:r w:rsidR="0033115B">
              <w:rPr>
                <w:sz w:val="20"/>
                <w:szCs w:val="20"/>
              </w:rPr>
              <w:t>2</w:t>
            </w:r>
            <w:r w:rsidR="009539FA">
              <w:rPr>
                <w:sz w:val="20"/>
                <w:szCs w:val="20"/>
              </w:rPr>
              <w:t xml:space="preserve">  </w:t>
            </w:r>
          </w:p>
        </w:tc>
      </w:tr>
    </w:tbl>
    <w:p w14:paraId="7C536944" w14:textId="64AE104B" w:rsidR="002B39DC" w:rsidRDefault="002B39DC" w:rsidP="002B39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Table S11 shows baseline levels of metabolites in institutional units calculated with the formula provided in the supplementary methods. </w:t>
      </w:r>
      <w:r w:rsidRPr="00885F85">
        <w:rPr>
          <w:sz w:val="20"/>
          <w:szCs w:val="20"/>
        </w:rPr>
        <w:t>Abbreviations:</w:t>
      </w:r>
      <w:r>
        <w:rPr>
          <w:sz w:val="20"/>
          <w:szCs w:val="20"/>
        </w:rPr>
        <w:t xml:space="preserve"> IU: institutional units;</w:t>
      </w:r>
      <w:r w:rsidRPr="00885F85">
        <w:rPr>
          <w:sz w:val="20"/>
          <w:szCs w:val="20"/>
        </w:rPr>
        <w:t xml:space="preserve"> NR: Non-responders; R: Responders; HCs: Healthy controls; ACC: Anterior cingulate cortex; </w:t>
      </w:r>
      <w:proofErr w:type="spellStart"/>
      <w:r w:rsidRPr="00885F85">
        <w:rPr>
          <w:sz w:val="20"/>
          <w:szCs w:val="20"/>
        </w:rPr>
        <w:t>Glx</w:t>
      </w:r>
      <w:proofErr w:type="spellEnd"/>
      <w:r w:rsidRPr="00885F85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G</w:t>
      </w:r>
      <w:r w:rsidRPr="00885F85">
        <w:rPr>
          <w:sz w:val="20"/>
          <w:szCs w:val="20"/>
        </w:rPr>
        <w:t>lutamate+glutamine</w:t>
      </w:r>
      <w:proofErr w:type="spellEnd"/>
      <w:r w:rsidRPr="00885F85">
        <w:rPr>
          <w:sz w:val="20"/>
          <w:szCs w:val="20"/>
        </w:rPr>
        <w:t xml:space="preserve">; </w:t>
      </w:r>
      <w:proofErr w:type="spellStart"/>
      <w:r w:rsidRPr="00885F85">
        <w:rPr>
          <w:sz w:val="20"/>
          <w:szCs w:val="20"/>
        </w:rPr>
        <w:t>Gln</w:t>
      </w:r>
      <w:proofErr w:type="spellEnd"/>
      <w:r w:rsidRPr="00885F85">
        <w:rPr>
          <w:sz w:val="20"/>
          <w:szCs w:val="20"/>
        </w:rPr>
        <w:t xml:space="preserve">: glutamine; NAA: N-acetyl aspartate; </w:t>
      </w:r>
      <w:proofErr w:type="spellStart"/>
      <w:r w:rsidRPr="00885F85">
        <w:rPr>
          <w:sz w:val="20"/>
          <w:szCs w:val="20"/>
        </w:rPr>
        <w:t>PCr+Cr</w:t>
      </w:r>
      <w:proofErr w:type="spellEnd"/>
      <w:r w:rsidRPr="00885F85">
        <w:rPr>
          <w:sz w:val="20"/>
          <w:szCs w:val="20"/>
        </w:rPr>
        <w:t xml:space="preserve">: </w:t>
      </w:r>
      <w:r w:rsidRPr="00636BA3">
        <w:rPr>
          <w:sz w:val="20"/>
          <w:szCs w:val="20"/>
        </w:rPr>
        <w:t>Total creatine (</w:t>
      </w:r>
      <w:proofErr w:type="spellStart"/>
      <w:r w:rsidRPr="00885F85">
        <w:rPr>
          <w:sz w:val="20"/>
          <w:szCs w:val="20"/>
        </w:rPr>
        <w:t>phosphocreatine+creatine</w:t>
      </w:r>
      <w:proofErr w:type="spellEnd"/>
      <w:r>
        <w:rPr>
          <w:sz w:val="20"/>
          <w:szCs w:val="20"/>
        </w:rPr>
        <w:t>)</w:t>
      </w:r>
      <w:r w:rsidRPr="00885F85">
        <w:rPr>
          <w:sz w:val="20"/>
          <w:szCs w:val="20"/>
        </w:rPr>
        <w:t xml:space="preserve">; GABA: </w:t>
      </w:r>
      <w:r>
        <w:rPr>
          <w:sz w:val="20"/>
          <w:szCs w:val="20"/>
        </w:rPr>
        <w:t>G</w:t>
      </w:r>
      <w:r w:rsidRPr="00885F85">
        <w:rPr>
          <w:sz w:val="20"/>
          <w:szCs w:val="20"/>
        </w:rPr>
        <w:t>amma-ami</w:t>
      </w:r>
      <w:r w:rsidRPr="00527528">
        <w:rPr>
          <w:sz w:val="20"/>
          <w:szCs w:val="20"/>
        </w:rPr>
        <w:t xml:space="preserve">nobutyric acid. </w:t>
      </w:r>
      <w:r>
        <w:rPr>
          <w:sz w:val="20"/>
          <w:szCs w:val="20"/>
        </w:rPr>
        <w:t>A</w:t>
      </w:r>
      <w:r w:rsidRPr="00527528">
        <w:rPr>
          <w:sz w:val="20"/>
          <w:szCs w:val="20"/>
        </w:rPr>
        <w:t xml:space="preserve">: </w:t>
      </w:r>
      <w:r w:rsidRPr="00527528">
        <w:rPr>
          <w:sz w:val="20"/>
          <w:szCs w:val="20"/>
          <w:lang w:val="en-US"/>
        </w:rPr>
        <w:t xml:space="preserve">N is the number of spectra analyzed. </w:t>
      </w:r>
      <w:r>
        <w:rPr>
          <w:sz w:val="20"/>
          <w:szCs w:val="20"/>
          <w:lang w:val="en-US"/>
        </w:rPr>
        <w:t>B</w:t>
      </w:r>
      <w:r w:rsidRPr="00527528">
        <w:rPr>
          <w:sz w:val="20"/>
          <w:szCs w:val="20"/>
          <w:lang w:val="en-US"/>
        </w:rPr>
        <w:t xml:space="preserve">: Metabolites in a 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2.0x2.0x2.0 cm voxel. </w:t>
      </w:r>
      <w:r>
        <w:rPr>
          <w:rFonts w:asciiTheme="majorHAnsi" w:hAnsiTheme="majorHAnsi" w:cstheme="majorHAnsi"/>
          <w:sz w:val="20"/>
          <w:szCs w:val="20"/>
          <w:lang w:val="en-US"/>
        </w:rPr>
        <w:t>C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  <w:r w:rsidRPr="00527528">
        <w:rPr>
          <w:sz w:val="20"/>
          <w:szCs w:val="20"/>
          <w:lang w:val="en-US"/>
        </w:rPr>
        <w:t xml:space="preserve">Metabolites in a 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>3.0x3.0x3.0 cm voxel (details provided in the patient</w:t>
      </w:r>
      <w:r>
        <w:rPr>
          <w:rFonts w:asciiTheme="majorHAnsi" w:hAnsiTheme="majorHAnsi" w:cstheme="majorHAnsi"/>
          <w:sz w:val="20"/>
          <w:szCs w:val="20"/>
          <w:lang w:val="en-US"/>
        </w:rPr>
        <w:t>s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 and methods section). </w:t>
      </w:r>
      <w:r w:rsidR="008646B4">
        <w:rPr>
          <w:rFonts w:asciiTheme="majorHAnsi" w:hAnsiTheme="majorHAnsi" w:cstheme="majorHAnsi"/>
          <w:sz w:val="20"/>
          <w:szCs w:val="20"/>
          <w:lang w:val="en-US"/>
        </w:rPr>
        <w:t xml:space="preserve">D: </w:t>
      </w:r>
      <w:r w:rsidR="008646B4" w:rsidRPr="008646B4">
        <w:rPr>
          <w:rFonts w:asciiTheme="majorHAnsi" w:hAnsiTheme="majorHAnsi" w:cstheme="majorHAnsi"/>
          <w:sz w:val="20"/>
          <w:szCs w:val="20"/>
          <w:lang w:val="en-US"/>
        </w:rPr>
        <w:t>Adjusted for age and sex</w:t>
      </w:r>
      <w:r w:rsidR="008646B4">
        <w:rPr>
          <w:rFonts w:asciiTheme="majorHAnsi" w:hAnsiTheme="majorHAnsi" w:cstheme="majorHAnsi"/>
          <w:sz w:val="20"/>
          <w:szCs w:val="20"/>
          <w:lang w:val="en-US"/>
        </w:rPr>
        <w:t>.</w:t>
      </w:r>
      <w:r w:rsidRPr="00527528">
        <w:rPr>
          <w:sz w:val="20"/>
          <w:szCs w:val="20"/>
        </w:rPr>
        <w:t xml:space="preserve"> </w:t>
      </w:r>
    </w:p>
    <w:p w14:paraId="222F7F23" w14:textId="77777777" w:rsidR="009D1E83" w:rsidRPr="001872A6" w:rsidRDefault="009D1E83" w:rsidP="009D1E83">
      <w:pPr>
        <w:rPr>
          <w:b/>
        </w:rPr>
      </w:pPr>
      <w:r w:rsidRPr="00885F85">
        <w:rPr>
          <w:b/>
        </w:rPr>
        <w:lastRenderedPageBreak/>
        <w:t xml:space="preserve">Table </w:t>
      </w:r>
      <w:r>
        <w:rPr>
          <w:b/>
        </w:rPr>
        <w:t xml:space="preserve">S12. </w:t>
      </w:r>
      <w:r w:rsidRPr="002F3DB4">
        <w:rPr>
          <w:b/>
        </w:rPr>
        <w:t xml:space="preserve">Baseline </w:t>
      </w:r>
      <w:proofErr w:type="spellStart"/>
      <w:r w:rsidRPr="002F3DB4">
        <w:rPr>
          <w:b/>
        </w:rPr>
        <w:t>neurometabolite</w:t>
      </w:r>
      <w:proofErr w:type="spellEnd"/>
      <w:r w:rsidRPr="002F3DB4">
        <w:rPr>
          <w:b/>
        </w:rPr>
        <w:t xml:space="preserve"> levels scaled to water in responders and non-responders after 6 and 26 weeks compared with HCs</w:t>
      </w:r>
    </w:p>
    <w:tbl>
      <w:tblPr>
        <w:tblpPr w:leftFromText="180" w:rightFromText="180" w:vertAnchor="text" w:horzAnchor="margin" w:tblpX="-1378" w:tblpY="74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701"/>
        <w:gridCol w:w="1843"/>
        <w:gridCol w:w="992"/>
        <w:gridCol w:w="958"/>
        <w:gridCol w:w="1736"/>
        <w:gridCol w:w="1701"/>
        <w:gridCol w:w="1842"/>
        <w:gridCol w:w="993"/>
        <w:gridCol w:w="992"/>
      </w:tblGrid>
      <w:tr w:rsidR="009D1E83" w:rsidRPr="00E33FDE" w14:paraId="7329BDC7" w14:textId="77777777" w:rsidTr="009D1E83">
        <w:trPr>
          <w:trHeight w:val="521"/>
        </w:trPr>
        <w:tc>
          <w:tcPr>
            <w:tcW w:w="1844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2D22FB" w14:textId="77777777" w:rsidR="009D1E83" w:rsidRPr="00E33FDE" w:rsidRDefault="009D1E83" w:rsidP="001951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A3B2AD" w14:textId="77777777" w:rsidR="009D1E83" w:rsidRDefault="009D1E83" w:rsidP="00195128">
            <w:pPr>
              <w:spacing w:after="0" w:line="240" w:lineRule="auto"/>
              <w:jc w:val="center"/>
              <w:rPr>
                <w:b/>
              </w:rPr>
            </w:pPr>
            <w:r w:rsidRPr="00187EAE">
              <w:rPr>
                <w:b/>
              </w:rPr>
              <w:t xml:space="preserve">Non-responders </w:t>
            </w:r>
          </w:p>
          <w:p w14:paraId="10D992DF" w14:textId="2739EFFE" w:rsidR="009D1E83" w:rsidRPr="00187EAE" w:rsidRDefault="009D1E83" w:rsidP="009D1E83">
            <w:pPr>
              <w:spacing w:after="0" w:line="240" w:lineRule="auto"/>
              <w:jc w:val="center"/>
              <w:rPr>
                <w:b/>
              </w:rPr>
            </w:pPr>
            <w:r w:rsidRPr="00085AAB">
              <w:rPr>
                <w:b/>
                <w:sz w:val="18"/>
                <w:szCs w:val="18"/>
              </w:rPr>
              <w:t>6 weeks</w:t>
            </w:r>
            <w:r w:rsidRPr="00085AAB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E41E9A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</w:rPr>
            </w:pPr>
            <w:r w:rsidRPr="00187EAE">
              <w:rPr>
                <w:b/>
              </w:rPr>
              <w:t>Responders</w:t>
            </w:r>
          </w:p>
          <w:p w14:paraId="1B76A628" w14:textId="77777777" w:rsidR="009D1E83" w:rsidRPr="00085AAB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85AAB">
              <w:rPr>
                <w:b/>
                <w:sz w:val="18"/>
                <w:szCs w:val="18"/>
              </w:rPr>
              <w:t>6 weeks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D10674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  <w:vertAlign w:val="subscript"/>
              </w:rPr>
            </w:pPr>
            <w:r w:rsidRPr="00187EAE">
              <w:rPr>
                <w:b/>
              </w:rPr>
              <w:t>HCs</w:t>
            </w:r>
          </w:p>
          <w:p w14:paraId="3AF15347" w14:textId="77777777" w:rsidR="009D1E83" w:rsidRPr="00085AAB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149B0A" w14:textId="680CDD00" w:rsidR="009D1E83" w:rsidRPr="00E33FDE" w:rsidRDefault="009D1E83" w:rsidP="001951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7EAE">
              <w:rPr>
                <w:b/>
              </w:rPr>
              <w:t>P</w:t>
            </w:r>
            <w:r w:rsidRPr="00187EAE">
              <w:rPr>
                <w:b/>
                <w:sz w:val="20"/>
                <w:szCs w:val="20"/>
                <w:vertAlign w:val="subscript"/>
              </w:rPr>
              <w:t xml:space="preserve">6 </w:t>
            </w:r>
            <w:proofErr w:type="spellStart"/>
            <w:r w:rsidRPr="00187EAE">
              <w:rPr>
                <w:b/>
                <w:sz w:val="20"/>
                <w:szCs w:val="20"/>
                <w:vertAlign w:val="subscript"/>
              </w:rPr>
              <w:t>weeks</w:t>
            </w:r>
            <w:r w:rsidR="00BC2630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4C8CBD14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NR vs HCs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3E7810" w14:textId="5087259C" w:rsidR="009D1E83" w:rsidRPr="00E33F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87EAE">
              <w:rPr>
                <w:b/>
              </w:rPr>
              <w:t>P</w:t>
            </w:r>
            <w:r>
              <w:rPr>
                <w:b/>
                <w:sz w:val="20"/>
                <w:szCs w:val="20"/>
                <w:vertAlign w:val="subscript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  <w:vertAlign w:val="subscript"/>
              </w:rPr>
              <w:t>weeks</w:t>
            </w:r>
            <w:r w:rsidR="00BC2630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4D90E8CF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R vs HCs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B4035B9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</w:rPr>
            </w:pPr>
            <w:r w:rsidRPr="00187EAE">
              <w:rPr>
                <w:b/>
              </w:rPr>
              <w:t>Non-responders</w:t>
            </w:r>
          </w:p>
          <w:p w14:paraId="0864A84D" w14:textId="36C10211" w:rsidR="009D1E83" w:rsidRPr="009D1E83" w:rsidRDefault="009D1E83" w:rsidP="009D1E83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bscript"/>
              </w:rPr>
            </w:pPr>
            <w:r w:rsidRPr="00187EAE">
              <w:rPr>
                <w:b/>
              </w:rPr>
              <w:t xml:space="preserve"> </w:t>
            </w:r>
            <w:r w:rsidRPr="00085AAB">
              <w:rPr>
                <w:b/>
                <w:sz w:val="18"/>
                <w:szCs w:val="18"/>
              </w:rPr>
              <w:t>26 weeks</w:t>
            </w:r>
            <w:r w:rsidRPr="00085AAB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99369E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187EAE">
              <w:rPr>
                <w:b/>
              </w:rPr>
              <w:t>esponders</w:t>
            </w:r>
          </w:p>
          <w:p w14:paraId="48D0F80E" w14:textId="77777777" w:rsidR="009D1E83" w:rsidRPr="00085AAB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</w:rPr>
              <w:t xml:space="preserve"> </w:t>
            </w:r>
            <w:r w:rsidRPr="00085AAB">
              <w:rPr>
                <w:b/>
                <w:sz w:val="18"/>
                <w:szCs w:val="18"/>
              </w:rPr>
              <w:t>26 weeks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3C914D2" w14:textId="77777777" w:rsidR="009D1E83" w:rsidRPr="00E33F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E33FDE">
              <w:rPr>
                <w:b/>
                <w:sz w:val="24"/>
                <w:szCs w:val="24"/>
              </w:rPr>
              <w:t>HC</w:t>
            </w:r>
            <w:r>
              <w:rPr>
                <w:b/>
                <w:sz w:val="24"/>
                <w:szCs w:val="24"/>
              </w:rPr>
              <w:t>s</w:t>
            </w:r>
          </w:p>
          <w:p w14:paraId="243066B3" w14:textId="77777777" w:rsidR="009D1E83" w:rsidRPr="00085AAB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FE0B385" w14:textId="6BBABEFD" w:rsidR="009D1E83" w:rsidRPr="00E33FDE" w:rsidRDefault="009D1E83" w:rsidP="001951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3FD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0"/>
                <w:szCs w:val="20"/>
                <w:vertAlign w:val="subscript"/>
              </w:rPr>
              <w:t xml:space="preserve">26 </w:t>
            </w:r>
            <w:proofErr w:type="spellStart"/>
            <w:r>
              <w:rPr>
                <w:b/>
                <w:sz w:val="20"/>
                <w:szCs w:val="20"/>
                <w:vertAlign w:val="subscript"/>
              </w:rPr>
              <w:t>weeks</w:t>
            </w:r>
            <w:r w:rsidR="00BC2630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1A53F4FF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NR vs HCs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EAA1E5" w14:textId="763DF0A2" w:rsidR="009D1E83" w:rsidRPr="00E33FDE" w:rsidRDefault="009D1E83" w:rsidP="001951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3FD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0"/>
                <w:szCs w:val="20"/>
                <w:vertAlign w:val="subscript"/>
              </w:rPr>
              <w:t xml:space="preserve">26 </w:t>
            </w:r>
            <w:proofErr w:type="spellStart"/>
            <w:r>
              <w:rPr>
                <w:b/>
                <w:sz w:val="20"/>
                <w:szCs w:val="20"/>
                <w:vertAlign w:val="subscript"/>
              </w:rPr>
              <w:t>weeks</w:t>
            </w:r>
            <w:r w:rsidR="00BC2630">
              <w:rPr>
                <w:b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41519E11" w14:textId="77777777" w:rsidR="009D1E83" w:rsidRPr="00187EAE" w:rsidRDefault="009D1E83" w:rsidP="001951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AE">
              <w:rPr>
                <w:b/>
                <w:sz w:val="18"/>
                <w:szCs w:val="18"/>
              </w:rPr>
              <w:t>R vs HC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9D1E83" w:rsidRPr="00E33FDE" w14:paraId="292D9755" w14:textId="77777777" w:rsidTr="009D1E83">
        <w:trPr>
          <w:trHeight w:val="406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3625FB3" w14:textId="77777777" w:rsidR="009D1E83" w:rsidRPr="00B9572C" w:rsidRDefault="009D1E83" w:rsidP="00195128">
            <w:pPr>
              <w:spacing w:after="0" w:line="240" w:lineRule="auto"/>
              <w:rPr>
                <w:b/>
                <w:i/>
                <w:color w:val="404040" w:themeColor="text1" w:themeTint="BF"/>
                <w:sz w:val="24"/>
                <w:szCs w:val="24"/>
                <w:vertAlign w:val="subscript"/>
              </w:rPr>
            </w:pPr>
            <w:r w:rsidRPr="00B9572C">
              <w:rPr>
                <w:b/>
                <w:i/>
                <w:color w:val="404040" w:themeColor="text1" w:themeTint="BF"/>
                <w:sz w:val="24"/>
                <w:szCs w:val="24"/>
              </w:rPr>
              <w:t>Thalamus</w:t>
            </w:r>
          </w:p>
          <w:p w14:paraId="0FFE18CB" w14:textId="77777777" w:rsidR="009D1E83" w:rsidRPr="00D92683" w:rsidRDefault="009D1E83" w:rsidP="00195128">
            <w:pPr>
              <w:spacing w:after="0" w:line="240" w:lineRule="auto"/>
              <w:rPr>
                <w:b/>
                <w:i/>
                <w:color w:val="404040" w:themeColor="text1" w:themeTint="BF"/>
                <w:sz w:val="20"/>
                <w:szCs w:val="20"/>
              </w:rPr>
            </w:pPr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>Baseline levels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209D128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6DA9A1DA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FB31C7C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3558974A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2B0CE59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73E8E55A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8B3904D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BB3B550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83F81A6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275D9100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B9082B8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1F39EE5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A2366B1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3B279AA6" w14:textId="77777777" w:rsidR="009D1E83" w:rsidRPr="00B9572C" w:rsidRDefault="009D1E83" w:rsidP="00195128">
            <w:pPr>
              <w:spacing w:after="0" w:line="240" w:lineRule="auto"/>
              <w:rPr>
                <w:b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Mean ± SD, (</w:t>
            </w:r>
            <w:proofErr w:type="spellStart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n</w:t>
            </w:r>
            <w:r>
              <w:rPr>
                <w:b/>
                <w:color w:val="404040" w:themeColor="text1" w:themeTint="BF"/>
                <w:sz w:val="20"/>
                <w:szCs w:val="20"/>
                <w:vertAlign w:val="superscript"/>
              </w:rPr>
              <w:t>A</w:t>
            </w:r>
            <w:proofErr w:type="spellEnd"/>
            <w:r w:rsidRPr="00B9572C">
              <w:rPr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964B6EE" w14:textId="77777777" w:rsidR="009D1E83" w:rsidRPr="00B9572C" w:rsidRDefault="009D1E83" w:rsidP="00195128">
            <w:pPr>
              <w:spacing w:after="0" w:line="240" w:lineRule="auto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7CAC67E" w14:textId="77777777" w:rsidR="009D1E83" w:rsidRPr="00B9572C" w:rsidRDefault="009D1E83" w:rsidP="00195128">
            <w:pPr>
              <w:spacing w:after="0" w:line="240" w:lineRule="auto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D1E83" w:rsidRPr="00E33FDE" w14:paraId="5F477354" w14:textId="77777777" w:rsidTr="00195128">
        <w:trPr>
          <w:trHeight w:val="559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135D43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Glutamate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2EDB4D2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3758">
              <w:rPr>
                <w:sz w:val="20"/>
                <w:szCs w:val="20"/>
              </w:rPr>
              <w:t>6.95 ± 0.74, (18)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3EC231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3758">
              <w:rPr>
                <w:sz w:val="20"/>
                <w:szCs w:val="20"/>
              </w:rPr>
              <w:t>7.11 ± 0.67, (11)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ACACD8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D3758">
              <w:rPr>
                <w:sz w:val="20"/>
                <w:szCs w:val="20"/>
              </w:rPr>
              <w:t>6.80 ± 0.84, (31)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6F822F" w14:textId="4229D71E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2503D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43</w:t>
            </w: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5E202E4" w14:textId="419C9C88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2503D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A95B90C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64999">
              <w:rPr>
                <w:sz w:val="20"/>
                <w:szCs w:val="20"/>
              </w:rPr>
              <w:t>7.19 ± 0.92, (15)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CE8E17F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64999">
              <w:rPr>
                <w:sz w:val="20"/>
                <w:szCs w:val="20"/>
              </w:rPr>
              <w:t>7.23 ± 0.83, (9)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D1F7A56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64999">
              <w:rPr>
                <w:sz w:val="20"/>
                <w:szCs w:val="20"/>
              </w:rPr>
              <w:t>6.80 ± 0.86, (28)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BA50DBC" w14:textId="5E94013A" w:rsidR="009D1E83" w:rsidRPr="00CF0969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CF0969">
              <w:rPr>
                <w:sz w:val="20"/>
                <w:szCs w:val="20"/>
              </w:rPr>
              <w:t>P=0.1</w:t>
            </w:r>
            <w:r w:rsidR="0005299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60CACA0" w14:textId="6D256825" w:rsidR="009D1E83" w:rsidRPr="00CF0969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CF0969">
              <w:rPr>
                <w:sz w:val="20"/>
                <w:szCs w:val="20"/>
              </w:rPr>
              <w:t>P=0.2</w:t>
            </w:r>
            <w:r w:rsidR="0005299B">
              <w:rPr>
                <w:sz w:val="20"/>
                <w:szCs w:val="20"/>
              </w:rPr>
              <w:t>9</w:t>
            </w:r>
          </w:p>
        </w:tc>
      </w:tr>
      <w:tr w:rsidR="009D1E83" w:rsidRPr="00E33FDE" w14:paraId="5936A7DD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204B6F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Glx/H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FACD13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31623">
              <w:rPr>
                <w:sz w:val="20"/>
                <w:szCs w:val="20"/>
              </w:rPr>
              <w:t>9.43 ± 1.18,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9A0D05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31623">
              <w:rPr>
                <w:sz w:val="20"/>
                <w:szCs w:val="20"/>
              </w:rPr>
              <w:t>9.95 ± 1.29,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F25EB7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7762B">
              <w:rPr>
                <w:sz w:val="20"/>
                <w:szCs w:val="20"/>
              </w:rPr>
              <w:t>9.88 ± 1.29,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2893E3" w14:textId="6DA27B52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25BFF">
              <w:rPr>
                <w:sz w:val="20"/>
                <w:szCs w:val="20"/>
              </w:rPr>
              <w:t>P=0.2</w:t>
            </w:r>
            <w:r w:rsidR="0005299B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BE1342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25BFF">
              <w:rPr>
                <w:sz w:val="20"/>
                <w:szCs w:val="20"/>
              </w:rPr>
              <w:t>P=0.87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6F56966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A6D44">
              <w:rPr>
                <w:sz w:val="20"/>
                <w:szCs w:val="20"/>
              </w:rPr>
              <w:t>10.28 ± 1.99,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FD93E27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D1B9E">
              <w:rPr>
                <w:sz w:val="20"/>
                <w:szCs w:val="20"/>
              </w:rPr>
              <w:t>10.08 ± 0.74,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C324A2E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D1B9E">
              <w:rPr>
                <w:sz w:val="20"/>
                <w:szCs w:val="20"/>
              </w:rPr>
              <w:t>9.91 ± 1.31,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548700" w14:textId="1A402BF7" w:rsidR="009D1E83" w:rsidRPr="003D1B9E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3D1B9E">
              <w:rPr>
                <w:sz w:val="20"/>
                <w:szCs w:val="20"/>
              </w:rPr>
              <w:t>P=0.</w:t>
            </w:r>
            <w:r>
              <w:rPr>
                <w:sz w:val="20"/>
                <w:szCs w:val="20"/>
              </w:rPr>
              <w:t>4</w:t>
            </w:r>
            <w:r w:rsidR="0005299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5CBDEFE" w14:textId="71CA7A41" w:rsidR="009D1E83" w:rsidRPr="003D1B9E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3D1B9E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</w:tr>
      <w:tr w:rsidR="009D1E83" w:rsidRPr="00E33FDE" w14:paraId="25990470" w14:textId="77777777" w:rsidTr="00195128">
        <w:trPr>
          <w:trHeight w:val="541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0D2B137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NAA/H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E53BFC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41030">
              <w:rPr>
                <w:sz w:val="20"/>
                <w:szCs w:val="20"/>
              </w:rPr>
              <w:t>7.02 ± 0.66,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E3B0471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F38EC">
              <w:rPr>
                <w:sz w:val="20"/>
                <w:szCs w:val="20"/>
              </w:rPr>
              <w:t>7.08 ± 0.48,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9265158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C048A">
              <w:rPr>
                <w:sz w:val="20"/>
                <w:szCs w:val="20"/>
              </w:rPr>
              <w:t>7.29 ± 0.52,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E0B8531" w14:textId="01B12493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C048A">
              <w:rPr>
                <w:sz w:val="20"/>
                <w:szCs w:val="20"/>
              </w:rPr>
              <w:t>P=0.1</w:t>
            </w:r>
            <w:r w:rsidR="0005299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019C0B" w14:textId="165EFBEC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C048A">
              <w:rPr>
                <w:sz w:val="20"/>
                <w:szCs w:val="20"/>
              </w:rPr>
              <w:t>P=0.2</w:t>
            </w:r>
            <w:r w:rsidR="0005299B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CC138F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822CE">
              <w:rPr>
                <w:sz w:val="20"/>
                <w:szCs w:val="20"/>
              </w:rPr>
              <w:t>6.96 ± 0.52,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172C50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822CE">
              <w:rPr>
                <w:sz w:val="20"/>
                <w:szCs w:val="20"/>
              </w:rPr>
              <w:t>7.14 ± 0.75,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0BF153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B5A87">
              <w:rPr>
                <w:sz w:val="20"/>
                <w:szCs w:val="20"/>
              </w:rPr>
              <w:t>7.31 ± 0.53,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C35C516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E3EA3">
              <w:rPr>
                <w:sz w:val="20"/>
                <w:szCs w:val="20"/>
              </w:rPr>
              <w:t>P=0.06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D69EDA" w14:textId="32988E60" w:rsidR="009D1E83" w:rsidRPr="00C501DE" w:rsidRDefault="0005299B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P=0.</w:t>
            </w:r>
            <w:r w:rsidR="009D1E83" w:rsidRPr="00AE3EA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9D1E83" w:rsidRPr="00E33FDE" w14:paraId="490D3CD7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4BFE19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Myo-inositol/H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5FF4E0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150EF">
              <w:rPr>
                <w:sz w:val="20"/>
                <w:szCs w:val="20"/>
              </w:rPr>
              <w:t>3.50 ± 0.51,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C420F84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150EF">
              <w:rPr>
                <w:sz w:val="20"/>
                <w:szCs w:val="20"/>
              </w:rPr>
              <w:t>3.49 ± 0.59,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D5A0222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150EF">
              <w:rPr>
                <w:sz w:val="20"/>
                <w:szCs w:val="20"/>
              </w:rPr>
              <w:t>3.71 ± 0.49,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110C19E" w14:textId="16E69FCB" w:rsidR="009D1E83" w:rsidRPr="00AE5C2E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AE5C2E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AE0C07C" w14:textId="43E8A72D" w:rsidR="009D1E83" w:rsidRPr="00AE5C2E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AE5C2E">
              <w:rPr>
                <w:sz w:val="20"/>
                <w:szCs w:val="20"/>
              </w:rPr>
              <w:t>P=0.2</w:t>
            </w:r>
            <w:r w:rsidR="0005299B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453913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4563F">
              <w:rPr>
                <w:sz w:val="20"/>
                <w:szCs w:val="20"/>
              </w:rPr>
              <w:t>3.47 ± 0.63,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AB7A8D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F3911">
              <w:rPr>
                <w:sz w:val="20"/>
                <w:szCs w:val="20"/>
              </w:rPr>
              <w:t>3.63 ± 0.59,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2893563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B385E">
              <w:rPr>
                <w:sz w:val="20"/>
                <w:szCs w:val="20"/>
              </w:rPr>
              <w:t>3.74 ± 0.48,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D1D95A" w14:textId="471D5B7F" w:rsidR="009D1E83" w:rsidRPr="0089198F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89198F">
              <w:rPr>
                <w:sz w:val="20"/>
                <w:szCs w:val="20"/>
              </w:rPr>
              <w:t>P=0.1</w:t>
            </w:r>
            <w:r w:rsidR="0005299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8C28FD" w14:textId="164EF0AE" w:rsidR="009D1E83" w:rsidRPr="0089198F" w:rsidRDefault="0005299B" w:rsidP="009D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</w:t>
            </w:r>
            <w:r w:rsidR="009D1E83" w:rsidRPr="0089198F">
              <w:rPr>
                <w:sz w:val="20"/>
                <w:szCs w:val="20"/>
              </w:rPr>
              <w:t>1</w:t>
            </w:r>
          </w:p>
        </w:tc>
      </w:tr>
      <w:tr w:rsidR="009D1E83" w:rsidRPr="00E33FDE" w14:paraId="32074AF3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BE3D029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Choline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B57663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646CC">
              <w:rPr>
                <w:sz w:val="20"/>
                <w:szCs w:val="20"/>
              </w:rPr>
              <w:t>1.60 ± 0.24,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58B5E01" w14:textId="77777777" w:rsidR="009D1E83" w:rsidRPr="001646CC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1646CC">
              <w:rPr>
                <w:sz w:val="20"/>
                <w:szCs w:val="20"/>
              </w:rPr>
              <w:t>1.69 ± 0.15,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A1FC04" w14:textId="77777777" w:rsidR="009D1E83" w:rsidRPr="001646CC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1646CC">
              <w:rPr>
                <w:sz w:val="20"/>
                <w:szCs w:val="20"/>
              </w:rPr>
              <w:t>1.74 ± 0.14,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74E1360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646CC">
              <w:rPr>
                <w:sz w:val="20"/>
                <w:szCs w:val="20"/>
              </w:rPr>
              <w:t>P=0.008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94A0F42" w14:textId="067388BA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646CC">
              <w:rPr>
                <w:sz w:val="20"/>
                <w:szCs w:val="20"/>
              </w:rPr>
              <w:t>P=0.4</w:t>
            </w:r>
            <w:r w:rsidR="0005299B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9383876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041C5">
              <w:rPr>
                <w:sz w:val="20"/>
                <w:szCs w:val="20"/>
              </w:rPr>
              <w:t>1.64 ± 0.23,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CDAC668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041C5">
              <w:rPr>
                <w:sz w:val="20"/>
                <w:szCs w:val="20"/>
              </w:rPr>
              <w:t>1.61 ± 0.20,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FFA5ED2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041C5">
              <w:rPr>
                <w:sz w:val="20"/>
                <w:szCs w:val="20"/>
              </w:rPr>
              <w:t>1.73 ± 0.14,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3146C5E" w14:textId="2D0B4EE0" w:rsidR="009D1E83" w:rsidRPr="004041C5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4041C5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8E0FF7" w14:textId="4161177F" w:rsidR="009D1E83" w:rsidRPr="004041C5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4041C5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05</w:t>
            </w:r>
          </w:p>
        </w:tc>
      </w:tr>
      <w:tr w:rsidR="009D1E83" w:rsidRPr="00E33FDE" w14:paraId="51015E56" w14:textId="77777777" w:rsidTr="009D1E83">
        <w:trPr>
          <w:trHeight w:val="372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D32C69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33FDE">
              <w:rPr>
                <w:b/>
                <w:sz w:val="20"/>
                <w:szCs w:val="20"/>
              </w:rPr>
              <w:t>PCr+Cr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C5B93B5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28C0">
              <w:rPr>
                <w:sz w:val="20"/>
                <w:szCs w:val="20"/>
              </w:rPr>
              <w:t>5.33 ± 0.62, (18)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03E5F3E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28C0">
              <w:rPr>
                <w:sz w:val="20"/>
                <w:szCs w:val="20"/>
              </w:rPr>
              <w:t>5.66 ± 0.40,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3D8BB39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28C0">
              <w:rPr>
                <w:sz w:val="20"/>
                <w:szCs w:val="20"/>
              </w:rPr>
              <w:t>5.60 ±0.31, (32)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C932A30" w14:textId="5376A4A0" w:rsidR="009D1E83" w:rsidRPr="003228C0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3228C0">
              <w:rPr>
                <w:sz w:val="20"/>
                <w:szCs w:val="20"/>
              </w:rPr>
              <w:t>P=0.0</w:t>
            </w:r>
            <w:r w:rsidR="0005299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C63AEC" w14:textId="6A27E003" w:rsidR="009D1E83" w:rsidRPr="003228C0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3228C0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53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3CF2E26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2445">
              <w:rPr>
                <w:sz w:val="20"/>
                <w:szCs w:val="20"/>
              </w:rPr>
              <w:t>5.45 ± 0.59,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E2A4D69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D480B">
              <w:rPr>
                <w:sz w:val="20"/>
                <w:szCs w:val="20"/>
              </w:rPr>
              <w:t>5.47 ± 0.76, (9)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E8744F" w14:textId="77777777" w:rsidR="009D1E83" w:rsidRPr="00C501DE" w:rsidRDefault="009D1E83" w:rsidP="009D1E8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22445">
              <w:rPr>
                <w:sz w:val="20"/>
                <w:szCs w:val="20"/>
              </w:rPr>
              <w:t>5.58 ± 0.32, (29)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BC2D943" w14:textId="60892B61" w:rsidR="009D1E83" w:rsidRPr="00B926D2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B926D2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D159BA8" w14:textId="1D1E7AA4" w:rsidR="009D1E83" w:rsidRPr="00B926D2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B926D2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66</w:t>
            </w:r>
          </w:p>
        </w:tc>
      </w:tr>
      <w:tr w:rsidR="009D1E83" w:rsidRPr="00E33FDE" w14:paraId="11A009F2" w14:textId="77777777" w:rsidTr="00195128">
        <w:trPr>
          <w:trHeight w:val="559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C8CEF12" w14:textId="77777777" w:rsidR="009D1E83" w:rsidRPr="002D2F4D" w:rsidRDefault="009D1E83" w:rsidP="00195128">
            <w:pPr>
              <w:spacing w:after="0" w:line="240" w:lineRule="auto"/>
              <w:rPr>
                <w:b/>
                <w:i/>
                <w:color w:val="404040" w:themeColor="text1" w:themeTint="BF"/>
                <w:sz w:val="20"/>
                <w:szCs w:val="20"/>
              </w:rPr>
            </w:pPr>
            <w:r w:rsidRPr="00B9572C">
              <w:rPr>
                <w:b/>
                <w:i/>
                <w:color w:val="404040" w:themeColor="text1" w:themeTint="BF"/>
                <w:sz w:val="24"/>
                <w:szCs w:val="24"/>
              </w:rPr>
              <w:t>ACC</w:t>
            </w:r>
            <w:r>
              <w:rPr>
                <w:b/>
                <w:i/>
                <w:color w:val="404040" w:themeColor="text1" w:themeTint="BF"/>
                <w:sz w:val="24"/>
                <w:szCs w:val="24"/>
                <w:vertAlign w:val="superscript"/>
              </w:rPr>
              <w:t>B</w:t>
            </w:r>
          </w:p>
          <w:p w14:paraId="05BC599D" w14:textId="77777777" w:rsidR="009D1E83" w:rsidRPr="00085AAB" w:rsidRDefault="009D1E83" w:rsidP="001951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>Baseline levels</w:t>
            </w:r>
            <w:r w:rsidRPr="00B9572C">
              <w:rPr>
                <w:b/>
                <w:i/>
                <w:color w:val="404040" w:themeColor="text1" w:themeTint="BF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5C687DF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C573374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85DC0E2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FBD6C7A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0F75E03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CDE5CD4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99BEC49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0DC47A00" w14:textId="77777777" w:rsidR="009D1E83" w:rsidRPr="00C501DE" w:rsidRDefault="009D1E83" w:rsidP="00195128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588FE6F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395B726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9D1E83" w:rsidRPr="00E33FDE" w14:paraId="613410C5" w14:textId="77777777" w:rsidTr="009D1E83">
        <w:trPr>
          <w:trHeight w:val="485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AA33EC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Glutamate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396C89C" w14:textId="77777777" w:rsidR="009D1E83" w:rsidRPr="00F65072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F65072">
              <w:rPr>
                <w:sz w:val="20"/>
                <w:szCs w:val="20"/>
              </w:rPr>
              <w:t>7.82 ± 0.94, (17)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9B0DBE" w14:textId="77777777" w:rsidR="009D1E83" w:rsidRPr="00F65072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F65072">
              <w:rPr>
                <w:sz w:val="20"/>
                <w:szCs w:val="20"/>
              </w:rPr>
              <w:t>8.32 ± 0.52, (11)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6B22A4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F65072">
              <w:rPr>
                <w:sz w:val="20"/>
                <w:szCs w:val="20"/>
              </w:rPr>
              <w:t>8.14 ± 0.51, (35)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E1CC7B8" w14:textId="55D02C08" w:rsidR="009D1E83" w:rsidRPr="00F65072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F65072">
              <w:rPr>
                <w:sz w:val="20"/>
                <w:szCs w:val="20"/>
              </w:rPr>
              <w:t>P=0.1</w:t>
            </w:r>
            <w:r w:rsidR="0005299B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26A508" w14:textId="6C086164" w:rsidR="009D1E83" w:rsidRPr="00F65072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F65072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55</w:t>
            </w: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95C673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40590">
              <w:rPr>
                <w:sz w:val="20"/>
                <w:szCs w:val="20"/>
              </w:rPr>
              <w:t>8.04 ± 0.70, (15)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EAF982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40590">
              <w:rPr>
                <w:sz w:val="20"/>
                <w:szCs w:val="20"/>
              </w:rPr>
              <w:t>8.18 ± 0.67, (8)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7292FD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74E0A">
              <w:rPr>
                <w:sz w:val="20"/>
                <w:szCs w:val="20"/>
              </w:rPr>
              <w:t>8.11 ± 0.51, (32)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97DFEE6" w14:textId="63A1FA11" w:rsidR="009D1E83" w:rsidRPr="00F33EAC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F33EAC">
              <w:rPr>
                <w:sz w:val="20"/>
                <w:szCs w:val="20"/>
              </w:rPr>
              <w:t>P=0.7</w:t>
            </w:r>
            <w:r w:rsidR="0005299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1A8BBA9" w14:textId="688DE95C" w:rsidR="009D1E83" w:rsidRPr="00F33EAC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F33EAC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84</w:t>
            </w:r>
          </w:p>
        </w:tc>
      </w:tr>
      <w:tr w:rsidR="009D1E83" w:rsidRPr="00E33FDE" w14:paraId="0AC5A88C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5742F42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Glx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545BAB5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D7DE4">
              <w:rPr>
                <w:sz w:val="20"/>
                <w:szCs w:val="20"/>
              </w:rPr>
              <w:t>10.34 ± 1.25,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0F18B9C1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D7DE4">
              <w:rPr>
                <w:sz w:val="20"/>
                <w:szCs w:val="20"/>
              </w:rPr>
              <w:t>11.07 ± 1.05,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29AC84D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D7DE4">
              <w:rPr>
                <w:sz w:val="20"/>
                <w:szCs w:val="20"/>
              </w:rPr>
              <w:t>10.67 ± 0.91,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7030BBD" w14:textId="790AF46F" w:rsidR="009D1E83" w:rsidRPr="0011706D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11706D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57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5AE61C5D" w14:textId="05BA25DC" w:rsidR="009D1E83" w:rsidRPr="0011706D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11706D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39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48DAF94C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4363B">
              <w:rPr>
                <w:sz w:val="20"/>
                <w:szCs w:val="20"/>
              </w:rPr>
              <w:t>10.73 ± 0.75,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139AA677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4363B">
              <w:rPr>
                <w:sz w:val="20"/>
                <w:szCs w:val="20"/>
              </w:rPr>
              <w:t>10.90 ± 1.33,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2EF0CC25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4363B">
              <w:rPr>
                <w:sz w:val="20"/>
                <w:szCs w:val="20"/>
              </w:rPr>
              <w:t>10.59 ± 0.89,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66D461A9" w14:textId="212F6169" w:rsidR="009D1E83" w:rsidRPr="0044363B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44363B">
              <w:rPr>
                <w:sz w:val="20"/>
                <w:szCs w:val="20"/>
              </w:rPr>
              <w:t>P=0.6</w:t>
            </w:r>
            <w:r w:rsidR="0005299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</w:tcPr>
          <w:p w14:paraId="7CB36F66" w14:textId="18975556" w:rsidR="009D1E83" w:rsidRPr="0044363B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44363B">
              <w:rPr>
                <w:sz w:val="20"/>
                <w:szCs w:val="20"/>
              </w:rPr>
              <w:t>P=0.4</w:t>
            </w:r>
            <w:r w:rsidR="0005299B">
              <w:rPr>
                <w:sz w:val="20"/>
                <w:szCs w:val="20"/>
              </w:rPr>
              <w:t>7</w:t>
            </w:r>
          </w:p>
        </w:tc>
      </w:tr>
      <w:tr w:rsidR="009D1E83" w:rsidRPr="00E33FDE" w14:paraId="51F4F56F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DFCC83" w14:textId="77777777" w:rsidR="009D1E83" w:rsidRPr="00E33FDE" w:rsidRDefault="009D1E83" w:rsidP="009D1E83">
            <w:pPr>
              <w:spacing w:after="0" w:line="240" w:lineRule="auto"/>
              <w:rPr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Gln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3B5ACA2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329C2">
              <w:rPr>
                <w:sz w:val="20"/>
                <w:szCs w:val="20"/>
              </w:rPr>
              <w:t>2.63 ± 0.52,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ACA408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329C2">
              <w:rPr>
                <w:sz w:val="20"/>
                <w:szCs w:val="20"/>
              </w:rPr>
              <w:t>3.04 ± 0.63, (8)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91DB74D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329C2">
              <w:rPr>
                <w:sz w:val="20"/>
                <w:szCs w:val="20"/>
              </w:rPr>
              <w:t>2.78 ± 0.41, (26)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40DCA21" w14:textId="4C5346C8" w:rsidR="009D1E83" w:rsidRPr="004329C2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4329C2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70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1046EE" w14:textId="7987DBAC" w:rsidR="009D1E83" w:rsidRPr="004329C2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4329C2">
              <w:rPr>
                <w:sz w:val="20"/>
                <w:szCs w:val="20"/>
              </w:rPr>
              <w:t>P=0.2</w:t>
            </w:r>
            <w:r w:rsidR="0005299B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B7DE45C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F3F7A">
              <w:rPr>
                <w:sz w:val="20"/>
                <w:szCs w:val="20"/>
              </w:rPr>
              <w:t>2.69 ± 0.51,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AE9DB3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F3F7A">
              <w:rPr>
                <w:sz w:val="20"/>
                <w:szCs w:val="20"/>
              </w:rPr>
              <w:t>2.83 ± 0.72, (7)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0E4B4AA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063DC">
              <w:rPr>
                <w:sz w:val="20"/>
                <w:szCs w:val="20"/>
              </w:rPr>
              <w:t>2.75 ± 0.40, (23)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F3D965" w14:textId="252C1656" w:rsidR="009D1E83" w:rsidRPr="00B063DC" w:rsidRDefault="009D1E83" w:rsidP="001951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063DC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5E7A013" w14:textId="6A154497" w:rsidR="009D1E83" w:rsidRPr="00B063DC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B063DC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6</w:t>
            </w:r>
            <w:r w:rsidRPr="00B063DC">
              <w:rPr>
                <w:sz w:val="20"/>
                <w:szCs w:val="20"/>
              </w:rPr>
              <w:t>7</w:t>
            </w:r>
          </w:p>
        </w:tc>
      </w:tr>
      <w:tr w:rsidR="009D1E83" w:rsidRPr="00E33FDE" w14:paraId="5CF360A1" w14:textId="77777777" w:rsidTr="00195128">
        <w:trPr>
          <w:trHeight w:val="541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D7878F8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NAA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1C58D2C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251">
              <w:rPr>
                <w:sz w:val="20"/>
                <w:szCs w:val="20"/>
              </w:rPr>
              <w:t>6.47 ± 0.34,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2C5AAFA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251">
              <w:rPr>
                <w:sz w:val="20"/>
                <w:szCs w:val="20"/>
              </w:rPr>
              <w:t>6.57 ± 0.26,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43CF212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D4A96">
              <w:rPr>
                <w:sz w:val="20"/>
                <w:szCs w:val="20"/>
              </w:rPr>
              <w:t>6.62 ± 0.25,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1F4754" w14:textId="56BEB579" w:rsidR="009D1E83" w:rsidRPr="006D4A96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6D4A96">
              <w:rPr>
                <w:sz w:val="20"/>
                <w:szCs w:val="20"/>
              </w:rPr>
              <w:t>P=0.0</w:t>
            </w:r>
            <w:r w:rsidR="0005299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8000A21" w14:textId="048C876F" w:rsidR="009D1E83" w:rsidRPr="006D4A96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6D4A96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73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49158B3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F5488">
              <w:rPr>
                <w:sz w:val="20"/>
                <w:szCs w:val="20"/>
              </w:rPr>
              <w:t>6.42 ± 0.30,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049FA8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F5488">
              <w:rPr>
                <w:sz w:val="20"/>
                <w:szCs w:val="20"/>
              </w:rPr>
              <w:t>6.53 ± 0.22,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76DE350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F5488">
              <w:rPr>
                <w:sz w:val="20"/>
                <w:szCs w:val="20"/>
              </w:rPr>
              <w:t>6.60 ± 0.23,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DB625E4" w14:textId="77777777" w:rsidR="009D1E83" w:rsidRPr="00C9605A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C9605A">
              <w:rPr>
                <w:sz w:val="20"/>
                <w:szCs w:val="20"/>
              </w:rPr>
              <w:t>P=0.02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FD86DA6" w14:textId="77777777" w:rsidR="009D1E83" w:rsidRPr="00C9605A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C9605A">
              <w:rPr>
                <w:sz w:val="20"/>
                <w:szCs w:val="20"/>
              </w:rPr>
              <w:t>P=0.48</w:t>
            </w:r>
          </w:p>
        </w:tc>
      </w:tr>
      <w:tr w:rsidR="009D1E83" w:rsidRPr="00E33FDE" w14:paraId="70577470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FCEECE8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Myo-inositol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0637A1D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E2BDE">
              <w:rPr>
                <w:sz w:val="20"/>
                <w:szCs w:val="20"/>
              </w:rPr>
              <w:t>4.39 ± 0.41,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35091DD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E2BDE">
              <w:rPr>
                <w:sz w:val="20"/>
                <w:szCs w:val="20"/>
              </w:rPr>
              <w:t>4.45 ± 0.26,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4F89146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04429">
              <w:rPr>
                <w:sz w:val="20"/>
                <w:szCs w:val="20"/>
              </w:rPr>
              <w:t>4.46 ± 0.34,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EE9D091" w14:textId="5D2FCA96" w:rsidR="009D1E83" w:rsidRPr="00604429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604429">
              <w:rPr>
                <w:sz w:val="20"/>
                <w:szCs w:val="20"/>
              </w:rPr>
              <w:t>P=0.4</w:t>
            </w:r>
            <w:r w:rsidR="0005299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F335F8" w14:textId="6286B914" w:rsidR="009D1E83" w:rsidRPr="00604429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604429">
              <w:rPr>
                <w:sz w:val="20"/>
                <w:szCs w:val="20"/>
              </w:rPr>
              <w:t>P=0.9</w:t>
            </w:r>
            <w:r w:rsidR="0005299B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F6A6F7E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B6E5A">
              <w:rPr>
                <w:sz w:val="20"/>
                <w:szCs w:val="20"/>
              </w:rPr>
              <w:t>4.28 ± 0.36,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1440D1E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B6E5A">
              <w:rPr>
                <w:sz w:val="20"/>
                <w:szCs w:val="20"/>
              </w:rPr>
              <w:t>4.57 ± 0.33,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AB7F14A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B6E5A">
              <w:rPr>
                <w:sz w:val="20"/>
                <w:szCs w:val="20"/>
              </w:rPr>
              <w:t>4.48 ± 0.36,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B0A954" w14:textId="77777777" w:rsidR="009D1E83" w:rsidRPr="00152A0A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152A0A">
              <w:rPr>
                <w:sz w:val="20"/>
                <w:szCs w:val="20"/>
              </w:rPr>
              <w:t>P=0.09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D5CE8AF" w14:textId="2217F781" w:rsidR="009D1E83" w:rsidRPr="00152A0A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152A0A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41</w:t>
            </w:r>
          </w:p>
        </w:tc>
      </w:tr>
      <w:tr w:rsidR="009D1E83" w:rsidRPr="00E33FDE" w14:paraId="4BD21AE4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1AD80F" w14:textId="77777777" w:rsidR="009D1E83" w:rsidRPr="00E33FDE" w:rsidRDefault="009D1E83" w:rsidP="009D1E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Choline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EDF9C87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030E7">
              <w:rPr>
                <w:sz w:val="20"/>
                <w:szCs w:val="20"/>
              </w:rPr>
              <w:t>1.44 ± 0.16,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84C228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030E7">
              <w:rPr>
                <w:sz w:val="20"/>
                <w:szCs w:val="20"/>
              </w:rPr>
              <w:t>1.49 ± 0.12,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7194D94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50C35">
              <w:rPr>
                <w:sz w:val="20"/>
                <w:szCs w:val="20"/>
              </w:rPr>
              <w:t>1.53 ± 0.12,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0C1E077" w14:textId="24BDE3F7" w:rsidR="009D1E83" w:rsidRPr="00450C35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450C35">
              <w:rPr>
                <w:sz w:val="20"/>
                <w:szCs w:val="20"/>
              </w:rPr>
              <w:t>P=0.0</w:t>
            </w:r>
            <w:r w:rsidR="0005299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8CCE375" w14:textId="77777777" w:rsidR="009D1E83" w:rsidRPr="00450C35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450C35">
              <w:rPr>
                <w:sz w:val="20"/>
                <w:szCs w:val="20"/>
              </w:rPr>
              <w:t>P=0.35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73F027A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FFD">
              <w:rPr>
                <w:sz w:val="20"/>
                <w:szCs w:val="20"/>
              </w:rPr>
              <w:t>1.43 ± 0.16,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74EEFA3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CC4FFD">
              <w:rPr>
                <w:sz w:val="20"/>
                <w:szCs w:val="20"/>
              </w:rPr>
              <w:t>1.49 ± 0.10,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A4C40F1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25DBE">
              <w:rPr>
                <w:sz w:val="20"/>
                <w:szCs w:val="20"/>
              </w:rPr>
              <w:t>1.53 ± 0.13,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6439CA" w14:textId="7B7C7433" w:rsidR="009D1E83" w:rsidRPr="009113CA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9113CA">
              <w:rPr>
                <w:sz w:val="20"/>
                <w:szCs w:val="20"/>
              </w:rPr>
              <w:t>P=0.0</w:t>
            </w:r>
            <w:r w:rsidR="0005299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209C4DE" w14:textId="610E65B3" w:rsidR="009D1E83" w:rsidRPr="009113CA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9113CA">
              <w:rPr>
                <w:sz w:val="20"/>
                <w:szCs w:val="20"/>
              </w:rPr>
              <w:t>P=0.4</w:t>
            </w:r>
            <w:r w:rsidR="0005299B">
              <w:rPr>
                <w:sz w:val="20"/>
                <w:szCs w:val="20"/>
              </w:rPr>
              <w:t>4</w:t>
            </w:r>
          </w:p>
        </w:tc>
      </w:tr>
      <w:tr w:rsidR="009D1E83" w:rsidRPr="00E33FDE" w14:paraId="793C97C1" w14:textId="77777777" w:rsidTr="009D1E83">
        <w:trPr>
          <w:trHeight w:val="254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5E770B" w14:textId="77777777" w:rsidR="009D1E83" w:rsidRPr="00E33FDE" w:rsidRDefault="009D1E83" w:rsidP="00195128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33FDE">
              <w:rPr>
                <w:b/>
                <w:sz w:val="20"/>
                <w:szCs w:val="20"/>
              </w:rPr>
              <w:t>PCr+Cr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09C627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661FE">
              <w:rPr>
                <w:sz w:val="20"/>
                <w:szCs w:val="20"/>
              </w:rPr>
              <w:t>5.31 ± 0.28, (17)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F0381E2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51C43">
              <w:rPr>
                <w:sz w:val="20"/>
                <w:szCs w:val="20"/>
              </w:rPr>
              <w:t>5.39 ± 0.19, (11)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9AB263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51C43">
              <w:rPr>
                <w:sz w:val="20"/>
                <w:szCs w:val="20"/>
              </w:rPr>
              <w:t>5.28 ± 0.25, (35)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DBA6BEF" w14:textId="448C3276" w:rsidR="009D1E83" w:rsidRPr="00851C43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851C43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74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3CBA64A" w14:textId="1C3934C7" w:rsidR="009D1E83" w:rsidRPr="00851C43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851C43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6B71F1A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43FB">
              <w:rPr>
                <w:sz w:val="20"/>
                <w:szCs w:val="20"/>
              </w:rPr>
              <w:t>5.31 ± 0.27, (15)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A310774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43FB">
              <w:rPr>
                <w:sz w:val="20"/>
                <w:szCs w:val="20"/>
              </w:rPr>
              <w:t>5.31 ± 0.19, (8)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F7D344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43FB">
              <w:rPr>
                <w:sz w:val="20"/>
                <w:szCs w:val="20"/>
              </w:rPr>
              <w:t>5.25 ± 0.24, (32)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F70C7A6" w14:textId="10536D67" w:rsidR="009D1E83" w:rsidRPr="00A043FB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A043FB">
              <w:rPr>
                <w:sz w:val="20"/>
                <w:szCs w:val="20"/>
              </w:rPr>
              <w:t>P=0.4</w:t>
            </w:r>
            <w:r w:rsidR="0005299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4A7ED04" w14:textId="30312EAB" w:rsidR="009D1E83" w:rsidRPr="00A043FB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A043FB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47</w:t>
            </w:r>
          </w:p>
        </w:tc>
      </w:tr>
      <w:tr w:rsidR="009D1E83" w:rsidRPr="00E33FDE" w14:paraId="290DB1CD" w14:textId="77777777" w:rsidTr="00195128">
        <w:trPr>
          <w:trHeight w:val="572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496B722" w14:textId="77777777" w:rsidR="009D1E83" w:rsidRPr="00B9572C" w:rsidRDefault="009D1E83" w:rsidP="00195128">
            <w:pPr>
              <w:spacing w:after="0" w:line="240" w:lineRule="auto"/>
              <w:rPr>
                <w:b/>
                <w:i/>
                <w:color w:val="404040" w:themeColor="text1" w:themeTint="BF"/>
                <w:sz w:val="24"/>
                <w:szCs w:val="24"/>
                <w:vertAlign w:val="subscript"/>
              </w:rPr>
            </w:pPr>
            <w:r w:rsidRPr="00B9572C">
              <w:rPr>
                <w:b/>
                <w:i/>
                <w:color w:val="404040" w:themeColor="text1" w:themeTint="BF"/>
                <w:sz w:val="24"/>
                <w:szCs w:val="24"/>
              </w:rPr>
              <w:lastRenderedPageBreak/>
              <w:t>ACC</w:t>
            </w:r>
            <w:r>
              <w:rPr>
                <w:b/>
                <w:i/>
                <w:color w:val="404040" w:themeColor="text1" w:themeTint="BF"/>
                <w:sz w:val="24"/>
                <w:szCs w:val="24"/>
                <w:vertAlign w:val="superscript"/>
              </w:rPr>
              <w:t>C</w:t>
            </w:r>
          </w:p>
          <w:p w14:paraId="44FC5C1B" w14:textId="77777777" w:rsidR="009D1E83" w:rsidRPr="00085AAB" w:rsidRDefault="009D1E83" w:rsidP="0019512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2683">
              <w:rPr>
                <w:b/>
                <w:i/>
                <w:color w:val="404040" w:themeColor="text1" w:themeTint="BF"/>
                <w:sz w:val="20"/>
                <w:szCs w:val="20"/>
              </w:rPr>
              <w:t>Baseline levels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0665FF6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127C2647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3FD53754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1B85A91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87770B3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292B5EF7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7FE6FEB2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BC5F21E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53E641B0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8" w:space="0" w:color="808080"/>
              <w:right w:val="single" w:sz="12" w:space="0" w:color="FFFFFF"/>
            </w:tcBorders>
            <w:shd w:val="clear" w:color="auto" w:fill="auto"/>
          </w:tcPr>
          <w:p w14:paraId="4372E025" w14:textId="77777777" w:rsidR="009D1E83" w:rsidRPr="00E33FDE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E83" w:rsidRPr="00E33FDE" w14:paraId="6AD2B81A" w14:textId="77777777" w:rsidTr="00195128">
        <w:trPr>
          <w:trHeight w:val="559"/>
        </w:trPr>
        <w:tc>
          <w:tcPr>
            <w:tcW w:w="1844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D6ACE75" w14:textId="77777777" w:rsidR="009D1E83" w:rsidRPr="00E33FDE" w:rsidRDefault="009D1E83" w:rsidP="00195128">
            <w:pPr>
              <w:spacing w:after="0" w:line="360" w:lineRule="auto"/>
              <w:rPr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GABA</w:t>
            </w:r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57F0ED5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A3B4F">
              <w:rPr>
                <w:sz w:val="20"/>
                <w:szCs w:val="20"/>
              </w:rPr>
              <w:t>1.80 ± 0.19, (11)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668E14A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A3B4F">
              <w:rPr>
                <w:sz w:val="20"/>
                <w:szCs w:val="20"/>
              </w:rPr>
              <w:t>1.78 ± 0.40, (8)</w:t>
            </w:r>
          </w:p>
        </w:tc>
        <w:tc>
          <w:tcPr>
            <w:tcW w:w="184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0979A8B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A3B4F">
              <w:rPr>
                <w:sz w:val="20"/>
                <w:szCs w:val="20"/>
              </w:rPr>
              <w:t>1.91 ± 0.20, (31)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31084FC" w14:textId="79E7B964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86CF6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BCAA41F" w14:textId="6B1118FB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86CF6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806FFC4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F207B">
              <w:rPr>
                <w:sz w:val="20"/>
                <w:szCs w:val="20"/>
              </w:rPr>
              <w:t>1.75 ± 0.23, (8)</w:t>
            </w:r>
          </w:p>
        </w:tc>
        <w:tc>
          <w:tcPr>
            <w:tcW w:w="1701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F8EFF7B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F207B">
              <w:rPr>
                <w:sz w:val="20"/>
                <w:szCs w:val="20"/>
              </w:rPr>
              <w:t>1.89 ± 0.17, (5)</w:t>
            </w:r>
          </w:p>
        </w:tc>
        <w:tc>
          <w:tcPr>
            <w:tcW w:w="184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BEC067F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F207B">
              <w:rPr>
                <w:sz w:val="20"/>
                <w:szCs w:val="20"/>
              </w:rPr>
              <w:t>1.91 ± 0.19, (28)</w:t>
            </w:r>
          </w:p>
        </w:tc>
        <w:tc>
          <w:tcPr>
            <w:tcW w:w="993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8C216DF" w14:textId="69D82DC9" w:rsidR="009D1E83" w:rsidRPr="001F207B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1F207B">
              <w:rPr>
                <w:sz w:val="20"/>
                <w:szCs w:val="20"/>
              </w:rPr>
              <w:t>P=0.04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F42F99" w14:textId="248AD432" w:rsidR="009D1E83" w:rsidRPr="001F207B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1F207B">
              <w:rPr>
                <w:sz w:val="20"/>
                <w:szCs w:val="20"/>
              </w:rPr>
              <w:t>P=0.8</w:t>
            </w:r>
            <w:r w:rsidR="0005299B">
              <w:rPr>
                <w:sz w:val="20"/>
                <w:szCs w:val="20"/>
              </w:rPr>
              <w:t>9</w:t>
            </w:r>
          </w:p>
        </w:tc>
      </w:tr>
      <w:tr w:rsidR="009D1E83" w:rsidRPr="00E33FDE" w14:paraId="7C005A76" w14:textId="77777777" w:rsidTr="00195128">
        <w:trPr>
          <w:trHeight w:val="559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0EDAE24" w14:textId="77777777" w:rsidR="009D1E83" w:rsidRPr="00E33FDE" w:rsidRDefault="009D1E83" w:rsidP="0019512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Glx/H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293E55C0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0280">
              <w:rPr>
                <w:sz w:val="20"/>
                <w:szCs w:val="20"/>
              </w:rPr>
              <w:t>7.86 ± 1.12, (11)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76C62D7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50280">
              <w:rPr>
                <w:sz w:val="20"/>
                <w:szCs w:val="20"/>
              </w:rPr>
              <w:t>8.14 ± 1.12, (8)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418C5DE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31D32">
              <w:rPr>
                <w:sz w:val="20"/>
                <w:szCs w:val="20"/>
              </w:rPr>
              <w:t>8.62 ± 0.67, (31)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56BC7D6" w14:textId="15C2B65E" w:rsidR="009D1E83" w:rsidRPr="00131D32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131D32">
              <w:rPr>
                <w:sz w:val="20"/>
                <w:szCs w:val="20"/>
              </w:rPr>
              <w:t>P=0.0</w:t>
            </w:r>
            <w:r w:rsidR="0005299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2DE560D" w14:textId="11952D07" w:rsidR="009D1E83" w:rsidRPr="00131D32" w:rsidRDefault="009D1E83" w:rsidP="0005299B">
            <w:pPr>
              <w:spacing w:after="0" w:line="240" w:lineRule="auto"/>
              <w:rPr>
                <w:sz w:val="20"/>
                <w:szCs w:val="20"/>
              </w:rPr>
            </w:pPr>
            <w:r w:rsidRPr="00131D32">
              <w:rPr>
                <w:sz w:val="20"/>
                <w:szCs w:val="20"/>
              </w:rPr>
              <w:t>P=0.1</w:t>
            </w:r>
            <w:r w:rsidR="0005299B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66980D8F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B3513">
              <w:rPr>
                <w:sz w:val="20"/>
                <w:szCs w:val="20"/>
              </w:rPr>
              <w:t>8.44 ± 0.60, (8)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724D02CF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B3513">
              <w:rPr>
                <w:sz w:val="20"/>
                <w:szCs w:val="20"/>
              </w:rPr>
              <w:t>8.29 ± 0.75, (5)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F71B391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B3513">
              <w:rPr>
                <w:sz w:val="20"/>
                <w:szCs w:val="20"/>
              </w:rPr>
              <w:t>8.58 ± 0.64, (28)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1802789A" w14:textId="79576F9B" w:rsidR="009D1E83" w:rsidRPr="003B3513" w:rsidRDefault="0005299B" w:rsidP="00195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P=0.66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31D964E4" w14:textId="2216D626" w:rsidR="009D1E83" w:rsidRPr="003B3513" w:rsidRDefault="009D1E83" w:rsidP="00195128">
            <w:pPr>
              <w:spacing w:after="0" w:line="240" w:lineRule="auto"/>
              <w:rPr>
                <w:sz w:val="20"/>
                <w:szCs w:val="20"/>
              </w:rPr>
            </w:pPr>
            <w:r w:rsidRPr="003B3513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28</w:t>
            </w:r>
          </w:p>
        </w:tc>
      </w:tr>
      <w:tr w:rsidR="009D1E83" w:rsidRPr="00E33FDE" w14:paraId="3C98969E" w14:textId="77777777" w:rsidTr="00195128">
        <w:trPr>
          <w:trHeight w:val="572"/>
        </w:trPr>
        <w:tc>
          <w:tcPr>
            <w:tcW w:w="1844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349B66B1" w14:textId="77777777" w:rsidR="009D1E83" w:rsidRPr="00E33FDE" w:rsidRDefault="009D1E83" w:rsidP="00195128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33FD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E33FDE">
              <w:rPr>
                <w:b/>
                <w:sz w:val="20"/>
                <w:szCs w:val="20"/>
              </w:rPr>
              <w:t>PCr+Cr</w:t>
            </w:r>
            <w:proofErr w:type="spellEnd"/>
            <w:r>
              <w:rPr>
                <w:b/>
                <w:sz w:val="20"/>
                <w:szCs w:val="20"/>
              </w:rPr>
              <w:t>/H</w:t>
            </w:r>
            <w:r w:rsidRPr="00C15454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8BF57A9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F54FA">
              <w:rPr>
                <w:sz w:val="20"/>
                <w:szCs w:val="20"/>
              </w:rPr>
              <w:t>11.21 ± 0.51, (11)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F92D38C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F54FA">
              <w:rPr>
                <w:sz w:val="20"/>
                <w:szCs w:val="20"/>
              </w:rPr>
              <w:t>10.97 ± 0.70, (8)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ECA83F0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F54FA">
              <w:rPr>
                <w:sz w:val="20"/>
                <w:szCs w:val="20"/>
              </w:rPr>
              <w:t>10.90 ± 0.66, (31)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A34858C" w14:textId="7FB9D87F" w:rsidR="009D1E83" w:rsidRPr="00C501DE" w:rsidRDefault="009D1E83" w:rsidP="0005299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F54FA">
              <w:rPr>
                <w:sz w:val="20"/>
                <w:szCs w:val="20"/>
              </w:rPr>
              <w:t>P=0.</w:t>
            </w:r>
            <w:r w:rsidR="0005299B">
              <w:rPr>
                <w:sz w:val="20"/>
                <w:szCs w:val="20"/>
              </w:rPr>
              <w:t>26</w:t>
            </w:r>
          </w:p>
        </w:tc>
        <w:tc>
          <w:tcPr>
            <w:tcW w:w="958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BF43355" w14:textId="402C8482" w:rsidR="009D1E83" w:rsidRPr="00C501DE" w:rsidRDefault="0005299B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P=0.</w:t>
            </w:r>
            <w:r w:rsidR="009D1E83" w:rsidRPr="009F54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2623E29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87133">
              <w:rPr>
                <w:sz w:val="20"/>
                <w:szCs w:val="20"/>
              </w:rPr>
              <w:t>11.05 ± 0.52, (8)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6DF79584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87133">
              <w:rPr>
                <w:sz w:val="20"/>
                <w:szCs w:val="20"/>
              </w:rPr>
              <w:t>10.83 ± 0.60, (5)</w:t>
            </w:r>
          </w:p>
        </w:tc>
        <w:tc>
          <w:tcPr>
            <w:tcW w:w="184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4E2FD500" w14:textId="77777777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A7AC4">
              <w:rPr>
                <w:sz w:val="20"/>
                <w:szCs w:val="20"/>
              </w:rPr>
              <w:t>10.85 ± 0.63, (28)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1C0B3825" w14:textId="767F4983" w:rsidR="009D1E83" w:rsidRPr="00C501DE" w:rsidRDefault="0005299B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P=0.3</w:t>
            </w:r>
            <w:r w:rsidR="009D1E83" w:rsidRPr="001A7AC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8" w:space="0" w:color="auto"/>
              <w:right w:val="single" w:sz="12" w:space="0" w:color="FFFFFF"/>
            </w:tcBorders>
            <w:shd w:val="clear" w:color="auto" w:fill="auto"/>
          </w:tcPr>
          <w:p w14:paraId="7575A06E" w14:textId="4936BAAE" w:rsidR="009D1E83" w:rsidRPr="00C501DE" w:rsidRDefault="009D1E83" w:rsidP="0019512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A7AC4">
              <w:rPr>
                <w:sz w:val="20"/>
                <w:szCs w:val="20"/>
              </w:rPr>
              <w:t>P=0.9</w:t>
            </w:r>
            <w:r w:rsidR="0005299B">
              <w:rPr>
                <w:sz w:val="20"/>
                <w:szCs w:val="20"/>
              </w:rPr>
              <w:t>6</w:t>
            </w:r>
          </w:p>
        </w:tc>
      </w:tr>
    </w:tbl>
    <w:p w14:paraId="44D71293" w14:textId="77777777" w:rsidR="009D1E83" w:rsidRDefault="009D1E83" w:rsidP="009D1E83">
      <w:pPr>
        <w:spacing w:after="0" w:line="240" w:lineRule="auto"/>
        <w:rPr>
          <w:sz w:val="20"/>
          <w:szCs w:val="20"/>
        </w:rPr>
      </w:pPr>
      <w:r w:rsidRPr="005E1DDA">
        <w:rPr>
          <w:sz w:val="20"/>
          <w:szCs w:val="20"/>
        </w:rPr>
        <w:t xml:space="preserve">Table S12 shows </w:t>
      </w:r>
      <w:r w:rsidRPr="005E1DDA">
        <w:rPr>
          <w:rFonts w:cs="Arial"/>
          <w:sz w:val="20"/>
          <w:szCs w:val="20"/>
        </w:rPr>
        <w:t>metabolite levels</w:t>
      </w:r>
      <w:r>
        <w:rPr>
          <w:rFonts w:cs="Arial"/>
          <w:sz w:val="20"/>
          <w:szCs w:val="20"/>
        </w:rPr>
        <w:t xml:space="preserve"> scaled to water as reported in the output from </w:t>
      </w:r>
      <w:proofErr w:type="spellStart"/>
      <w:r>
        <w:rPr>
          <w:rFonts w:cs="Arial"/>
          <w:sz w:val="20"/>
          <w:szCs w:val="20"/>
        </w:rPr>
        <w:t>LCModel</w:t>
      </w:r>
      <w:proofErr w:type="spellEnd"/>
      <w:r>
        <w:rPr>
          <w:rFonts w:cs="Arial"/>
          <w:sz w:val="20"/>
          <w:szCs w:val="20"/>
        </w:rPr>
        <w:t xml:space="preserve"> and Gannet. </w:t>
      </w:r>
    </w:p>
    <w:p w14:paraId="09F06FD1" w14:textId="4086793D" w:rsidR="009D1E83" w:rsidRPr="00527528" w:rsidRDefault="009D1E83" w:rsidP="009D1E83">
      <w:pPr>
        <w:spacing w:after="0" w:line="240" w:lineRule="auto"/>
        <w:rPr>
          <w:sz w:val="20"/>
          <w:szCs w:val="20"/>
        </w:rPr>
      </w:pPr>
      <w:r w:rsidRPr="00885F85">
        <w:rPr>
          <w:sz w:val="20"/>
          <w:szCs w:val="20"/>
        </w:rPr>
        <w:t xml:space="preserve">Abbreviations: NR: Non-responders; R: Responders; HCs: Healthy controls; ACC: Anterior cingulate cortex; </w:t>
      </w:r>
      <w:proofErr w:type="spellStart"/>
      <w:r w:rsidRPr="00885F85">
        <w:rPr>
          <w:sz w:val="20"/>
          <w:szCs w:val="20"/>
        </w:rPr>
        <w:t>Glx</w:t>
      </w:r>
      <w:proofErr w:type="spellEnd"/>
      <w:r w:rsidRPr="00885F85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G</w:t>
      </w:r>
      <w:r w:rsidRPr="00885F85">
        <w:rPr>
          <w:sz w:val="20"/>
          <w:szCs w:val="20"/>
        </w:rPr>
        <w:t>lutamate+glutamine</w:t>
      </w:r>
      <w:proofErr w:type="spellEnd"/>
      <w:r w:rsidRPr="00885F85">
        <w:rPr>
          <w:sz w:val="20"/>
          <w:szCs w:val="20"/>
        </w:rPr>
        <w:t xml:space="preserve">; </w:t>
      </w:r>
      <w:proofErr w:type="spellStart"/>
      <w:r w:rsidRPr="00885F85">
        <w:rPr>
          <w:sz w:val="20"/>
          <w:szCs w:val="20"/>
        </w:rPr>
        <w:t>Gln</w:t>
      </w:r>
      <w:proofErr w:type="spellEnd"/>
      <w:r w:rsidRPr="00885F85">
        <w:rPr>
          <w:sz w:val="20"/>
          <w:szCs w:val="20"/>
        </w:rPr>
        <w:t xml:space="preserve">: glutamine; NAA: N-acetyl aspartate; </w:t>
      </w:r>
      <w:proofErr w:type="spellStart"/>
      <w:r w:rsidRPr="00885F85">
        <w:rPr>
          <w:sz w:val="20"/>
          <w:szCs w:val="20"/>
        </w:rPr>
        <w:t>PCr+Cr</w:t>
      </w:r>
      <w:proofErr w:type="spellEnd"/>
      <w:r w:rsidRPr="00885F85">
        <w:rPr>
          <w:sz w:val="20"/>
          <w:szCs w:val="20"/>
        </w:rPr>
        <w:t xml:space="preserve">: </w:t>
      </w:r>
      <w:r w:rsidRPr="00636BA3">
        <w:rPr>
          <w:sz w:val="20"/>
          <w:szCs w:val="20"/>
        </w:rPr>
        <w:t>Total creatine (</w:t>
      </w:r>
      <w:proofErr w:type="spellStart"/>
      <w:r w:rsidRPr="00885F85">
        <w:rPr>
          <w:sz w:val="20"/>
          <w:szCs w:val="20"/>
        </w:rPr>
        <w:t>phosphocreatine+creatine</w:t>
      </w:r>
      <w:proofErr w:type="spellEnd"/>
      <w:r>
        <w:rPr>
          <w:sz w:val="20"/>
          <w:szCs w:val="20"/>
        </w:rPr>
        <w:t>)</w:t>
      </w:r>
      <w:r w:rsidRPr="00885F85">
        <w:rPr>
          <w:sz w:val="20"/>
          <w:szCs w:val="20"/>
        </w:rPr>
        <w:t xml:space="preserve">; GABA: </w:t>
      </w:r>
      <w:r>
        <w:rPr>
          <w:sz w:val="20"/>
          <w:szCs w:val="20"/>
        </w:rPr>
        <w:t>G</w:t>
      </w:r>
      <w:r w:rsidRPr="00885F85">
        <w:rPr>
          <w:sz w:val="20"/>
          <w:szCs w:val="20"/>
        </w:rPr>
        <w:t>amma-ami</w:t>
      </w:r>
      <w:r w:rsidRPr="00527528">
        <w:rPr>
          <w:sz w:val="20"/>
          <w:szCs w:val="20"/>
        </w:rPr>
        <w:t xml:space="preserve">nobutyric acid. </w:t>
      </w:r>
      <w:r>
        <w:rPr>
          <w:sz w:val="20"/>
          <w:szCs w:val="20"/>
        </w:rPr>
        <w:t>A</w:t>
      </w:r>
      <w:r w:rsidRPr="00527528">
        <w:rPr>
          <w:sz w:val="20"/>
          <w:szCs w:val="20"/>
        </w:rPr>
        <w:t xml:space="preserve">: </w:t>
      </w:r>
      <w:r w:rsidRPr="00527528">
        <w:rPr>
          <w:sz w:val="20"/>
          <w:szCs w:val="20"/>
          <w:lang w:val="en-US"/>
        </w:rPr>
        <w:t xml:space="preserve">N is the number of spectra analyzed. </w:t>
      </w:r>
      <w:r>
        <w:rPr>
          <w:sz w:val="20"/>
          <w:szCs w:val="20"/>
          <w:lang w:val="en-US"/>
        </w:rPr>
        <w:t>B</w:t>
      </w:r>
      <w:r w:rsidRPr="00527528">
        <w:rPr>
          <w:sz w:val="20"/>
          <w:szCs w:val="20"/>
          <w:lang w:val="en-US"/>
        </w:rPr>
        <w:t xml:space="preserve">: Metabolites in a 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2.0x2.0x2.0 cm voxel. </w:t>
      </w:r>
      <w:r>
        <w:rPr>
          <w:rFonts w:asciiTheme="majorHAnsi" w:hAnsiTheme="majorHAnsi" w:cstheme="majorHAnsi"/>
          <w:sz w:val="20"/>
          <w:szCs w:val="20"/>
          <w:lang w:val="en-US"/>
        </w:rPr>
        <w:t>C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  <w:r w:rsidRPr="00527528">
        <w:rPr>
          <w:sz w:val="20"/>
          <w:szCs w:val="20"/>
          <w:lang w:val="en-US"/>
        </w:rPr>
        <w:t xml:space="preserve">Metabolites in a 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>3.0x3.0x3.0 cm voxel (details provided in the patient</w:t>
      </w:r>
      <w:r>
        <w:rPr>
          <w:rFonts w:asciiTheme="majorHAnsi" w:hAnsiTheme="majorHAnsi" w:cstheme="majorHAnsi"/>
          <w:sz w:val="20"/>
          <w:szCs w:val="20"/>
          <w:lang w:val="en-US"/>
        </w:rPr>
        <w:t>s</w:t>
      </w:r>
      <w:r w:rsidRPr="00527528">
        <w:rPr>
          <w:rFonts w:asciiTheme="majorHAnsi" w:hAnsiTheme="majorHAnsi" w:cstheme="majorHAnsi"/>
          <w:sz w:val="20"/>
          <w:szCs w:val="20"/>
          <w:lang w:val="en-US"/>
        </w:rPr>
        <w:t xml:space="preserve"> and methods section). </w:t>
      </w:r>
      <w:r w:rsidR="00BC2630">
        <w:rPr>
          <w:rFonts w:asciiTheme="majorHAnsi" w:hAnsiTheme="majorHAnsi" w:cstheme="majorHAnsi"/>
          <w:sz w:val="20"/>
          <w:szCs w:val="20"/>
          <w:lang w:val="en-US"/>
        </w:rPr>
        <w:t xml:space="preserve">D: </w:t>
      </w:r>
      <w:r w:rsidR="00BC2630" w:rsidRPr="008646B4">
        <w:rPr>
          <w:rFonts w:asciiTheme="majorHAnsi" w:hAnsiTheme="majorHAnsi" w:cstheme="majorHAnsi"/>
          <w:sz w:val="20"/>
          <w:szCs w:val="20"/>
          <w:lang w:val="en-US"/>
        </w:rPr>
        <w:t>Adjusted for age and sex</w:t>
      </w:r>
      <w:r w:rsidR="00BC2630">
        <w:rPr>
          <w:rFonts w:asciiTheme="majorHAnsi" w:hAnsiTheme="majorHAnsi" w:cstheme="majorHAnsi"/>
          <w:sz w:val="20"/>
          <w:szCs w:val="20"/>
          <w:lang w:val="en-US"/>
        </w:rPr>
        <w:t>.</w:t>
      </w:r>
      <w:r w:rsidR="00BC2630" w:rsidRPr="00527528">
        <w:rPr>
          <w:sz w:val="20"/>
          <w:szCs w:val="20"/>
        </w:rPr>
        <w:t xml:space="preserve"> </w:t>
      </w:r>
      <w:r w:rsidRPr="00527528">
        <w:rPr>
          <w:sz w:val="20"/>
          <w:szCs w:val="20"/>
        </w:rPr>
        <w:t xml:space="preserve"> </w:t>
      </w:r>
    </w:p>
    <w:p w14:paraId="5902B4D3" w14:textId="77777777" w:rsidR="009D1E83" w:rsidRDefault="009D1E83" w:rsidP="002B39DC">
      <w:pPr>
        <w:spacing w:after="0" w:line="240" w:lineRule="auto"/>
        <w:rPr>
          <w:sz w:val="20"/>
          <w:szCs w:val="20"/>
        </w:rPr>
      </w:pPr>
    </w:p>
    <w:p w14:paraId="57DFDBAB" w14:textId="77777777" w:rsidR="009D1E83" w:rsidRDefault="009D1E83" w:rsidP="002B39DC">
      <w:pPr>
        <w:spacing w:after="0" w:line="240" w:lineRule="auto"/>
        <w:rPr>
          <w:sz w:val="20"/>
          <w:szCs w:val="20"/>
        </w:rPr>
      </w:pPr>
    </w:p>
    <w:p w14:paraId="26FA59A7" w14:textId="77777777" w:rsidR="002B39DC" w:rsidRDefault="002B39DC" w:rsidP="002B39DC">
      <w:pPr>
        <w:spacing w:after="0" w:line="240" w:lineRule="auto"/>
        <w:rPr>
          <w:sz w:val="20"/>
          <w:szCs w:val="20"/>
        </w:rPr>
      </w:pPr>
    </w:p>
    <w:p w14:paraId="6D4E308F" w14:textId="77777777" w:rsidR="002B39DC" w:rsidRDefault="002B39DC" w:rsidP="002B39DC">
      <w:pPr>
        <w:spacing w:after="0" w:line="240" w:lineRule="auto"/>
        <w:rPr>
          <w:sz w:val="20"/>
          <w:szCs w:val="20"/>
        </w:rPr>
      </w:pPr>
    </w:p>
    <w:p w14:paraId="6BA9D66E" w14:textId="77777777" w:rsidR="002B39DC" w:rsidRDefault="002B39DC" w:rsidP="002B39DC">
      <w:pPr>
        <w:spacing w:after="0" w:line="240" w:lineRule="auto"/>
        <w:rPr>
          <w:sz w:val="20"/>
          <w:szCs w:val="20"/>
        </w:rPr>
      </w:pPr>
    </w:p>
    <w:p w14:paraId="6D943D28" w14:textId="77777777" w:rsidR="002B39DC" w:rsidRDefault="002B39DC" w:rsidP="002B39DC">
      <w:pPr>
        <w:spacing w:after="0" w:line="240" w:lineRule="auto"/>
        <w:rPr>
          <w:sz w:val="20"/>
          <w:szCs w:val="20"/>
        </w:rPr>
      </w:pPr>
    </w:p>
    <w:p w14:paraId="6AFB29D4" w14:textId="77777777" w:rsidR="002B39DC" w:rsidRDefault="002B39DC" w:rsidP="002B39DC">
      <w:pPr>
        <w:spacing w:after="0" w:line="240" w:lineRule="auto"/>
        <w:rPr>
          <w:sz w:val="20"/>
          <w:szCs w:val="20"/>
        </w:rPr>
      </w:pPr>
    </w:p>
    <w:p w14:paraId="4080A56C" w14:textId="77777777" w:rsidR="002B39DC" w:rsidRPr="00527528" w:rsidRDefault="002B39DC" w:rsidP="002B39DC">
      <w:pPr>
        <w:spacing w:after="0" w:line="240" w:lineRule="auto"/>
        <w:rPr>
          <w:sz w:val="20"/>
          <w:szCs w:val="20"/>
        </w:rPr>
      </w:pPr>
    </w:p>
    <w:p w14:paraId="0044BDDA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6833FD07" w14:textId="77777777" w:rsidR="002B39DC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2D7EF586" w14:textId="77777777" w:rsidR="002B39DC" w:rsidRPr="007F6465" w:rsidRDefault="002B39DC" w:rsidP="007708E0">
      <w:pPr>
        <w:spacing w:line="240" w:lineRule="auto"/>
        <w:rPr>
          <w:rFonts w:ascii="Arial" w:hAnsi="Arial" w:cs="Arial"/>
          <w:sz w:val="24"/>
          <w:szCs w:val="24"/>
        </w:rPr>
      </w:pPr>
    </w:p>
    <w:p w14:paraId="62F549CB" w14:textId="77777777" w:rsidR="001E76BC" w:rsidRDefault="001E76BC" w:rsidP="007708E0">
      <w:pPr>
        <w:spacing w:line="240" w:lineRule="auto"/>
        <w:rPr>
          <w:rFonts w:ascii="Times New Roman" w:hAnsi="Times New Roman"/>
        </w:rPr>
      </w:pPr>
    </w:p>
    <w:p w14:paraId="771CCCFB" w14:textId="77777777" w:rsidR="001E76BC" w:rsidRDefault="001E76BC" w:rsidP="007708E0">
      <w:pPr>
        <w:spacing w:line="240" w:lineRule="auto"/>
        <w:rPr>
          <w:rFonts w:ascii="Times New Roman" w:hAnsi="Times New Roman"/>
        </w:rPr>
      </w:pPr>
    </w:p>
    <w:p w14:paraId="26F0AA07" w14:textId="77777777" w:rsidR="001E76BC" w:rsidRDefault="001E76BC" w:rsidP="007708E0">
      <w:pPr>
        <w:spacing w:line="240" w:lineRule="auto"/>
        <w:rPr>
          <w:rFonts w:ascii="Times New Roman" w:hAnsi="Times New Roman"/>
        </w:rPr>
      </w:pPr>
    </w:p>
    <w:p w14:paraId="79B7974C" w14:textId="77777777" w:rsidR="001E76BC" w:rsidRDefault="001E76BC" w:rsidP="007708E0">
      <w:pPr>
        <w:spacing w:line="240" w:lineRule="auto"/>
        <w:rPr>
          <w:rFonts w:ascii="Times New Roman" w:hAnsi="Times New Roman"/>
        </w:rPr>
      </w:pPr>
    </w:p>
    <w:p w14:paraId="133426C3" w14:textId="77777777" w:rsidR="001E76BC" w:rsidRDefault="001E76BC" w:rsidP="007708E0">
      <w:pPr>
        <w:spacing w:line="240" w:lineRule="auto"/>
        <w:rPr>
          <w:rFonts w:ascii="Times New Roman" w:hAnsi="Times New Roman"/>
        </w:rPr>
      </w:pPr>
    </w:p>
    <w:p w14:paraId="52BFCCE6" w14:textId="77777777" w:rsidR="001E76BC" w:rsidRDefault="001E76BC" w:rsidP="007708E0">
      <w:pPr>
        <w:spacing w:line="240" w:lineRule="auto"/>
        <w:rPr>
          <w:rFonts w:ascii="Times New Roman" w:hAnsi="Times New Roman"/>
        </w:rPr>
      </w:pPr>
    </w:p>
    <w:sectPr w:rsidR="001E76BC" w:rsidSect="007634CC"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17DE" w14:textId="77777777" w:rsidR="00AD685E" w:rsidRDefault="00AD685E" w:rsidP="00461526">
      <w:pPr>
        <w:spacing w:after="0" w:line="240" w:lineRule="auto"/>
      </w:pPr>
      <w:r>
        <w:separator/>
      </w:r>
    </w:p>
  </w:endnote>
  <w:endnote w:type="continuationSeparator" w:id="0">
    <w:p w14:paraId="24CEE7B4" w14:textId="77777777" w:rsidR="00AD685E" w:rsidRDefault="00AD685E" w:rsidP="0046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34C2" w14:textId="77777777" w:rsidR="00195128" w:rsidRDefault="00195128" w:rsidP="001561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70BCDEC" w14:textId="77777777" w:rsidR="00195128" w:rsidRDefault="00195128" w:rsidP="0015612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ACF8" w14:textId="77777777" w:rsidR="00195128" w:rsidRDefault="00195128" w:rsidP="001561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83441">
      <w:rPr>
        <w:rStyle w:val="Sidetal"/>
        <w:noProof/>
      </w:rPr>
      <w:t>20</w:t>
    </w:r>
    <w:r>
      <w:rPr>
        <w:rStyle w:val="Sidetal"/>
      </w:rPr>
      <w:fldChar w:fldCharType="end"/>
    </w:r>
  </w:p>
  <w:p w14:paraId="49608EC5" w14:textId="77777777" w:rsidR="00195128" w:rsidRDefault="00195128" w:rsidP="0015612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9FC2" w14:textId="77777777" w:rsidR="00AD685E" w:rsidRDefault="00AD685E" w:rsidP="00461526">
      <w:pPr>
        <w:spacing w:after="0" w:line="240" w:lineRule="auto"/>
      </w:pPr>
      <w:r>
        <w:separator/>
      </w:r>
    </w:p>
  </w:footnote>
  <w:footnote w:type="continuationSeparator" w:id="0">
    <w:p w14:paraId="5C6DAD66" w14:textId="77777777" w:rsidR="00AD685E" w:rsidRDefault="00AD685E" w:rsidP="0046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A9A0" w14:textId="478FA87A" w:rsidR="00195128" w:rsidRPr="00BB1536" w:rsidRDefault="00195128">
    <w:pPr>
      <w:pStyle w:val="Sidehoved"/>
    </w:pPr>
    <w:r w:rsidRPr="00BB1536">
      <w:rPr>
        <w:lang w:val="en-US"/>
      </w:rPr>
      <w:t>Supplementary Material</w:t>
    </w:r>
    <w:r>
      <w:rPr>
        <w:lang w:val="da-DK"/>
      </w:rPr>
      <w:tab/>
    </w:r>
    <w:r>
      <w:rPr>
        <w:lang w:val="da-DK"/>
      </w:rPr>
      <w:tab/>
      <w:t xml:space="preserve">Bojesen et al.,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sLC0NDewNDMxM7JQ0lEKTi0uzszPAykwqgUAjBDmVC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a2s9arcrd9s8eas2cvxsanzdfzf0fwteza&quot;&gt;GlutamateLongi&lt;record-ids&gt;&lt;item&gt;5&lt;/item&gt;&lt;item&gt;286&lt;/item&gt;&lt;item&gt;302&lt;/item&gt;&lt;item&gt;303&lt;/item&gt;&lt;item&gt;538&lt;/item&gt;&lt;item&gt;567&lt;/item&gt;&lt;/record-ids&gt;&lt;/item&gt;&lt;/Libraries&gt;"/>
  </w:docVars>
  <w:rsids>
    <w:rsidRoot w:val="00400B38"/>
    <w:rsid w:val="00001CC7"/>
    <w:rsid w:val="00004518"/>
    <w:rsid w:val="000105B5"/>
    <w:rsid w:val="00026A65"/>
    <w:rsid w:val="00040330"/>
    <w:rsid w:val="00041C8D"/>
    <w:rsid w:val="0005299B"/>
    <w:rsid w:val="0006018D"/>
    <w:rsid w:val="00063432"/>
    <w:rsid w:val="00071037"/>
    <w:rsid w:val="00074346"/>
    <w:rsid w:val="00074D9D"/>
    <w:rsid w:val="00077974"/>
    <w:rsid w:val="00086A0D"/>
    <w:rsid w:val="00087593"/>
    <w:rsid w:val="0009551A"/>
    <w:rsid w:val="000A69C6"/>
    <w:rsid w:val="000B1E5B"/>
    <w:rsid w:val="000B7C97"/>
    <w:rsid w:val="000C1FA5"/>
    <w:rsid w:val="000D4F44"/>
    <w:rsid w:val="000D6AAF"/>
    <w:rsid w:val="000D71CF"/>
    <w:rsid w:val="000E3250"/>
    <w:rsid w:val="000E5A6D"/>
    <w:rsid w:val="00101708"/>
    <w:rsid w:val="001111D4"/>
    <w:rsid w:val="00112D7A"/>
    <w:rsid w:val="00114D6F"/>
    <w:rsid w:val="001208D8"/>
    <w:rsid w:val="00120A5B"/>
    <w:rsid w:val="001250B0"/>
    <w:rsid w:val="00130A14"/>
    <w:rsid w:val="001318F4"/>
    <w:rsid w:val="001339C1"/>
    <w:rsid w:val="0014287E"/>
    <w:rsid w:val="00142E00"/>
    <w:rsid w:val="0014497F"/>
    <w:rsid w:val="0014555B"/>
    <w:rsid w:val="00150ABB"/>
    <w:rsid w:val="00153808"/>
    <w:rsid w:val="00156128"/>
    <w:rsid w:val="0015613B"/>
    <w:rsid w:val="00160557"/>
    <w:rsid w:val="001718A0"/>
    <w:rsid w:val="001734C2"/>
    <w:rsid w:val="00174367"/>
    <w:rsid w:val="0019187D"/>
    <w:rsid w:val="00192EEB"/>
    <w:rsid w:val="001931E7"/>
    <w:rsid w:val="00195128"/>
    <w:rsid w:val="001A036E"/>
    <w:rsid w:val="001A0B12"/>
    <w:rsid w:val="001A5E64"/>
    <w:rsid w:val="001B10E0"/>
    <w:rsid w:val="001B305F"/>
    <w:rsid w:val="001C52D8"/>
    <w:rsid w:val="001C63F8"/>
    <w:rsid w:val="001E73C7"/>
    <w:rsid w:val="001E76BC"/>
    <w:rsid w:val="001F1B55"/>
    <w:rsid w:val="00215C61"/>
    <w:rsid w:val="002173BC"/>
    <w:rsid w:val="00220F3B"/>
    <w:rsid w:val="00222AFA"/>
    <w:rsid w:val="00237047"/>
    <w:rsid w:val="002503A1"/>
    <w:rsid w:val="002578B0"/>
    <w:rsid w:val="00264CD3"/>
    <w:rsid w:val="00273B92"/>
    <w:rsid w:val="00282121"/>
    <w:rsid w:val="00282AFE"/>
    <w:rsid w:val="00285884"/>
    <w:rsid w:val="002922DB"/>
    <w:rsid w:val="00294B1D"/>
    <w:rsid w:val="002B39DC"/>
    <w:rsid w:val="002C459A"/>
    <w:rsid w:val="002C66D6"/>
    <w:rsid w:val="002D2517"/>
    <w:rsid w:val="002E56F6"/>
    <w:rsid w:val="002E683F"/>
    <w:rsid w:val="0030575F"/>
    <w:rsid w:val="0031579F"/>
    <w:rsid w:val="003259F1"/>
    <w:rsid w:val="0033115B"/>
    <w:rsid w:val="00334620"/>
    <w:rsid w:val="00341A09"/>
    <w:rsid w:val="003524E8"/>
    <w:rsid w:val="00353C57"/>
    <w:rsid w:val="00361017"/>
    <w:rsid w:val="00362CF8"/>
    <w:rsid w:val="0037196F"/>
    <w:rsid w:val="00374EF3"/>
    <w:rsid w:val="0037616D"/>
    <w:rsid w:val="00376F71"/>
    <w:rsid w:val="003824B3"/>
    <w:rsid w:val="003833DD"/>
    <w:rsid w:val="003879E9"/>
    <w:rsid w:val="00387BBE"/>
    <w:rsid w:val="003967A7"/>
    <w:rsid w:val="00396CF7"/>
    <w:rsid w:val="003A2E77"/>
    <w:rsid w:val="003B286C"/>
    <w:rsid w:val="003B420C"/>
    <w:rsid w:val="003C434C"/>
    <w:rsid w:val="003C7431"/>
    <w:rsid w:val="003D2060"/>
    <w:rsid w:val="003D56DE"/>
    <w:rsid w:val="003E19BB"/>
    <w:rsid w:val="003E760F"/>
    <w:rsid w:val="003F6012"/>
    <w:rsid w:val="00400B38"/>
    <w:rsid w:val="00402774"/>
    <w:rsid w:val="00411176"/>
    <w:rsid w:val="00425F7A"/>
    <w:rsid w:val="0042727F"/>
    <w:rsid w:val="004277D7"/>
    <w:rsid w:val="004328EA"/>
    <w:rsid w:val="00433CD3"/>
    <w:rsid w:val="00437819"/>
    <w:rsid w:val="0044177D"/>
    <w:rsid w:val="00461526"/>
    <w:rsid w:val="00461555"/>
    <w:rsid w:val="004642D5"/>
    <w:rsid w:val="00467DA4"/>
    <w:rsid w:val="00470A48"/>
    <w:rsid w:val="004716B6"/>
    <w:rsid w:val="0047279B"/>
    <w:rsid w:val="00473184"/>
    <w:rsid w:val="00473D6A"/>
    <w:rsid w:val="00475D2E"/>
    <w:rsid w:val="004771AC"/>
    <w:rsid w:val="0048242B"/>
    <w:rsid w:val="00483EE8"/>
    <w:rsid w:val="004858B2"/>
    <w:rsid w:val="00486355"/>
    <w:rsid w:val="00495C9C"/>
    <w:rsid w:val="004979DC"/>
    <w:rsid w:val="004A15D4"/>
    <w:rsid w:val="004B0F67"/>
    <w:rsid w:val="004B381C"/>
    <w:rsid w:val="004C0598"/>
    <w:rsid w:val="004D7754"/>
    <w:rsid w:val="004E1467"/>
    <w:rsid w:val="004E19F8"/>
    <w:rsid w:val="004E2BBD"/>
    <w:rsid w:val="005042EB"/>
    <w:rsid w:val="00511DB5"/>
    <w:rsid w:val="00513F4E"/>
    <w:rsid w:val="00514A4A"/>
    <w:rsid w:val="00516373"/>
    <w:rsid w:val="00517C26"/>
    <w:rsid w:val="00520057"/>
    <w:rsid w:val="0052613C"/>
    <w:rsid w:val="00531715"/>
    <w:rsid w:val="00532E54"/>
    <w:rsid w:val="005470F3"/>
    <w:rsid w:val="005542C1"/>
    <w:rsid w:val="005657A6"/>
    <w:rsid w:val="00570AAE"/>
    <w:rsid w:val="00573906"/>
    <w:rsid w:val="00574931"/>
    <w:rsid w:val="00582795"/>
    <w:rsid w:val="0058671D"/>
    <w:rsid w:val="0058694E"/>
    <w:rsid w:val="00590F53"/>
    <w:rsid w:val="005A1B15"/>
    <w:rsid w:val="005A264A"/>
    <w:rsid w:val="005B1A74"/>
    <w:rsid w:val="005C4519"/>
    <w:rsid w:val="005D241E"/>
    <w:rsid w:val="005D6707"/>
    <w:rsid w:val="005D74FE"/>
    <w:rsid w:val="005D7C11"/>
    <w:rsid w:val="005E64E5"/>
    <w:rsid w:val="005E73C9"/>
    <w:rsid w:val="005F2B4F"/>
    <w:rsid w:val="005F48FF"/>
    <w:rsid w:val="00603B6B"/>
    <w:rsid w:val="0060448E"/>
    <w:rsid w:val="00605B96"/>
    <w:rsid w:val="00614F8A"/>
    <w:rsid w:val="00617DDB"/>
    <w:rsid w:val="00621804"/>
    <w:rsid w:val="00622110"/>
    <w:rsid w:val="006246CF"/>
    <w:rsid w:val="00625910"/>
    <w:rsid w:val="0063543B"/>
    <w:rsid w:val="0064031D"/>
    <w:rsid w:val="00641176"/>
    <w:rsid w:val="006411A7"/>
    <w:rsid w:val="00641F38"/>
    <w:rsid w:val="00646401"/>
    <w:rsid w:val="00654C08"/>
    <w:rsid w:val="006561BD"/>
    <w:rsid w:val="00681FF8"/>
    <w:rsid w:val="00682660"/>
    <w:rsid w:val="006837C2"/>
    <w:rsid w:val="00686818"/>
    <w:rsid w:val="006873EB"/>
    <w:rsid w:val="006969CB"/>
    <w:rsid w:val="006A3C80"/>
    <w:rsid w:val="006B0FE6"/>
    <w:rsid w:val="006B45AE"/>
    <w:rsid w:val="006B478F"/>
    <w:rsid w:val="006C150B"/>
    <w:rsid w:val="006D0095"/>
    <w:rsid w:val="006D3F36"/>
    <w:rsid w:val="006D4FAA"/>
    <w:rsid w:val="006E37B6"/>
    <w:rsid w:val="006E42B0"/>
    <w:rsid w:val="006F0319"/>
    <w:rsid w:val="007070BE"/>
    <w:rsid w:val="00710A65"/>
    <w:rsid w:val="007117FA"/>
    <w:rsid w:val="007140B5"/>
    <w:rsid w:val="0071622B"/>
    <w:rsid w:val="007231CA"/>
    <w:rsid w:val="007279B6"/>
    <w:rsid w:val="00731647"/>
    <w:rsid w:val="007337BF"/>
    <w:rsid w:val="007343C7"/>
    <w:rsid w:val="00740E62"/>
    <w:rsid w:val="0074445E"/>
    <w:rsid w:val="00760E4C"/>
    <w:rsid w:val="007634CC"/>
    <w:rsid w:val="007649F6"/>
    <w:rsid w:val="007708E0"/>
    <w:rsid w:val="00773212"/>
    <w:rsid w:val="00777A15"/>
    <w:rsid w:val="00783382"/>
    <w:rsid w:val="00783FCE"/>
    <w:rsid w:val="0079191B"/>
    <w:rsid w:val="00794242"/>
    <w:rsid w:val="007979BD"/>
    <w:rsid w:val="007A1C62"/>
    <w:rsid w:val="007A4395"/>
    <w:rsid w:val="007A65D6"/>
    <w:rsid w:val="007B7B04"/>
    <w:rsid w:val="007C003D"/>
    <w:rsid w:val="007C4AED"/>
    <w:rsid w:val="007C58B7"/>
    <w:rsid w:val="007C7A6C"/>
    <w:rsid w:val="007D5DB3"/>
    <w:rsid w:val="007F3082"/>
    <w:rsid w:val="007F5D4C"/>
    <w:rsid w:val="007F6465"/>
    <w:rsid w:val="008022C4"/>
    <w:rsid w:val="008056BC"/>
    <w:rsid w:val="00805A89"/>
    <w:rsid w:val="00814AF1"/>
    <w:rsid w:val="00821769"/>
    <w:rsid w:val="008245BF"/>
    <w:rsid w:val="00826EA3"/>
    <w:rsid w:val="008373A9"/>
    <w:rsid w:val="00844778"/>
    <w:rsid w:val="0084528D"/>
    <w:rsid w:val="00845CC6"/>
    <w:rsid w:val="008509A5"/>
    <w:rsid w:val="008646B4"/>
    <w:rsid w:val="008661F1"/>
    <w:rsid w:val="008725DB"/>
    <w:rsid w:val="00873D43"/>
    <w:rsid w:val="008748BB"/>
    <w:rsid w:val="00876F55"/>
    <w:rsid w:val="00884F80"/>
    <w:rsid w:val="008909F8"/>
    <w:rsid w:val="00891D83"/>
    <w:rsid w:val="00895BB1"/>
    <w:rsid w:val="008A2B76"/>
    <w:rsid w:val="008A4736"/>
    <w:rsid w:val="008A7A52"/>
    <w:rsid w:val="008B01B4"/>
    <w:rsid w:val="008B4A38"/>
    <w:rsid w:val="008C3B2C"/>
    <w:rsid w:val="008C77C6"/>
    <w:rsid w:val="008C7ACA"/>
    <w:rsid w:val="008C7CEE"/>
    <w:rsid w:val="008D3C22"/>
    <w:rsid w:val="008D6B6A"/>
    <w:rsid w:val="008E4CAA"/>
    <w:rsid w:val="008E50C1"/>
    <w:rsid w:val="008E58B1"/>
    <w:rsid w:val="008F2020"/>
    <w:rsid w:val="008F4225"/>
    <w:rsid w:val="008F760F"/>
    <w:rsid w:val="0090405F"/>
    <w:rsid w:val="00905F3D"/>
    <w:rsid w:val="00914D98"/>
    <w:rsid w:val="009278E9"/>
    <w:rsid w:val="009356D0"/>
    <w:rsid w:val="009409E0"/>
    <w:rsid w:val="00944324"/>
    <w:rsid w:val="00945970"/>
    <w:rsid w:val="0094701B"/>
    <w:rsid w:val="009511D7"/>
    <w:rsid w:val="00952F6A"/>
    <w:rsid w:val="009537A8"/>
    <w:rsid w:val="009539FA"/>
    <w:rsid w:val="009558A5"/>
    <w:rsid w:val="009610E6"/>
    <w:rsid w:val="00966D84"/>
    <w:rsid w:val="0097005F"/>
    <w:rsid w:val="00977438"/>
    <w:rsid w:val="009809B6"/>
    <w:rsid w:val="00987527"/>
    <w:rsid w:val="009A0BD0"/>
    <w:rsid w:val="009A3383"/>
    <w:rsid w:val="009A3E61"/>
    <w:rsid w:val="009B44F1"/>
    <w:rsid w:val="009B60FE"/>
    <w:rsid w:val="009C26B4"/>
    <w:rsid w:val="009C2A46"/>
    <w:rsid w:val="009D031C"/>
    <w:rsid w:val="009D1E83"/>
    <w:rsid w:val="009D5061"/>
    <w:rsid w:val="009E00D0"/>
    <w:rsid w:val="009E3BE0"/>
    <w:rsid w:val="009F049D"/>
    <w:rsid w:val="009F0962"/>
    <w:rsid w:val="009F1994"/>
    <w:rsid w:val="00A01F26"/>
    <w:rsid w:val="00A12898"/>
    <w:rsid w:val="00A14339"/>
    <w:rsid w:val="00A14CD1"/>
    <w:rsid w:val="00A27314"/>
    <w:rsid w:val="00A3030D"/>
    <w:rsid w:val="00A3368A"/>
    <w:rsid w:val="00A341CF"/>
    <w:rsid w:val="00A34A3C"/>
    <w:rsid w:val="00A361AD"/>
    <w:rsid w:val="00A43655"/>
    <w:rsid w:val="00A5155A"/>
    <w:rsid w:val="00A628E0"/>
    <w:rsid w:val="00A70E53"/>
    <w:rsid w:val="00A803D5"/>
    <w:rsid w:val="00A8299B"/>
    <w:rsid w:val="00A83627"/>
    <w:rsid w:val="00A845CF"/>
    <w:rsid w:val="00AA2980"/>
    <w:rsid w:val="00AA3129"/>
    <w:rsid w:val="00AA66EF"/>
    <w:rsid w:val="00AB0312"/>
    <w:rsid w:val="00AB202E"/>
    <w:rsid w:val="00AB710E"/>
    <w:rsid w:val="00AB7A24"/>
    <w:rsid w:val="00AC2517"/>
    <w:rsid w:val="00AD2A40"/>
    <w:rsid w:val="00AD39DD"/>
    <w:rsid w:val="00AD685E"/>
    <w:rsid w:val="00AE0158"/>
    <w:rsid w:val="00AF3DF7"/>
    <w:rsid w:val="00AF7278"/>
    <w:rsid w:val="00AF791B"/>
    <w:rsid w:val="00B02A0D"/>
    <w:rsid w:val="00B05155"/>
    <w:rsid w:val="00B070E8"/>
    <w:rsid w:val="00B1399D"/>
    <w:rsid w:val="00B21AD6"/>
    <w:rsid w:val="00B23770"/>
    <w:rsid w:val="00B250B2"/>
    <w:rsid w:val="00B37AD5"/>
    <w:rsid w:val="00B44E07"/>
    <w:rsid w:val="00B44F58"/>
    <w:rsid w:val="00B54BA6"/>
    <w:rsid w:val="00B55C38"/>
    <w:rsid w:val="00B6213E"/>
    <w:rsid w:val="00B64286"/>
    <w:rsid w:val="00B65E21"/>
    <w:rsid w:val="00B6615B"/>
    <w:rsid w:val="00B742E4"/>
    <w:rsid w:val="00B75B4A"/>
    <w:rsid w:val="00B7625B"/>
    <w:rsid w:val="00B76AB0"/>
    <w:rsid w:val="00B77C20"/>
    <w:rsid w:val="00B80850"/>
    <w:rsid w:val="00B82FD7"/>
    <w:rsid w:val="00B83021"/>
    <w:rsid w:val="00B8505A"/>
    <w:rsid w:val="00B9663A"/>
    <w:rsid w:val="00BA64B3"/>
    <w:rsid w:val="00BA66FA"/>
    <w:rsid w:val="00BB1536"/>
    <w:rsid w:val="00BB6416"/>
    <w:rsid w:val="00BC231C"/>
    <w:rsid w:val="00BC2630"/>
    <w:rsid w:val="00BD1CC4"/>
    <w:rsid w:val="00BD607D"/>
    <w:rsid w:val="00BD6115"/>
    <w:rsid w:val="00BE0F1E"/>
    <w:rsid w:val="00BF7CE3"/>
    <w:rsid w:val="00C056B4"/>
    <w:rsid w:val="00C20695"/>
    <w:rsid w:val="00C206D0"/>
    <w:rsid w:val="00C2284D"/>
    <w:rsid w:val="00C2318A"/>
    <w:rsid w:val="00C25922"/>
    <w:rsid w:val="00C3405C"/>
    <w:rsid w:val="00C37056"/>
    <w:rsid w:val="00C444E8"/>
    <w:rsid w:val="00C50059"/>
    <w:rsid w:val="00C53FBC"/>
    <w:rsid w:val="00C742E8"/>
    <w:rsid w:val="00C768E7"/>
    <w:rsid w:val="00C81F12"/>
    <w:rsid w:val="00C87F73"/>
    <w:rsid w:val="00C90169"/>
    <w:rsid w:val="00C91F1D"/>
    <w:rsid w:val="00C9530B"/>
    <w:rsid w:val="00C965F5"/>
    <w:rsid w:val="00C97D61"/>
    <w:rsid w:val="00CA3018"/>
    <w:rsid w:val="00CA30DE"/>
    <w:rsid w:val="00CA6A8D"/>
    <w:rsid w:val="00CB0647"/>
    <w:rsid w:val="00CB22EB"/>
    <w:rsid w:val="00CB60B2"/>
    <w:rsid w:val="00CC226C"/>
    <w:rsid w:val="00CD0127"/>
    <w:rsid w:val="00CD2C24"/>
    <w:rsid w:val="00CD30F1"/>
    <w:rsid w:val="00CF05C0"/>
    <w:rsid w:val="00CF72BD"/>
    <w:rsid w:val="00D01805"/>
    <w:rsid w:val="00D43587"/>
    <w:rsid w:val="00D443F6"/>
    <w:rsid w:val="00D566D8"/>
    <w:rsid w:val="00D66D74"/>
    <w:rsid w:val="00D6702A"/>
    <w:rsid w:val="00D67E0F"/>
    <w:rsid w:val="00D71D53"/>
    <w:rsid w:val="00D76DCF"/>
    <w:rsid w:val="00D864B4"/>
    <w:rsid w:val="00D96951"/>
    <w:rsid w:val="00DA596C"/>
    <w:rsid w:val="00DB7140"/>
    <w:rsid w:val="00DB7FE8"/>
    <w:rsid w:val="00DC2B7F"/>
    <w:rsid w:val="00DC58D1"/>
    <w:rsid w:val="00DE1270"/>
    <w:rsid w:val="00DF064D"/>
    <w:rsid w:val="00E0225B"/>
    <w:rsid w:val="00E030EB"/>
    <w:rsid w:val="00E0499D"/>
    <w:rsid w:val="00E07B52"/>
    <w:rsid w:val="00E10791"/>
    <w:rsid w:val="00E145A8"/>
    <w:rsid w:val="00E20A77"/>
    <w:rsid w:val="00E25A2D"/>
    <w:rsid w:val="00E25D56"/>
    <w:rsid w:val="00E307C7"/>
    <w:rsid w:val="00E3119B"/>
    <w:rsid w:val="00E352CE"/>
    <w:rsid w:val="00E47BC6"/>
    <w:rsid w:val="00E5363F"/>
    <w:rsid w:val="00E57544"/>
    <w:rsid w:val="00E64241"/>
    <w:rsid w:val="00E65BDC"/>
    <w:rsid w:val="00E733BC"/>
    <w:rsid w:val="00E8022D"/>
    <w:rsid w:val="00E80720"/>
    <w:rsid w:val="00E814B3"/>
    <w:rsid w:val="00E83DB7"/>
    <w:rsid w:val="00E84ABE"/>
    <w:rsid w:val="00E910A5"/>
    <w:rsid w:val="00E9328B"/>
    <w:rsid w:val="00E932B1"/>
    <w:rsid w:val="00E93FE8"/>
    <w:rsid w:val="00EA399D"/>
    <w:rsid w:val="00EA3FF0"/>
    <w:rsid w:val="00EA5823"/>
    <w:rsid w:val="00EB3BAC"/>
    <w:rsid w:val="00EB5277"/>
    <w:rsid w:val="00EB7F5F"/>
    <w:rsid w:val="00EC15BA"/>
    <w:rsid w:val="00EC56A5"/>
    <w:rsid w:val="00EC730B"/>
    <w:rsid w:val="00ED476B"/>
    <w:rsid w:val="00ED783B"/>
    <w:rsid w:val="00EE798E"/>
    <w:rsid w:val="00EF0ABC"/>
    <w:rsid w:val="00EF420C"/>
    <w:rsid w:val="00EF5B3A"/>
    <w:rsid w:val="00EF6DEC"/>
    <w:rsid w:val="00F05F7C"/>
    <w:rsid w:val="00F06C72"/>
    <w:rsid w:val="00F110FC"/>
    <w:rsid w:val="00F135C5"/>
    <w:rsid w:val="00F268D2"/>
    <w:rsid w:val="00F33223"/>
    <w:rsid w:val="00F35528"/>
    <w:rsid w:val="00F41DA7"/>
    <w:rsid w:val="00F44F41"/>
    <w:rsid w:val="00F45CCC"/>
    <w:rsid w:val="00F61782"/>
    <w:rsid w:val="00F62AB3"/>
    <w:rsid w:val="00F70973"/>
    <w:rsid w:val="00F70994"/>
    <w:rsid w:val="00F73CD8"/>
    <w:rsid w:val="00F73F12"/>
    <w:rsid w:val="00F75B58"/>
    <w:rsid w:val="00F75F92"/>
    <w:rsid w:val="00F77730"/>
    <w:rsid w:val="00F83441"/>
    <w:rsid w:val="00F84ED6"/>
    <w:rsid w:val="00F873DA"/>
    <w:rsid w:val="00F94110"/>
    <w:rsid w:val="00FA3EAE"/>
    <w:rsid w:val="00FB0110"/>
    <w:rsid w:val="00FB15FE"/>
    <w:rsid w:val="00FB17D7"/>
    <w:rsid w:val="00FC3BD1"/>
    <w:rsid w:val="00FD2642"/>
    <w:rsid w:val="00FD63BB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9D9DB4"/>
  <w15:docId w15:val="{D8B27BE5-2E97-46AC-A554-5A01B5C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Tegn"/>
    <w:rsid w:val="005542C1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Tegn">
    <w:name w:val="EndNote Bibliography Title Tegn"/>
    <w:link w:val="EndNoteBibliographyTitle"/>
    <w:rsid w:val="005542C1"/>
    <w:rPr>
      <w:rFonts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5542C1"/>
    <w:pPr>
      <w:spacing w:line="240" w:lineRule="auto"/>
    </w:pPr>
    <w:rPr>
      <w:rFonts w:cs="Calibri"/>
      <w:noProof/>
      <w:lang w:val="en-US"/>
    </w:rPr>
  </w:style>
  <w:style w:type="character" w:customStyle="1" w:styleId="EndNoteBibliographyTegn">
    <w:name w:val="EndNote Bibliography Tegn"/>
    <w:link w:val="EndNoteBibliography"/>
    <w:rsid w:val="005542C1"/>
    <w:rPr>
      <w:rFonts w:cs="Calibri"/>
      <w:noProof/>
      <w:sz w:val="22"/>
      <w:szCs w:val="22"/>
      <w:lang w:val="en-US"/>
    </w:rPr>
  </w:style>
  <w:style w:type="character" w:styleId="Hyperlink">
    <w:name w:val="Hyperlink"/>
    <w:uiPriority w:val="99"/>
    <w:unhideWhenUsed/>
    <w:rsid w:val="0007103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61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1526"/>
  </w:style>
  <w:style w:type="paragraph" w:styleId="Sidefod">
    <w:name w:val="footer"/>
    <w:basedOn w:val="Normal"/>
    <w:link w:val="SidefodTegn"/>
    <w:uiPriority w:val="99"/>
    <w:unhideWhenUsed/>
    <w:rsid w:val="00461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152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3C80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A3C80"/>
    <w:rPr>
      <w:rFonts w:ascii="Tahoma" w:hAnsi="Tahoma" w:cs="Tahoma"/>
      <w:sz w:val="20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156128"/>
  </w:style>
  <w:style w:type="character" w:styleId="Kommentarhenvisning">
    <w:name w:val="annotation reference"/>
    <w:uiPriority w:val="99"/>
    <w:semiHidden/>
    <w:unhideWhenUsed/>
    <w:rsid w:val="001449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4497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14497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497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14497F"/>
    <w:rPr>
      <w:b/>
      <w:bCs/>
      <w:sz w:val="20"/>
      <w:szCs w:val="20"/>
    </w:rPr>
  </w:style>
  <w:style w:type="character" w:customStyle="1" w:styleId="paragraph">
    <w:name w:val="paragraph"/>
    <w:basedOn w:val="Standardskrifttypeiafsnit"/>
    <w:rsid w:val="004858B2"/>
  </w:style>
  <w:style w:type="table" w:styleId="Tabel-Gitter">
    <w:name w:val="Table Grid"/>
    <w:basedOn w:val="Tabel-Normal"/>
    <w:uiPriority w:val="59"/>
    <w:rsid w:val="00F3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1399D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.ion.ucl.ac.uk/spm/software/spm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AB78-6218-477E-BA08-7F3188E9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28</Pages>
  <Words>7616</Words>
  <Characters>46460</Characters>
  <Application>Microsoft Office Word</Application>
  <DocSecurity>0</DocSecurity>
  <Lines>387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Borup Bojesen</dc:creator>
  <cp:keywords/>
  <dc:description/>
  <cp:lastModifiedBy>Kirsten Borup Bojesen</cp:lastModifiedBy>
  <cp:revision>68</cp:revision>
  <cp:lastPrinted>2019-01-07T12:51:00Z</cp:lastPrinted>
  <dcterms:created xsi:type="dcterms:W3CDTF">2019-01-30T13:09:00Z</dcterms:created>
  <dcterms:modified xsi:type="dcterms:W3CDTF">2019-08-06T10:12:00Z</dcterms:modified>
</cp:coreProperties>
</file>