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05053E" w14:textId="77777777" w:rsidR="00370FC1" w:rsidRDefault="00370FC1" w:rsidP="00370FC1">
      <w:pPr>
        <w:rPr>
          <w:b/>
        </w:rPr>
      </w:pPr>
    </w:p>
    <w:p w14:paraId="0EA6FBF6" w14:textId="5CAC97B6" w:rsidR="00370FC1" w:rsidRDefault="00370FC1" w:rsidP="00370FC1">
      <w:pPr>
        <w:outlineLvl w:val="0"/>
        <w:rPr>
          <w:b/>
        </w:rPr>
      </w:pPr>
      <w:r>
        <w:rPr>
          <w:b/>
        </w:rPr>
        <w:t xml:space="preserve">Table </w:t>
      </w:r>
      <w:r w:rsidR="00B97F48">
        <w:rPr>
          <w:b/>
        </w:rPr>
        <w:t>S3</w:t>
      </w:r>
      <w:r>
        <w:rPr>
          <w:b/>
        </w:rPr>
        <w:t xml:space="preserve"> Social cognitive performance before and after the 12-week training period  </w:t>
      </w:r>
    </w:p>
    <w:p w14:paraId="371CB714" w14:textId="77777777" w:rsidR="00370FC1" w:rsidRDefault="00370FC1" w:rsidP="00370FC1">
      <w:pPr>
        <w:rPr>
          <w:color w:val="222222"/>
          <w:sz w:val="19"/>
          <w:szCs w:val="19"/>
          <w:highlight w:val="white"/>
        </w:rPr>
      </w:pPr>
    </w:p>
    <w:tbl>
      <w:tblPr>
        <w:tblStyle w:val="3"/>
        <w:tblW w:w="9456" w:type="dxa"/>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1095"/>
        <w:gridCol w:w="1093"/>
        <w:gridCol w:w="1165"/>
        <w:gridCol w:w="1137"/>
        <w:gridCol w:w="1030"/>
        <w:gridCol w:w="1312"/>
        <w:gridCol w:w="1312"/>
        <w:gridCol w:w="1312"/>
      </w:tblGrid>
      <w:tr w:rsidR="00370FC1" w14:paraId="7DE6AD77" w14:textId="77777777" w:rsidTr="002475E3">
        <w:trPr>
          <w:trHeight w:val="340"/>
        </w:trPr>
        <w:tc>
          <w:tcPr>
            <w:tcW w:w="1095" w:type="dxa"/>
            <w:tcBorders>
              <w:top w:val="single" w:sz="4" w:space="0" w:color="000000"/>
              <w:bottom w:val="single" w:sz="4" w:space="0" w:color="000000"/>
            </w:tcBorders>
          </w:tcPr>
          <w:p w14:paraId="63A84245" w14:textId="77777777" w:rsidR="00370FC1" w:rsidRDefault="00370FC1" w:rsidP="002475E3">
            <w:pPr>
              <w:rPr>
                <w:sz w:val="24"/>
                <w:szCs w:val="24"/>
              </w:rPr>
            </w:pPr>
          </w:p>
        </w:tc>
        <w:tc>
          <w:tcPr>
            <w:tcW w:w="2258" w:type="dxa"/>
            <w:gridSpan w:val="2"/>
            <w:tcBorders>
              <w:top w:val="single" w:sz="4" w:space="0" w:color="000000"/>
              <w:bottom w:val="single" w:sz="4" w:space="0" w:color="000000"/>
            </w:tcBorders>
          </w:tcPr>
          <w:p w14:paraId="49034042" w14:textId="77777777" w:rsidR="00370FC1" w:rsidRDefault="00370FC1" w:rsidP="002475E3">
            <w:pPr>
              <w:jc w:val="center"/>
              <w:rPr>
                <w:sz w:val="24"/>
                <w:szCs w:val="24"/>
              </w:rPr>
            </w:pPr>
            <w:r>
              <w:rPr>
                <w:sz w:val="24"/>
                <w:szCs w:val="24"/>
              </w:rPr>
              <w:t>NCT</w:t>
            </w:r>
          </w:p>
        </w:tc>
        <w:tc>
          <w:tcPr>
            <w:tcW w:w="2167" w:type="dxa"/>
            <w:gridSpan w:val="2"/>
            <w:tcBorders>
              <w:top w:val="single" w:sz="4" w:space="0" w:color="000000"/>
              <w:bottom w:val="single" w:sz="4" w:space="0" w:color="000000"/>
            </w:tcBorders>
          </w:tcPr>
          <w:p w14:paraId="1CC51319" w14:textId="77777777" w:rsidR="00370FC1" w:rsidRDefault="00370FC1" w:rsidP="002475E3">
            <w:pPr>
              <w:jc w:val="center"/>
              <w:rPr>
                <w:sz w:val="24"/>
                <w:szCs w:val="24"/>
              </w:rPr>
            </w:pPr>
            <w:r>
              <w:rPr>
                <w:sz w:val="24"/>
                <w:szCs w:val="24"/>
              </w:rPr>
              <w:t xml:space="preserve">SCOTT </w:t>
            </w:r>
          </w:p>
        </w:tc>
        <w:tc>
          <w:tcPr>
            <w:tcW w:w="1312" w:type="dxa"/>
            <w:tcBorders>
              <w:top w:val="single" w:sz="4" w:space="0" w:color="000000"/>
              <w:bottom w:val="single" w:sz="4" w:space="0" w:color="000000"/>
            </w:tcBorders>
          </w:tcPr>
          <w:p w14:paraId="4F7A67DE" w14:textId="77777777" w:rsidR="00370FC1" w:rsidRDefault="00370FC1" w:rsidP="002475E3">
            <w:pPr>
              <w:jc w:val="center"/>
              <w:rPr>
                <w:sz w:val="24"/>
                <w:szCs w:val="24"/>
              </w:rPr>
            </w:pPr>
            <w:r>
              <w:rPr>
                <w:sz w:val="24"/>
                <w:szCs w:val="24"/>
              </w:rPr>
              <w:t>Group by time interaction</w:t>
            </w:r>
          </w:p>
        </w:tc>
        <w:tc>
          <w:tcPr>
            <w:tcW w:w="1312" w:type="dxa"/>
            <w:tcBorders>
              <w:top w:val="single" w:sz="4" w:space="0" w:color="000000"/>
              <w:bottom w:val="single" w:sz="4" w:space="0" w:color="000000"/>
            </w:tcBorders>
          </w:tcPr>
          <w:p w14:paraId="25EF9BEC" w14:textId="77777777" w:rsidR="00370FC1" w:rsidRDefault="00370FC1" w:rsidP="002475E3">
            <w:pPr>
              <w:jc w:val="center"/>
            </w:pPr>
            <w:r>
              <w:t xml:space="preserve">Post-hoc </w:t>
            </w:r>
          </w:p>
          <w:p w14:paraId="743D7244" w14:textId="77777777" w:rsidR="00370FC1" w:rsidRDefault="00370FC1" w:rsidP="002475E3">
            <w:pPr>
              <w:jc w:val="center"/>
            </w:pPr>
            <w:r>
              <w:t>t-tests for NCT</w:t>
            </w:r>
          </w:p>
        </w:tc>
        <w:tc>
          <w:tcPr>
            <w:tcW w:w="1312" w:type="dxa"/>
            <w:tcBorders>
              <w:top w:val="single" w:sz="4" w:space="0" w:color="000000"/>
              <w:bottom w:val="single" w:sz="4" w:space="0" w:color="000000"/>
            </w:tcBorders>
          </w:tcPr>
          <w:p w14:paraId="74558A1E" w14:textId="77777777" w:rsidR="00370FC1" w:rsidRDefault="00370FC1" w:rsidP="002475E3">
            <w:pPr>
              <w:jc w:val="center"/>
            </w:pPr>
            <w:r>
              <w:t xml:space="preserve">Post-hoc </w:t>
            </w:r>
          </w:p>
          <w:p w14:paraId="10A0A500" w14:textId="77777777" w:rsidR="00370FC1" w:rsidRDefault="00370FC1" w:rsidP="002475E3">
            <w:pPr>
              <w:jc w:val="center"/>
            </w:pPr>
            <w:r>
              <w:t>t-tests for SCOTT</w:t>
            </w:r>
          </w:p>
        </w:tc>
      </w:tr>
      <w:tr w:rsidR="00370FC1" w14:paraId="154A4725" w14:textId="77777777" w:rsidTr="002475E3">
        <w:tc>
          <w:tcPr>
            <w:tcW w:w="1095" w:type="dxa"/>
            <w:tcBorders>
              <w:top w:val="single" w:sz="4" w:space="0" w:color="000000"/>
            </w:tcBorders>
          </w:tcPr>
          <w:p w14:paraId="15999E7A" w14:textId="77777777" w:rsidR="00370FC1" w:rsidRDefault="00370FC1" w:rsidP="002475E3">
            <w:pPr>
              <w:rPr>
                <w:sz w:val="24"/>
                <w:szCs w:val="24"/>
              </w:rPr>
            </w:pPr>
          </w:p>
        </w:tc>
        <w:tc>
          <w:tcPr>
            <w:tcW w:w="2258" w:type="dxa"/>
            <w:gridSpan w:val="2"/>
            <w:tcBorders>
              <w:top w:val="single" w:sz="4" w:space="0" w:color="000000"/>
            </w:tcBorders>
          </w:tcPr>
          <w:p w14:paraId="416165B1" w14:textId="77777777" w:rsidR="00370FC1" w:rsidRDefault="00370FC1" w:rsidP="002475E3">
            <w:pPr>
              <w:pBdr>
                <w:bottom w:val="single" w:sz="6" w:space="1" w:color="000000"/>
              </w:pBdr>
              <w:jc w:val="center"/>
              <w:rPr>
                <w:sz w:val="24"/>
                <w:szCs w:val="24"/>
              </w:rPr>
            </w:pPr>
            <w:r>
              <w:rPr>
                <w:sz w:val="24"/>
                <w:szCs w:val="24"/>
              </w:rPr>
              <w:t>M (S.D.)</w:t>
            </w:r>
          </w:p>
          <w:p w14:paraId="50871A0E" w14:textId="77777777" w:rsidR="00370FC1" w:rsidRDefault="00370FC1" w:rsidP="002475E3">
            <w:pPr>
              <w:jc w:val="center"/>
              <w:rPr>
                <w:sz w:val="24"/>
                <w:szCs w:val="24"/>
              </w:rPr>
            </w:pPr>
          </w:p>
        </w:tc>
        <w:tc>
          <w:tcPr>
            <w:tcW w:w="2167" w:type="dxa"/>
            <w:gridSpan w:val="2"/>
            <w:tcBorders>
              <w:top w:val="single" w:sz="4" w:space="0" w:color="000000"/>
            </w:tcBorders>
          </w:tcPr>
          <w:p w14:paraId="69FF745C" w14:textId="77777777" w:rsidR="00370FC1" w:rsidRDefault="00370FC1" w:rsidP="002475E3">
            <w:pPr>
              <w:pBdr>
                <w:bottom w:val="single" w:sz="6" w:space="1" w:color="000000"/>
              </w:pBdr>
              <w:jc w:val="center"/>
              <w:rPr>
                <w:sz w:val="24"/>
                <w:szCs w:val="24"/>
              </w:rPr>
            </w:pPr>
            <w:r>
              <w:rPr>
                <w:sz w:val="24"/>
                <w:szCs w:val="24"/>
              </w:rPr>
              <w:t>M (S.D.)</w:t>
            </w:r>
          </w:p>
          <w:p w14:paraId="081FCF22" w14:textId="77777777" w:rsidR="00370FC1" w:rsidRDefault="00370FC1" w:rsidP="002475E3">
            <w:pPr>
              <w:jc w:val="center"/>
              <w:rPr>
                <w:sz w:val="24"/>
                <w:szCs w:val="24"/>
              </w:rPr>
            </w:pPr>
          </w:p>
        </w:tc>
        <w:tc>
          <w:tcPr>
            <w:tcW w:w="1312" w:type="dxa"/>
            <w:tcBorders>
              <w:top w:val="single" w:sz="4" w:space="0" w:color="000000"/>
            </w:tcBorders>
          </w:tcPr>
          <w:p w14:paraId="4759F96F" w14:textId="77777777" w:rsidR="00370FC1" w:rsidRDefault="00370FC1" w:rsidP="002475E3">
            <w:pPr>
              <w:jc w:val="center"/>
              <w:rPr>
                <w:sz w:val="24"/>
                <w:szCs w:val="24"/>
              </w:rPr>
            </w:pPr>
          </w:p>
        </w:tc>
        <w:tc>
          <w:tcPr>
            <w:tcW w:w="1312" w:type="dxa"/>
            <w:tcBorders>
              <w:top w:val="single" w:sz="4" w:space="0" w:color="000000"/>
            </w:tcBorders>
          </w:tcPr>
          <w:p w14:paraId="61C2E5FF" w14:textId="77777777" w:rsidR="00370FC1" w:rsidRDefault="00370FC1" w:rsidP="002475E3">
            <w:pPr>
              <w:jc w:val="center"/>
            </w:pPr>
          </w:p>
        </w:tc>
        <w:tc>
          <w:tcPr>
            <w:tcW w:w="1312" w:type="dxa"/>
            <w:tcBorders>
              <w:top w:val="single" w:sz="4" w:space="0" w:color="000000"/>
            </w:tcBorders>
          </w:tcPr>
          <w:p w14:paraId="0CFE5D34" w14:textId="77777777" w:rsidR="00370FC1" w:rsidRDefault="00370FC1" w:rsidP="002475E3">
            <w:pPr>
              <w:jc w:val="center"/>
            </w:pPr>
          </w:p>
        </w:tc>
      </w:tr>
      <w:tr w:rsidR="00370FC1" w14:paraId="47B99826" w14:textId="77777777" w:rsidTr="002475E3">
        <w:tc>
          <w:tcPr>
            <w:tcW w:w="1095" w:type="dxa"/>
          </w:tcPr>
          <w:p w14:paraId="5D981335" w14:textId="77777777" w:rsidR="00370FC1" w:rsidRDefault="00370FC1" w:rsidP="002475E3">
            <w:pPr>
              <w:rPr>
                <w:sz w:val="24"/>
                <w:szCs w:val="24"/>
              </w:rPr>
            </w:pPr>
          </w:p>
        </w:tc>
        <w:tc>
          <w:tcPr>
            <w:tcW w:w="1093" w:type="dxa"/>
          </w:tcPr>
          <w:p w14:paraId="2E25BE02" w14:textId="77777777" w:rsidR="00370FC1" w:rsidRDefault="00370FC1" w:rsidP="002475E3">
            <w:pPr>
              <w:jc w:val="center"/>
              <w:rPr>
                <w:sz w:val="24"/>
                <w:szCs w:val="24"/>
              </w:rPr>
            </w:pPr>
            <w:r>
              <w:rPr>
                <w:sz w:val="24"/>
                <w:szCs w:val="24"/>
              </w:rPr>
              <w:t>T1</w:t>
            </w:r>
          </w:p>
        </w:tc>
        <w:tc>
          <w:tcPr>
            <w:tcW w:w="1165" w:type="dxa"/>
          </w:tcPr>
          <w:p w14:paraId="78F71FD3" w14:textId="77777777" w:rsidR="00370FC1" w:rsidRDefault="00370FC1" w:rsidP="002475E3">
            <w:pPr>
              <w:jc w:val="center"/>
              <w:rPr>
                <w:sz w:val="24"/>
                <w:szCs w:val="24"/>
              </w:rPr>
            </w:pPr>
            <w:r>
              <w:rPr>
                <w:sz w:val="24"/>
                <w:szCs w:val="24"/>
              </w:rPr>
              <w:t>T2</w:t>
            </w:r>
          </w:p>
        </w:tc>
        <w:tc>
          <w:tcPr>
            <w:tcW w:w="1137" w:type="dxa"/>
          </w:tcPr>
          <w:p w14:paraId="3B8CDE55" w14:textId="77777777" w:rsidR="00370FC1" w:rsidRDefault="00370FC1" w:rsidP="002475E3">
            <w:pPr>
              <w:jc w:val="center"/>
              <w:rPr>
                <w:sz w:val="24"/>
                <w:szCs w:val="24"/>
              </w:rPr>
            </w:pPr>
            <w:r>
              <w:rPr>
                <w:sz w:val="24"/>
                <w:szCs w:val="24"/>
              </w:rPr>
              <w:t>T1</w:t>
            </w:r>
          </w:p>
        </w:tc>
        <w:tc>
          <w:tcPr>
            <w:tcW w:w="1030" w:type="dxa"/>
          </w:tcPr>
          <w:p w14:paraId="263A4650" w14:textId="77777777" w:rsidR="00370FC1" w:rsidRDefault="00370FC1" w:rsidP="002475E3">
            <w:pPr>
              <w:jc w:val="center"/>
              <w:rPr>
                <w:sz w:val="24"/>
                <w:szCs w:val="24"/>
              </w:rPr>
            </w:pPr>
            <w:r>
              <w:rPr>
                <w:sz w:val="24"/>
                <w:szCs w:val="24"/>
              </w:rPr>
              <w:t>T2</w:t>
            </w:r>
          </w:p>
        </w:tc>
        <w:tc>
          <w:tcPr>
            <w:tcW w:w="1312" w:type="dxa"/>
          </w:tcPr>
          <w:p w14:paraId="24A81FF7" w14:textId="77777777" w:rsidR="00370FC1" w:rsidRDefault="00370FC1" w:rsidP="002475E3">
            <w:pPr>
              <w:jc w:val="center"/>
              <w:rPr>
                <w:sz w:val="24"/>
                <w:szCs w:val="24"/>
              </w:rPr>
            </w:pPr>
            <w:proofErr w:type="spellStart"/>
            <w:r w:rsidRPr="00E54466">
              <w:rPr>
                <w:i/>
                <w:sz w:val="24"/>
                <w:szCs w:val="24"/>
              </w:rPr>
              <w:t>P</w:t>
            </w:r>
            <w:r w:rsidRPr="00E54466">
              <w:rPr>
                <w:sz w:val="24"/>
                <w:szCs w:val="24"/>
                <w:vertAlign w:val="subscript"/>
              </w:rPr>
              <w:t>FDRcorr</w:t>
            </w:r>
            <w:proofErr w:type="spellEnd"/>
          </w:p>
        </w:tc>
        <w:tc>
          <w:tcPr>
            <w:tcW w:w="1312" w:type="dxa"/>
          </w:tcPr>
          <w:p w14:paraId="60DF0359" w14:textId="77777777" w:rsidR="00370FC1" w:rsidRPr="00E54466" w:rsidRDefault="00370FC1" w:rsidP="002475E3">
            <w:pPr>
              <w:jc w:val="center"/>
              <w:rPr>
                <w:i/>
              </w:rPr>
            </w:pPr>
            <w:r w:rsidRPr="00E54466">
              <w:rPr>
                <w:i/>
              </w:rPr>
              <w:t>P</w:t>
            </w:r>
          </w:p>
        </w:tc>
        <w:tc>
          <w:tcPr>
            <w:tcW w:w="1312" w:type="dxa"/>
          </w:tcPr>
          <w:p w14:paraId="66904525" w14:textId="77777777" w:rsidR="00370FC1" w:rsidRPr="00E54466" w:rsidRDefault="00370FC1" w:rsidP="002475E3">
            <w:pPr>
              <w:jc w:val="center"/>
              <w:rPr>
                <w:i/>
              </w:rPr>
            </w:pPr>
            <w:r w:rsidRPr="00E54466">
              <w:rPr>
                <w:i/>
              </w:rPr>
              <w:t>P</w:t>
            </w:r>
          </w:p>
        </w:tc>
      </w:tr>
      <w:tr w:rsidR="00370FC1" w14:paraId="14CB1CB0" w14:textId="77777777" w:rsidTr="002475E3">
        <w:trPr>
          <w:trHeight w:val="680"/>
        </w:trPr>
        <w:tc>
          <w:tcPr>
            <w:tcW w:w="1095" w:type="dxa"/>
          </w:tcPr>
          <w:p w14:paraId="360EBF60" w14:textId="77777777" w:rsidR="00370FC1" w:rsidRDefault="00370FC1" w:rsidP="002475E3">
            <w:pPr>
              <w:rPr>
                <w:sz w:val="24"/>
                <w:szCs w:val="24"/>
              </w:rPr>
            </w:pPr>
            <w:proofErr w:type="spellStart"/>
            <w:r>
              <w:rPr>
                <w:sz w:val="24"/>
                <w:szCs w:val="24"/>
              </w:rPr>
              <w:t>FPa</w:t>
            </w:r>
            <w:proofErr w:type="spellEnd"/>
          </w:p>
        </w:tc>
        <w:tc>
          <w:tcPr>
            <w:tcW w:w="1093" w:type="dxa"/>
            <w:vAlign w:val="center"/>
          </w:tcPr>
          <w:p w14:paraId="6ED089FB" w14:textId="77777777" w:rsidR="00370FC1" w:rsidRDefault="00370FC1" w:rsidP="002475E3">
            <w:pPr>
              <w:jc w:val="center"/>
              <w:rPr>
                <w:sz w:val="24"/>
                <w:szCs w:val="24"/>
              </w:rPr>
            </w:pPr>
            <w:r>
              <w:rPr>
                <w:sz w:val="24"/>
                <w:szCs w:val="24"/>
              </w:rPr>
              <w:t>57.6</w:t>
            </w:r>
          </w:p>
          <w:p w14:paraId="514A66A8" w14:textId="77777777" w:rsidR="00370FC1" w:rsidRDefault="00370FC1" w:rsidP="002475E3">
            <w:pPr>
              <w:jc w:val="center"/>
              <w:rPr>
                <w:sz w:val="24"/>
                <w:szCs w:val="24"/>
              </w:rPr>
            </w:pPr>
            <w:r>
              <w:rPr>
                <w:sz w:val="24"/>
                <w:szCs w:val="24"/>
              </w:rPr>
              <w:t>(23)</w:t>
            </w:r>
          </w:p>
        </w:tc>
        <w:tc>
          <w:tcPr>
            <w:tcW w:w="1165" w:type="dxa"/>
            <w:vAlign w:val="center"/>
          </w:tcPr>
          <w:p w14:paraId="2E511A44" w14:textId="77777777" w:rsidR="00370FC1" w:rsidRDefault="00370FC1" w:rsidP="002475E3">
            <w:pPr>
              <w:jc w:val="center"/>
              <w:rPr>
                <w:sz w:val="24"/>
                <w:szCs w:val="24"/>
              </w:rPr>
            </w:pPr>
            <w:r>
              <w:rPr>
                <w:sz w:val="24"/>
                <w:szCs w:val="24"/>
              </w:rPr>
              <w:t>67.3</w:t>
            </w:r>
          </w:p>
          <w:p w14:paraId="7869775E" w14:textId="77777777" w:rsidR="00370FC1" w:rsidRDefault="00370FC1" w:rsidP="002475E3">
            <w:pPr>
              <w:jc w:val="center"/>
              <w:rPr>
                <w:sz w:val="24"/>
                <w:szCs w:val="24"/>
              </w:rPr>
            </w:pPr>
            <w:r>
              <w:rPr>
                <w:sz w:val="24"/>
                <w:szCs w:val="24"/>
              </w:rPr>
              <w:t>(21.2)</w:t>
            </w:r>
          </w:p>
        </w:tc>
        <w:tc>
          <w:tcPr>
            <w:tcW w:w="1137" w:type="dxa"/>
            <w:vAlign w:val="center"/>
          </w:tcPr>
          <w:p w14:paraId="01155B18" w14:textId="77777777" w:rsidR="00370FC1" w:rsidRDefault="00370FC1" w:rsidP="002475E3">
            <w:pPr>
              <w:jc w:val="center"/>
              <w:rPr>
                <w:sz w:val="24"/>
                <w:szCs w:val="24"/>
              </w:rPr>
            </w:pPr>
            <w:r>
              <w:rPr>
                <w:sz w:val="24"/>
                <w:szCs w:val="24"/>
              </w:rPr>
              <w:t>65.5 (18.2)</w:t>
            </w:r>
          </w:p>
        </w:tc>
        <w:tc>
          <w:tcPr>
            <w:tcW w:w="1030" w:type="dxa"/>
            <w:vAlign w:val="center"/>
          </w:tcPr>
          <w:p w14:paraId="2B546AA2" w14:textId="77777777" w:rsidR="00370FC1" w:rsidRDefault="00370FC1" w:rsidP="002475E3">
            <w:pPr>
              <w:jc w:val="center"/>
              <w:rPr>
                <w:sz w:val="24"/>
                <w:szCs w:val="24"/>
              </w:rPr>
            </w:pPr>
            <w:r>
              <w:rPr>
                <w:sz w:val="24"/>
                <w:szCs w:val="24"/>
              </w:rPr>
              <w:t>76.5 (19.5)</w:t>
            </w:r>
          </w:p>
        </w:tc>
        <w:tc>
          <w:tcPr>
            <w:tcW w:w="1312" w:type="dxa"/>
            <w:vAlign w:val="center"/>
          </w:tcPr>
          <w:p w14:paraId="608B8432" w14:textId="77777777" w:rsidR="00370FC1" w:rsidRDefault="00370FC1" w:rsidP="002475E3">
            <w:pPr>
              <w:jc w:val="center"/>
              <w:rPr>
                <w:sz w:val="24"/>
                <w:szCs w:val="24"/>
              </w:rPr>
            </w:pPr>
            <w:r>
              <w:rPr>
                <w:sz w:val="24"/>
                <w:szCs w:val="24"/>
              </w:rPr>
              <w:t>0.7220</w:t>
            </w:r>
          </w:p>
        </w:tc>
        <w:tc>
          <w:tcPr>
            <w:tcW w:w="1312" w:type="dxa"/>
          </w:tcPr>
          <w:p w14:paraId="635B521C" w14:textId="77777777" w:rsidR="00370FC1" w:rsidRDefault="00370FC1" w:rsidP="002475E3">
            <w:pPr>
              <w:jc w:val="center"/>
            </w:pPr>
          </w:p>
        </w:tc>
        <w:tc>
          <w:tcPr>
            <w:tcW w:w="1312" w:type="dxa"/>
          </w:tcPr>
          <w:p w14:paraId="4169D988" w14:textId="77777777" w:rsidR="00370FC1" w:rsidRDefault="00370FC1" w:rsidP="002475E3">
            <w:pPr>
              <w:jc w:val="center"/>
            </w:pPr>
          </w:p>
        </w:tc>
      </w:tr>
      <w:tr w:rsidR="00370FC1" w14:paraId="34D86C1F" w14:textId="77777777" w:rsidTr="002475E3">
        <w:trPr>
          <w:trHeight w:val="660"/>
        </w:trPr>
        <w:tc>
          <w:tcPr>
            <w:tcW w:w="1095" w:type="dxa"/>
            <w:tcBorders>
              <w:bottom w:val="single" w:sz="4" w:space="0" w:color="BFBFBF"/>
            </w:tcBorders>
          </w:tcPr>
          <w:p w14:paraId="4F183D17" w14:textId="77777777" w:rsidR="00370FC1" w:rsidRDefault="00370FC1" w:rsidP="002475E3">
            <w:pPr>
              <w:rPr>
                <w:sz w:val="24"/>
                <w:szCs w:val="24"/>
              </w:rPr>
            </w:pPr>
            <w:proofErr w:type="spellStart"/>
            <w:r>
              <w:rPr>
                <w:sz w:val="24"/>
                <w:szCs w:val="24"/>
              </w:rPr>
              <w:t>FPb</w:t>
            </w:r>
            <w:proofErr w:type="spellEnd"/>
          </w:p>
        </w:tc>
        <w:tc>
          <w:tcPr>
            <w:tcW w:w="1093" w:type="dxa"/>
            <w:tcBorders>
              <w:bottom w:val="single" w:sz="4" w:space="0" w:color="BFBFBF"/>
            </w:tcBorders>
            <w:vAlign w:val="center"/>
          </w:tcPr>
          <w:p w14:paraId="6FEC7B30" w14:textId="77777777" w:rsidR="00370FC1" w:rsidRDefault="00370FC1" w:rsidP="002475E3">
            <w:pPr>
              <w:jc w:val="center"/>
              <w:rPr>
                <w:sz w:val="24"/>
                <w:szCs w:val="24"/>
              </w:rPr>
            </w:pPr>
            <w:r>
              <w:rPr>
                <w:sz w:val="24"/>
                <w:szCs w:val="24"/>
              </w:rPr>
              <w:t>59.5 (19.7)</w:t>
            </w:r>
          </w:p>
        </w:tc>
        <w:tc>
          <w:tcPr>
            <w:tcW w:w="1165" w:type="dxa"/>
            <w:tcBorders>
              <w:bottom w:val="single" w:sz="4" w:space="0" w:color="BFBFBF"/>
            </w:tcBorders>
            <w:vAlign w:val="center"/>
          </w:tcPr>
          <w:p w14:paraId="5E3EC67D" w14:textId="77777777" w:rsidR="00370FC1" w:rsidRDefault="00370FC1" w:rsidP="002475E3">
            <w:pPr>
              <w:jc w:val="center"/>
              <w:rPr>
                <w:sz w:val="24"/>
                <w:szCs w:val="24"/>
              </w:rPr>
            </w:pPr>
            <w:r>
              <w:rPr>
                <w:sz w:val="24"/>
                <w:szCs w:val="24"/>
              </w:rPr>
              <w:t>63.1</w:t>
            </w:r>
          </w:p>
          <w:p w14:paraId="29519289" w14:textId="77777777" w:rsidR="00370FC1" w:rsidRDefault="00370FC1" w:rsidP="002475E3">
            <w:pPr>
              <w:jc w:val="center"/>
              <w:rPr>
                <w:sz w:val="24"/>
                <w:szCs w:val="24"/>
              </w:rPr>
            </w:pPr>
            <w:r>
              <w:rPr>
                <w:sz w:val="24"/>
                <w:szCs w:val="24"/>
              </w:rPr>
              <w:t>(20.5)</w:t>
            </w:r>
          </w:p>
        </w:tc>
        <w:tc>
          <w:tcPr>
            <w:tcW w:w="1137" w:type="dxa"/>
            <w:tcBorders>
              <w:bottom w:val="single" w:sz="4" w:space="0" w:color="BFBFBF"/>
            </w:tcBorders>
            <w:vAlign w:val="center"/>
          </w:tcPr>
          <w:p w14:paraId="396F658A" w14:textId="77777777" w:rsidR="00370FC1" w:rsidRDefault="00370FC1" w:rsidP="002475E3">
            <w:pPr>
              <w:jc w:val="center"/>
              <w:rPr>
                <w:sz w:val="24"/>
                <w:szCs w:val="24"/>
              </w:rPr>
            </w:pPr>
            <w:r>
              <w:rPr>
                <w:sz w:val="24"/>
                <w:szCs w:val="24"/>
              </w:rPr>
              <w:t>63.2</w:t>
            </w:r>
          </w:p>
          <w:p w14:paraId="01973BD3" w14:textId="77777777" w:rsidR="00370FC1" w:rsidRDefault="00370FC1" w:rsidP="002475E3">
            <w:pPr>
              <w:jc w:val="center"/>
              <w:rPr>
                <w:sz w:val="24"/>
                <w:szCs w:val="24"/>
              </w:rPr>
            </w:pPr>
            <w:r>
              <w:rPr>
                <w:sz w:val="24"/>
                <w:szCs w:val="24"/>
              </w:rPr>
              <w:t>(21.6)</w:t>
            </w:r>
          </w:p>
        </w:tc>
        <w:tc>
          <w:tcPr>
            <w:tcW w:w="1030" w:type="dxa"/>
            <w:tcBorders>
              <w:bottom w:val="single" w:sz="4" w:space="0" w:color="BFBFBF"/>
            </w:tcBorders>
            <w:vAlign w:val="center"/>
          </w:tcPr>
          <w:p w14:paraId="21DEB537" w14:textId="77777777" w:rsidR="00370FC1" w:rsidRDefault="00370FC1" w:rsidP="002475E3">
            <w:pPr>
              <w:jc w:val="center"/>
              <w:rPr>
                <w:sz w:val="24"/>
                <w:szCs w:val="24"/>
              </w:rPr>
            </w:pPr>
            <w:r>
              <w:rPr>
                <w:sz w:val="24"/>
                <w:szCs w:val="24"/>
              </w:rPr>
              <w:t>79.3 (16.5)</w:t>
            </w:r>
          </w:p>
        </w:tc>
        <w:tc>
          <w:tcPr>
            <w:tcW w:w="1312" w:type="dxa"/>
            <w:tcBorders>
              <w:bottom w:val="single" w:sz="4" w:space="0" w:color="BFBFBF"/>
            </w:tcBorders>
            <w:vAlign w:val="center"/>
          </w:tcPr>
          <w:p w14:paraId="77DAD539" w14:textId="77777777" w:rsidR="00370FC1" w:rsidRDefault="00370FC1" w:rsidP="002475E3">
            <w:pPr>
              <w:jc w:val="center"/>
              <w:rPr>
                <w:sz w:val="24"/>
                <w:szCs w:val="24"/>
              </w:rPr>
            </w:pPr>
            <w:r>
              <w:rPr>
                <w:sz w:val="24"/>
                <w:szCs w:val="24"/>
              </w:rPr>
              <w:t>0.007</w:t>
            </w:r>
          </w:p>
        </w:tc>
        <w:tc>
          <w:tcPr>
            <w:tcW w:w="1312" w:type="dxa"/>
            <w:tcBorders>
              <w:bottom w:val="single" w:sz="4" w:space="0" w:color="BFBFBF"/>
            </w:tcBorders>
            <w:vAlign w:val="center"/>
          </w:tcPr>
          <w:p w14:paraId="2132D3AC" w14:textId="77777777" w:rsidR="00370FC1" w:rsidRPr="00E54466" w:rsidRDefault="00370FC1" w:rsidP="002475E3">
            <w:pPr>
              <w:jc w:val="center"/>
              <w:rPr>
                <w:sz w:val="24"/>
                <w:szCs w:val="24"/>
              </w:rPr>
            </w:pPr>
            <w:r w:rsidRPr="00E54466">
              <w:rPr>
                <w:sz w:val="24"/>
                <w:szCs w:val="24"/>
              </w:rPr>
              <w:t>0.2</w:t>
            </w:r>
            <w:r>
              <w:rPr>
                <w:sz w:val="24"/>
                <w:szCs w:val="24"/>
              </w:rPr>
              <w:t>45</w:t>
            </w:r>
          </w:p>
        </w:tc>
        <w:tc>
          <w:tcPr>
            <w:tcW w:w="1312" w:type="dxa"/>
            <w:tcBorders>
              <w:bottom w:val="single" w:sz="4" w:space="0" w:color="BFBFBF"/>
            </w:tcBorders>
            <w:vAlign w:val="center"/>
          </w:tcPr>
          <w:p w14:paraId="35EF3531" w14:textId="77777777" w:rsidR="00370FC1" w:rsidRPr="00E54466" w:rsidRDefault="00370FC1" w:rsidP="002475E3">
            <w:pPr>
              <w:jc w:val="center"/>
              <w:rPr>
                <w:sz w:val="24"/>
                <w:szCs w:val="24"/>
              </w:rPr>
            </w:pPr>
            <w:r w:rsidRPr="00E54466">
              <w:rPr>
                <w:sz w:val="24"/>
                <w:szCs w:val="24"/>
              </w:rPr>
              <w:t>0.001</w:t>
            </w:r>
          </w:p>
        </w:tc>
      </w:tr>
      <w:tr w:rsidR="00370FC1" w14:paraId="0F48166B" w14:textId="77777777" w:rsidTr="002475E3">
        <w:trPr>
          <w:trHeight w:val="660"/>
        </w:trPr>
        <w:tc>
          <w:tcPr>
            <w:tcW w:w="1095" w:type="dxa"/>
            <w:tcBorders>
              <w:bottom w:val="single" w:sz="4" w:space="0" w:color="auto"/>
            </w:tcBorders>
          </w:tcPr>
          <w:p w14:paraId="6DB8BA80" w14:textId="77777777" w:rsidR="00370FC1" w:rsidRDefault="00370FC1" w:rsidP="002475E3">
            <w:pPr>
              <w:rPr>
                <w:sz w:val="24"/>
                <w:szCs w:val="24"/>
              </w:rPr>
            </w:pPr>
            <w:r>
              <w:rPr>
                <w:sz w:val="24"/>
                <w:szCs w:val="24"/>
              </w:rPr>
              <w:t xml:space="preserve">MASC – total score </w:t>
            </w:r>
          </w:p>
        </w:tc>
        <w:tc>
          <w:tcPr>
            <w:tcW w:w="1093" w:type="dxa"/>
            <w:tcBorders>
              <w:bottom w:val="single" w:sz="4" w:space="0" w:color="auto"/>
            </w:tcBorders>
            <w:vAlign w:val="center"/>
          </w:tcPr>
          <w:p w14:paraId="62D7A726" w14:textId="77777777" w:rsidR="00370FC1" w:rsidRDefault="00370FC1" w:rsidP="002475E3">
            <w:pPr>
              <w:jc w:val="center"/>
              <w:rPr>
                <w:sz w:val="24"/>
                <w:szCs w:val="24"/>
              </w:rPr>
            </w:pPr>
            <w:r>
              <w:rPr>
                <w:sz w:val="24"/>
                <w:szCs w:val="24"/>
              </w:rPr>
              <w:t>26.8 (10.4)</w:t>
            </w:r>
          </w:p>
        </w:tc>
        <w:tc>
          <w:tcPr>
            <w:tcW w:w="1165" w:type="dxa"/>
            <w:tcBorders>
              <w:bottom w:val="single" w:sz="4" w:space="0" w:color="auto"/>
            </w:tcBorders>
            <w:vAlign w:val="center"/>
          </w:tcPr>
          <w:p w14:paraId="06345751" w14:textId="77777777" w:rsidR="00370FC1" w:rsidRDefault="00370FC1" w:rsidP="002475E3">
            <w:pPr>
              <w:jc w:val="center"/>
              <w:rPr>
                <w:sz w:val="24"/>
                <w:szCs w:val="24"/>
              </w:rPr>
            </w:pPr>
            <w:r>
              <w:rPr>
                <w:sz w:val="24"/>
                <w:szCs w:val="24"/>
              </w:rPr>
              <w:t>27.9</w:t>
            </w:r>
          </w:p>
          <w:p w14:paraId="2106713B" w14:textId="77777777" w:rsidR="00370FC1" w:rsidRDefault="00370FC1" w:rsidP="002475E3">
            <w:pPr>
              <w:jc w:val="center"/>
              <w:rPr>
                <w:sz w:val="24"/>
                <w:szCs w:val="24"/>
              </w:rPr>
            </w:pPr>
            <w:r>
              <w:rPr>
                <w:sz w:val="24"/>
                <w:szCs w:val="24"/>
              </w:rPr>
              <w:t>(9.6)</w:t>
            </w:r>
          </w:p>
        </w:tc>
        <w:tc>
          <w:tcPr>
            <w:tcW w:w="1137" w:type="dxa"/>
            <w:tcBorders>
              <w:bottom w:val="single" w:sz="4" w:space="0" w:color="auto"/>
            </w:tcBorders>
            <w:vAlign w:val="center"/>
          </w:tcPr>
          <w:p w14:paraId="0F329DC2" w14:textId="77777777" w:rsidR="00370FC1" w:rsidRDefault="00370FC1" w:rsidP="002475E3">
            <w:pPr>
              <w:jc w:val="center"/>
              <w:rPr>
                <w:sz w:val="24"/>
                <w:szCs w:val="24"/>
              </w:rPr>
            </w:pPr>
            <w:r>
              <w:rPr>
                <w:sz w:val="24"/>
                <w:szCs w:val="24"/>
              </w:rPr>
              <w:t>28.3 (10.8)</w:t>
            </w:r>
          </w:p>
        </w:tc>
        <w:tc>
          <w:tcPr>
            <w:tcW w:w="1030" w:type="dxa"/>
            <w:tcBorders>
              <w:bottom w:val="single" w:sz="4" w:space="0" w:color="auto"/>
            </w:tcBorders>
            <w:vAlign w:val="center"/>
          </w:tcPr>
          <w:p w14:paraId="23DACD3B" w14:textId="77777777" w:rsidR="00370FC1" w:rsidRDefault="00370FC1" w:rsidP="002475E3">
            <w:pPr>
              <w:jc w:val="center"/>
              <w:rPr>
                <w:sz w:val="24"/>
                <w:szCs w:val="24"/>
              </w:rPr>
            </w:pPr>
            <w:r>
              <w:rPr>
                <w:sz w:val="24"/>
                <w:szCs w:val="24"/>
              </w:rPr>
              <w:t>31.3 (11.3)</w:t>
            </w:r>
          </w:p>
        </w:tc>
        <w:tc>
          <w:tcPr>
            <w:tcW w:w="1312" w:type="dxa"/>
            <w:tcBorders>
              <w:bottom w:val="single" w:sz="4" w:space="0" w:color="auto"/>
            </w:tcBorders>
            <w:vAlign w:val="center"/>
          </w:tcPr>
          <w:p w14:paraId="1C001B4A" w14:textId="77777777" w:rsidR="00370FC1" w:rsidRDefault="00370FC1" w:rsidP="002475E3">
            <w:pPr>
              <w:jc w:val="center"/>
              <w:rPr>
                <w:sz w:val="24"/>
                <w:szCs w:val="24"/>
              </w:rPr>
            </w:pPr>
            <w:r>
              <w:rPr>
                <w:sz w:val="24"/>
                <w:szCs w:val="24"/>
              </w:rPr>
              <w:t>0.007</w:t>
            </w:r>
          </w:p>
        </w:tc>
        <w:tc>
          <w:tcPr>
            <w:tcW w:w="1312" w:type="dxa"/>
            <w:tcBorders>
              <w:bottom w:val="single" w:sz="4" w:space="0" w:color="auto"/>
            </w:tcBorders>
            <w:vAlign w:val="center"/>
          </w:tcPr>
          <w:p w14:paraId="4B23AAF7" w14:textId="77777777" w:rsidR="00370FC1" w:rsidRPr="00E54466" w:rsidRDefault="00370FC1" w:rsidP="002475E3">
            <w:pPr>
              <w:jc w:val="center"/>
              <w:rPr>
                <w:sz w:val="24"/>
                <w:szCs w:val="24"/>
              </w:rPr>
            </w:pPr>
            <w:r w:rsidRPr="00E54466">
              <w:rPr>
                <w:sz w:val="24"/>
                <w:szCs w:val="24"/>
              </w:rPr>
              <w:t>0.4</w:t>
            </w:r>
            <w:r>
              <w:rPr>
                <w:sz w:val="24"/>
                <w:szCs w:val="24"/>
              </w:rPr>
              <w:t>64</w:t>
            </w:r>
          </w:p>
        </w:tc>
        <w:tc>
          <w:tcPr>
            <w:tcW w:w="1312" w:type="dxa"/>
            <w:tcBorders>
              <w:bottom w:val="single" w:sz="4" w:space="0" w:color="auto"/>
            </w:tcBorders>
            <w:vAlign w:val="center"/>
          </w:tcPr>
          <w:p w14:paraId="3262B1B4" w14:textId="77777777" w:rsidR="00370FC1" w:rsidRPr="00E54466" w:rsidRDefault="00370FC1" w:rsidP="002475E3">
            <w:pPr>
              <w:jc w:val="center"/>
              <w:rPr>
                <w:sz w:val="24"/>
                <w:szCs w:val="24"/>
              </w:rPr>
            </w:pPr>
            <w:r w:rsidRPr="00E54466">
              <w:rPr>
                <w:sz w:val="24"/>
                <w:szCs w:val="24"/>
              </w:rPr>
              <w:t>0.0</w:t>
            </w:r>
            <w:r>
              <w:rPr>
                <w:sz w:val="24"/>
                <w:szCs w:val="24"/>
              </w:rPr>
              <w:t>01</w:t>
            </w:r>
          </w:p>
        </w:tc>
      </w:tr>
    </w:tbl>
    <w:p w14:paraId="5B90BA0C" w14:textId="77777777" w:rsidR="00370FC1" w:rsidRDefault="00370FC1" w:rsidP="00370FC1">
      <w:r>
        <w:t>Performance improvements in the SCOTT group relative to the NCT group were observed on two of the three measures (</w:t>
      </w:r>
      <w:proofErr w:type="spellStart"/>
      <w:r>
        <w:t>FPb</w:t>
      </w:r>
      <w:proofErr w:type="spellEnd"/>
      <w:r>
        <w:t xml:space="preserve"> and MASC total scores). Accuracy is measured in percent correct (range: 0 to 100 %) for the </w:t>
      </w:r>
      <w:proofErr w:type="spellStart"/>
      <w:r>
        <w:t>FPa</w:t>
      </w:r>
      <w:proofErr w:type="spellEnd"/>
      <w:r>
        <w:t xml:space="preserve"> and </w:t>
      </w:r>
      <w:proofErr w:type="spellStart"/>
      <w:r>
        <w:t>FPb</w:t>
      </w:r>
      <w:proofErr w:type="spellEnd"/>
      <w:r>
        <w:t xml:space="preserve"> tests and in number of correct responses for the MASC total score (range: 0 to 46 points). The false discovery rate (FDR) corrected </w:t>
      </w:r>
      <w:r w:rsidRPr="00DC7CFE">
        <w:rPr>
          <w:i/>
        </w:rPr>
        <w:t>p</w:t>
      </w:r>
      <w:r>
        <w:t xml:space="preserve">-values indicate the significance level of group (SCOTT vs. NCT) by time (T1 vs. T2) interaction effects. The post-hoc repeated measures t-tests in the NCT and SCOTT groups shows that significant interactions are driven by changes in the SCOTT group. Note that statistical tests are based on the normalized test scores following the Box-Cox transformation. </w:t>
      </w:r>
      <w:r>
        <w:rPr>
          <w:b/>
        </w:rPr>
        <w:t xml:space="preserve">Abbreviations: </w:t>
      </w:r>
      <w:r>
        <w:t>NCT: Nonsocial computer training group; SCOTT: Social cognition training tool group; MASC: Movie for the Assessment of Social Cognition; T1: time point 1; T2: time point 2.</w:t>
      </w:r>
    </w:p>
    <w:p w14:paraId="5A3E3A85" w14:textId="77777777" w:rsidR="00370FC1" w:rsidRDefault="00370FC1" w:rsidP="00370FC1"/>
    <w:p w14:paraId="2057EA31" w14:textId="77777777" w:rsidR="00370FC1" w:rsidRDefault="00370FC1" w:rsidP="00370FC1">
      <w:bookmarkStart w:id="0" w:name="_GoBack"/>
      <w:bookmarkEnd w:id="0"/>
    </w:p>
    <w:sectPr w:rsidR="00370FC1" w:rsidSect="001935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FC1"/>
    <w:rsid w:val="00013E8E"/>
    <w:rsid w:val="00027AA9"/>
    <w:rsid w:val="0008579F"/>
    <w:rsid w:val="000944AF"/>
    <w:rsid w:val="0009487E"/>
    <w:rsid w:val="000A0B19"/>
    <w:rsid w:val="000A2B52"/>
    <w:rsid w:val="000B597A"/>
    <w:rsid w:val="000D2D33"/>
    <w:rsid w:val="000E3A90"/>
    <w:rsid w:val="000F1C53"/>
    <w:rsid w:val="000F6500"/>
    <w:rsid w:val="0011211B"/>
    <w:rsid w:val="0011566A"/>
    <w:rsid w:val="00121F0A"/>
    <w:rsid w:val="001220F8"/>
    <w:rsid w:val="00136B56"/>
    <w:rsid w:val="0014126D"/>
    <w:rsid w:val="00151BBC"/>
    <w:rsid w:val="00156A93"/>
    <w:rsid w:val="00160058"/>
    <w:rsid w:val="00161D88"/>
    <w:rsid w:val="00181501"/>
    <w:rsid w:val="001915AC"/>
    <w:rsid w:val="001935E7"/>
    <w:rsid w:val="001A6D93"/>
    <w:rsid w:val="001D1EAD"/>
    <w:rsid w:val="00207655"/>
    <w:rsid w:val="00210192"/>
    <w:rsid w:val="0021438B"/>
    <w:rsid w:val="002155AA"/>
    <w:rsid w:val="00232DB2"/>
    <w:rsid w:val="00246E32"/>
    <w:rsid w:val="002470FE"/>
    <w:rsid w:val="00267D5B"/>
    <w:rsid w:val="00274EBB"/>
    <w:rsid w:val="00294BCF"/>
    <w:rsid w:val="00295FE7"/>
    <w:rsid w:val="002A5C9D"/>
    <w:rsid w:val="002D2B6B"/>
    <w:rsid w:val="002D36A7"/>
    <w:rsid w:val="002F522C"/>
    <w:rsid w:val="003000DA"/>
    <w:rsid w:val="00304370"/>
    <w:rsid w:val="00305037"/>
    <w:rsid w:val="00310A08"/>
    <w:rsid w:val="00322F19"/>
    <w:rsid w:val="00327B82"/>
    <w:rsid w:val="003360D9"/>
    <w:rsid w:val="003542BB"/>
    <w:rsid w:val="00366F0D"/>
    <w:rsid w:val="00370FC1"/>
    <w:rsid w:val="00371259"/>
    <w:rsid w:val="00393157"/>
    <w:rsid w:val="003A23A8"/>
    <w:rsid w:val="003B6391"/>
    <w:rsid w:val="003C485D"/>
    <w:rsid w:val="003D5AD9"/>
    <w:rsid w:val="003F47E5"/>
    <w:rsid w:val="00415B98"/>
    <w:rsid w:val="004170AD"/>
    <w:rsid w:val="00424AC6"/>
    <w:rsid w:val="004578FA"/>
    <w:rsid w:val="00464275"/>
    <w:rsid w:val="00467C6C"/>
    <w:rsid w:val="0047218C"/>
    <w:rsid w:val="004B77FE"/>
    <w:rsid w:val="004D2497"/>
    <w:rsid w:val="004E0663"/>
    <w:rsid w:val="004E3CFB"/>
    <w:rsid w:val="005134ED"/>
    <w:rsid w:val="005209A7"/>
    <w:rsid w:val="00520FEA"/>
    <w:rsid w:val="00527196"/>
    <w:rsid w:val="005349BF"/>
    <w:rsid w:val="00535ECF"/>
    <w:rsid w:val="0055688D"/>
    <w:rsid w:val="005617C0"/>
    <w:rsid w:val="00571C24"/>
    <w:rsid w:val="00572E81"/>
    <w:rsid w:val="005A42B3"/>
    <w:rsid w:val="005B0904"/>
    <w:rsid w:val="005E2EF8"/>
    <w:rsid w:val="0065371F"/>
    <w:rsid w:val="00655D07"/>
    <w:rsid w:val="00661376"/>
    <w:rsid w:val="006616A1"/>
    <w:rsid w:val="00666E08"/>
    <w:rsid w:val="0067654A"/>
    <w:rsid w:val="0068491A"/>
    <w:rsid w:val="00684CED"/>
    <w:rsid w:val="006931D2"/>
    <w:rsid w:val="0069325D"/>
    <w:rsid w:val="00696250"/>
    <w:rsid w:val="006D6C50"/>
    <w:rsid w:val="006F51B5"/>
    <w:rsid w:val="0070062D"/>
    <w:rsid w:val="0070447E"/>
    <w:rsid w:val="00706717"/>
    <w:rsid w:val="007109C6"/>
    <w:rsid w:val="00731D71"/>
    <w:rsid w:val="007408E4"/>
    <w:rsid w:val="007600F5"/>
    <w:rsid w:val="00762E30"/>
    <w:rsid w:val="007636C1"/>
    <w:rsid w:val="007919DC"/>
    <w:rsid w:val="007947FE"/>
    <w:rsid w:val="00794F66"/>
    <w:rsid w:val="007B2FD2"/>
    <w:rsid w:val="007B689C"/>
    <w:rsid w:val="007D5F90"/>
    <w:rsid w:val="007E102C"/>
    <w:rsid w:val="007E48EC"/>
    <w:rsid w:val="007F3247"/>
    <w:rsid w:val="0080623A"/>
    <w:rsid w:val="00822315"/>
    <w:rsid w:val="00827F8E"/>
    <w:rsid w:val="00844B0D"/>
    <w:rsid w:val="00850C80"/>
    <w:rsid w:val="00860A1B"/>
    <w:rsid w:val="0087253A"/>
    <w:rsid w:val="008725B1"/>
    <w:rsid w:val="008731DE"/>
    <w:rsid w:val="00873E0B"/>
    <w:rsid w:val="0087483B"/>
    <w:rsid w:val="008763CA"/>
    <w:rsid w:val="00884982"/>
    <w:rsid w:val="00886EC7"/>
    <w:rsid w:val="008932C0"/>
    <w:rsid w:val="008A50B7"/>
    <w:rsid w:val="008C1ADD"/>
    <w:rsid w:val="008C59BD"/>
    <w:rsid w:val="008F4EA0"/>
    <w:rsid w:val="008F5088"/>
    <w:rsid w:val="009044C3"/>
    <w:rsid w:val="00906711"/>
    <w:rsid w:val="00944595"/>
    <w:rsid w:val="0095105C"/>
    <w:rsid w:val="00977F53"/>
    <w:rsid w:val="00980585"/>
    <w:rsid w:val="00990DE6"/>
    <w:rsid w:val="0099521E"/>
    <w:rsid w:val="009A169B"/>
    <w:rsid w:val="009A6094"/>
    <w:rsid w:val="009B04F8"/>
    <w:rsid w:val="009B6FD5"/>
    <w:rsid w:val="009C2DBF"/>
    <w:rsid w:val="009C464E"/>
    <w:rsid w:val="009C62BE"/>
    <w:rsid w:val="009C6787"/>
    <w:rsid w:val="009F0F88"/>
    <w:rsid w:val="009F4018"/>
    <w:rsid w:val="00A04212"/>
    <w:rsid w:val="00A079A5"/>
    <w:rsid w:val="00A107D5"/>
    <w:rsid w:val="00A173D3"/>
    <w:rsid w:val="00A177F2"/>
    <w:rsid w:val="00A21DE8"/>
    <w:rsid w:val="00A2311C"/>
    <w:rsid w:val="00A270CF"/>
    <w:rsid w:val="00A27E42"/>
    <w:rsid w:val="00A46DA6"/>
    <w:rsid w:val="00A5440D"/>
    <w:rsid w:val="00A668D9"/>
    <w:rsid w:val="00A94D05"/>
    <w:rsid w:val="00AA16D5"/>
    <w:rsid w:val="00AC77B8"/>
    <w:rsid w:val="00AF593A"/>
    <w:rsid w:val="00AF602F"/>
    <w:rsid w:val="00AF68FF"/>
    <w:rsid w:val="00AF77D3"/>
    <w:rsid w:val="00B07F86"/>
    <w:rsid w:val="00B201FB"/>
    <w:rsid w:val="00B4208F"/>
    <w:rsid w:val="00B46751"/>
    <w:rsid w:val="00B5229D"/>
    <w:rsid w:val="00B61732"/>
    <w:rsid w:val="00B71A1C"/>
    <w:rsid w:val="00B71E2D"/>
    <w:rsid w:val="00B90601"/>
    <w:rsid w:val="00B95EC3"/>
    <w:rsid w:val="00B97F48"/>
    <w:rsid w:val="00BC156F"/>
    <w:rsid w:val="00BC5A21"/>
    <w:rsid w:val="00BF5E1A"/>
    <w:rsid w:val="00C27D13"/>
    <w:rsid w:val="00C36DA5"/>
    <w:rsid w:val="00C665BF"/>
    <w:rsid w:val="00C85E49"/>
    <w:rsid w:val="00C85EC6"/>
    <w:rsid w:val="00C919BC"/>
    <w:rsid w:val="00C91E93"/>
    <w:rsid w:val="00C927D6"/>
    <w:rsid w:val="00CA2CEA"/>
    <w:rsid w:val="00CA3CBE"/>
    <w:rsid w:val="00CB28BE"/>
    <w:rsid w:val="00CB2F14"/>
    <w:rsid w:val="00CB7D5D"/>
    <w:rsid w:val="00CC5ED7"/>
    <w:rsid w:val="00CC6EBA"/>
    <w:rsid w:val="00CD6500"/>
    <w:rsid w:val="00CD7480"/>
    <w:rsid w:val="00CE4C2E"/>
    <w:rsid w:val="00CF5067"/>
    <w:rsid w:val="00D02380"/>
    <w:rsid w:val="00D1288F"/>
    <w:rsid w:val="00D21218"/>
    <w:rsid w:val="00D2787A"/>
    <w:rsid w:val="00D34013"/>
    <w:rsid w:val="00D6698A"/>
    <w:rsid w:val="00DA7CAE"/>
    <w:rsid w:val="00DD58CF"/>
    <w:rsid w:val="00DD637E"/>
    <w:rsid w:val="00DE03BB"/>
    <w:rsid w:val="00DE52A7"/>
    <w:rsid w:val="00DF572A"/>
    <w:rsid w:val="00DF6BCB"/>
    <w:rsid w:val="00E06F8E"/>
    <w:rsid w:val="00E152AD"/>
    <w:rsid w:val="00E16508"/>
    <w:rsid w:val="00E410AE"/>
    <w:rsid w:val="00E5184E"/>
    <w:rsid w:val="00E5583B"/>
    <w:rsid w:val="00E60793"/>
    <w:rsid w:val="00E619F2"/>
    <w:rsid w:val="00E65051"/>
    <w:rsid w:val="00E76B82"/>
    <w:rsid w:val="00E80EB1"/>
    <w:rsid w:val="00E8572B"/>
    <w:rsid w:val="00EA1F7F"/>
    <w:rsid w:val="00EC1947"/>
    <w:rsid w:val="00ED35AD"/>
    <w:rsid w:val="00ED5BCB"/>
    <w:rsid w:val="00EE7752"/>
    <w:rsid w:val="00EF4A41"/>
    <w:rsid w:val="00F02E94"/>
    <w:rsid w:val="00F35B37"/>
    <w:rsid w:val="00F420D0"/>
    <w:rsid w:val="00F5342D"/>
    <w:rsid w:val="00F57164"/>
    <w:rsid w:val="00F91994"/>
    <w:rsid w:val="00FA4D7F"/>
    <w:rsid w:val="00FA7D73"/>
    <w:rsid w:val="00FC4511"/>
    <w:rsid w:val="00FC7D50"/>
    <w:rsid w:val="00FE268B"/>
    <w:rsid w:val="00FF0D97"/>
    <w:rsid w:val="00FF262E"/>
    <w:rsid w:val="00FF5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49F5B87"/>
  <w14:defaultImageDpi w14:val="32767"/>
  <w15:chartTrackingRefBased/>
  <w15:docId w15:val="{BD2FCDCD-B511-1644-A3A0-445B1B979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70FC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3">
    <w:name w:val="3"/>
    <w:basedOn w:val="TableNormal"/>
    <w:rsid w:val="00370FC1"/>
    <w:pPr>
      <w:pBdr>
        <w:top w:val="nil"/>
        <w:left w:val="nil"/>
        <w:bottom w:val="nil"/>
        <w:right w:val="nil"/>
        <w:between w:val="nil"/>
      </w:pBdr>
    </w:pPr>
    <w:rPr>
      <w:rFonts w:ascii="Times New Roman" w:eastAsia="Times New Roman" w:hAnsi="Times New Roman" w:cs="Times New Roman"/>
      <w:color w:val="000000"/>
      <w:sz w:val="22"/>
      <w:szCs w:val="22"/>
      <w:lang w:eastAsia="de-DE"/>
    </w:rPr>
    <w:tblPr>
      <w:tblStyleRowBandSize w:val="1"/>
      <w:tblStyleColBandSize w:val="1"/>
      <w:tblInd w:w="0" w:type="nil"/>
    </w:tblPr>
  </w:style>
  <w:style w:type="table" w:customStyle="1" w:styleId="2">
    <w:name w:val="2"/>
    <w:basedOn w:val="TableNormal"/>
    <w:rsid w:val="00370FC1"/>
    <w:pPr>
      <w:pBdr>
        <w:top w:val="nil"/>
        <w:left w:val="nil"/>
        <w:bottom w:val="nil"/>
        <w:right w:val="nil"/>
        <w:between w:val="nil"/>
      </w:pBdr>
    </w:pPr>
    <w:rPr>
      <w:rFonts w:ascii="Times New Roman" w:eastAsia="Times New Roman" w:hAnsi="Times New Roman" w:cs="Times New Roman"/>
      <w:color w:val="000000"/>
      <w:sz w:val="22"/>
      <w:szCs w:val="22"/>
      <w:lang w:eastAsia="de-DE"/>
    </w:rPr>
    <w:tblPr>
      <w:tblStyleRowBandSize w:val="1"/>
      <w:tblStyleColBandSize w:val="1"/>
      <w:tblInd w:w="0" w:type="nil"/>
    </w:tblPr>
  </w:style>
  <w:style w:type="table" w:customStyle="1" w:styleId="1">
    <w:name w:val="1"/>
    <w:basedOn w:val="TableNormal"/>
    <w:rsid w:val="00370FC1"/>
    <w:pPr>
      <w:pBdr>
        <w:top w:val="nil"/>
        <w:left w:val="nil"/>
        <w:bottom w:val="nil"/>
        <w:right w:val="nil"/>
        <w:between w:val="nil"/>
      </w:pBdr>
    </w:pPr>
    <w:rPr>
      <w:rFonts w:ascii="Times New Roman" w:eastAsia="Times New Roman" w:hAnsi="Times New Roman" w:cs="Times New Roman"/>
      <w:color w:val="000000"/>
      <w:sz w:val="22"/>
      <w:szCs w:val="22"/>
      <w:lang w:eastAsia="de-DE"/>
    </w:rPr>
    <w:tblPr>
      <w:tblStyleRowBandSize w:val="1"/>
      <w:tblStyleColBandSize w:val="1"/>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1150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Rosenblau, Gabriela</dc:creator>
  <cp:keywords/>
  <dc:description/>
  <cp:lastModifiedBy>Rosenblau, Gabriela</cp:lastModifiedBy>
  <cp:revision>1</cp:revision>
  <dcterms:created xsi:type="dcterms:W3CDTF">2018-08-27T15:40:00Z</dcterms:created>
  <dcterms:modified xsi:type="dcterms:W3CDTF">2018-08-27T17:18:00Z</dcterms:modified>
</cp:coreProperties>
</file>