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FB8F1" w14:textId="77777777" w:rsidR="007057E5" w:rsidRPr="003C0109" w:rsidRDefault="007057E5">
      <w:pPr>
        <w:rPr>
          <w:sz w:val="20"/>
          <w:szCs w:val="20"/>
        </w:rPr>
      </w:pPr>
    </w:p>
    <w:p w14:paraId="1866C44E" w14:textId="77777777" w:rsidR="007057E5" w:rsidRPr="003C0109" w:rsidRDefault="003C0109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23B908" wp14:editId="447E22A6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7446645" cy="3862705"/>
            <wp:effectExtent l="0" t="0" r="1905" b="4445"/>
            <wp:wrapThrough wrapText="bothSides">
              <wp:wrapPolygon edited="0">
                <wp:start x="0" y="0"/>
                <wp:lineTo x="0" y="21518"/>
                <wp:lineTo x="21550" y="21518"/>
                <wp:lineTo x="215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2" t="18519" r="8564" b="18930"/>
                    <a:stretch/>
                  </pic:blipFill>
                  <pic:spPr bwMode="auto">
                    <a:xfrm>
                      <a:off x="0" y="0"/>
                      <a:ext cx="7446645" cy="386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057E5" w:rsidRPr="003C0109">
        <w:rPr>
          <w:sz w:val="20"/>
          <w:szCs w:val="20"/>
        </w:rPr>
        <w:t xml:space="preserve">Supplemental Figure 1. Breakdown of </w:t>
      </w:r>
      <w:r w:rsidRPr="003C0109">
        <w:rPr>
          <w:sz w:val="20"/>
          <w:szCs w:val="20"/>
        </w:rPr>
        <w:t>analyses sample sizes</w:t>
      </w:r>
    </w:p>
    <w:p w14:paraId="39859424" w14:textId="77777777" w:rsidR="007057E5" w:rsidRDefault="007057E5"/>
    <w:p w14:paraId="5490FE92" w14:textId="77777777" w:rsidR="007057E5" w:rsidRDefault="007057E5"/>
    <w:p w14:paraId="59830A8B" w14:textId="77777777" w:rsidR="007057E5" w:rsidRDefault="007057E5"/>
    <w:p w14:paraId="133858BB" w14:textId="77777777" w:rsidR="007057E5" w:rsidRDefault="007057E5"/>
    <w:p w14:paraId="73B0B66D" w14:textId="77777777" w:rsidR="007057E5" w:rsidRDefault="007057E5"/>
    <w:p w14:paraId="5D537226" w14:textId="77777777" w:rsidR="007057E5" w:rsidRDefault="007057E5"/>
    <w:p w14:paraId="654F1410" w14:textId="77777777" w:rsidR="007057E5" w:rsidRDefault="007057E5"/>
    <w:p w14:paraId="25C1981C" w14:textId="77777777" w:rsidR="007057E5" w:rsidRDefault="007057E5"/>
    <w:p w14:paraId="0EF52C0A" w14:textId="77777777" w:rsidR="007057E5" w:rsidRDefault="007057E5"/>
    <w:p w14:paraId="6EA72225" w14:textId="77777777" w:rsidR="007057E5" w:rsidRDefault="007057E5"/>
    <w:p w14:paraId="1CD5CD38" w14:textId="77777777" w:rsidR="007057E5" w:rsidRDefault="007057E5">
      <w:pPr>
        <w:sectPr w:rsidR="007057E5" w:rsidSect="007057E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12EA6D9" w14:textId="77777777" w:rsidR="00251B25" w:rsidRDefault="00251B25"/>
    <w:tbl>
      <w:tblPr>
        <w:tblStyle w:val="TableGrid"/>
        <w:tblpPr w:leftFromText="180" w:rightFromText="180" w:vertAnchor="page" w:horzAnchor="margin" w:tblpXSpec="center" w:tblpY="2101"/>
        <w:tblW w:w="0" w:type="auto"/>
        <w:tblLook w:val="04A0" w:firstRow="1" w:lastRow="0" w:firstColumn="1" w:lastColumn="0" w:noHBand="0" w:noVBand="1"/>
      </w:tblPr>
      <w:tblGrid>
        <w:gridCol w:w="1250"/>
        <w:gridCol w:w="1667"/>
        <w:gridCol w:w="1668"/>
        <w:gridCol w:w="1667"/>
        <w:gridCol w:w="1668"/>
      </w:tblGrid>
      <w:tr w:rsidR="007057E5" w:rsidRPr="00251B25" w14:paraId="3FDAE79D" w14:textId="77777777" w:rsidTr="007057E5">
        <w:trPr>
          <w:trHeight w:val="281"/>
        </w:trPr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3B3F1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Supplemental Table 1. Latent Profile Analyses Model Fit Indices at ages 6/7 and 10/11 years</w:t>
            </w:r>
          </w:p>
        </w:tc>
      </w:tr>
      <w:tr w:rsidR="007057E5" w:rsidRPr="00251B25" w14:paraId="73945EA0" w14:textId="77777777" w:rsidTr="007057E5">
        <w:trPr>
          <w:trHeight w:val="170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3B51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i/>
                <w:sz w:val="20"/>
                <w:szCs w:val="20"/>
              </w:rPr>
            </w:pPr>
            <w:r w:rsidRPr="00251B25">
              <w:rPr>
                <w:rFonts w:cs="Times New Roman"/>
                <w:i/>
                <w:sz w:val="20"/>
                <w:szCs w:val="20"/>
              </w:rPr>
              <w:t>Latent Profile Analysis 1 – Age 6/7</w:t>
            </w:r>
          </w:p>
        </w:tc>
      </w:tr>
      <w:tr w:rsidR="007057E5" w:rsidRPr="00251B25" w14:paraId="7BDC3EC6" w14:textId="77777777" w:rsidTr="007057E5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15EA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Model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7A2A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BLRT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7407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51B25">
              <w:rPr>
                <w:rFonts w:cs="Times New Roman"/>
                <w:sz w:val="20"/>
                <w:szCs w:val="20"/>
              </w:rPr>
              <w:t>BIC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F10F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Entropy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8EFC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Smallest profile</w:t>
            </w:r>
          </w:p>
        </w:tc>
      </w:tr>
      <w:tr w:rsidR="007057E5" w:rsidRPr="00251B25" w14:paraId="66174321" w14:textId="77777777" w:rsidTr="007057E5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1AFB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1 profile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DC22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F319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51B25">
              <w:rPr>
                <w:rFonts w:cs="Times New Roman"/>
                <w:color w:val="000000"/>
                <w:sz w:val="20"/>
                <w:szCs w:val="20"/>
              </w:rPr>
              <w:t>143176.99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CB65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95D7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--</w:t>
            </w:r>
          </w:p>
        </w:tc>
      </w:tr>
      <w:tr w:rsidR="007057E5" w:rsidRPr="00251B25" w14:paraId="26B7C365" w14:textId="77777777" w:rsidTr="007057E5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23A7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2 profile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8F43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P&lt;0.001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F621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51B25">
              <w:rPr>
                <w:rFonts w:cs="Times New Roman"/>
                <w:color w:val="000000"/>
                <w:sz w:val="20"/>
                <w:szCs w:val="20"/>
              </w:rPr>
              <w:t>136826.92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FBF8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4AD7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14.4%</w:t>
            </w:r>
          </w:p>
        </w:tc>
      </w:tr>
      <w:tr w:rsidR="007057E5" w:rsidRPr="00251B25" w14:paraId="757E66FD" w14:textId="77777777" w:rsidTr="007057E5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B063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3 profile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B6BC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P&lt;0.001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0C02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51B25">
              <w:rPr>
                <w:rFonts w:cs="Times New Roman"/>
                <w:color w:val="000000"/>
                <w:sz w:val="20"/>
                <w:szCs w:val="20"/>
              </w:rPr>
              <w:t>134878.59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8E08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9290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4.9%</w:t>
            </w:r>
          </w:p>
        </w:tc>
      </w:tr>
      <w:tr w:rsidR="007057E5" w:rsidRPr="00251B25" w14:paraId="5420680D" w14:textId="77777777" w:rsidTr="007057E5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FF75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4 profile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F59C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P&lt;0.001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2DCC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51B25">
              <w:rPr>
                <w:rFonts w:cs="Times New Roman"/>
                <w:color w:val="000000"/>
                <w:sz w:val="20"/>
                <w:szCs w:val="20"/>
              </w:rPr>
              <w:t>133491.72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D9EE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4BBD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3.6%</w:t>
            </w:r>
          </w:p>
        </w:tc>
      </w:tr>
      <w:tr w:rsidR="007057E5" w:rsidRPr="00251B25" w14:paraId="796750D7" w14:textId="77777777" w:rsidTr="007057E5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51E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5 profile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6D67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P&lt;0.001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EBD9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51B25">
              <w:rPr>
                <w:rFonts w:cs="Times New Roman"/>
                <w:color w:val="000000"/>
                <w:sz w:val="20"/>
                <w:szCs w:val="20"/>
              </w:rPr>
              <w:t>132589.90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F18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DEB4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&lt;1.0%</w:t>
            </w:r>
          </w:p>
        </w:tc>
      </w:tr>
      <w:tr w:rsidR="007057E5" w:rsidRPr="00251B25" w14:paraId="5791E6E7" w14:textId="77777777" w:rsidTr="007057E5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43D1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6 profile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5834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P&lt;0.001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B455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51B25">
              <w:rPr>
                <w:rFonts w:cs="Times New Roman"/>
                <w:color w:val="000000"/>
                <w:sz w:val="20"/>
                <w:szCs w:val="20"/>
              </w:rPr>
              <w:t>131867.10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FB05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B600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1.6%</w:t>
            </w:r>
          </w:p>
        </w:tc>
      </w:tr>
      <w:tr w:rsidR="007057E5" w:rsidRPr="00251B25" w14:paraId="40D44956" w14:textId="77777777" w:rsidTr="007057E5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2202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7 profile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6465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P&lt;0.001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3CFA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51B25">
              <w:rPr>
                <w:rFonts w:cs="Times New Roman"/>
                <w:color w:val="000000"/>
                <w:sz w:val="20"/>
                <w:szCs w:val="20"/>
              </w:rPr>
              <w:t>130862.44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04D6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3A31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&lt;1.0%</w:t>
            </w:r>
          </w:p>
        </w:tc>
      </w:tr>
      <w:tr w:rsidR="007057E5" w:rsidRPr="00251B25" w14:paraId="5AB12C54" w14:textId="77777777" w:rsidTr="007057E5">
        <w:trPr>
          <w:trHeight w:val="170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326C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i/>
                <w:sz w:val="20"/>
                <w:szCs w:val="20"/>
              </w:rPr>
              <w:t>Latent Profile Analysis 2 – Age 10/11</w:t>
            </w:r>
          </w:p>
        </w:tc>
      </w:tr>
      <w:tr w:rsidR="007057E5" w:rsidRPr="00251B25" w14:paraId="6833E733" w14:textId="77777777" w:rsidTr="007057E5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7D36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Model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73A3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BLRT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E0B8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51B25">
              <w:rPr>
                <w:rFonts w:cs="Times New Roman"/>
                <w:sz w:val="20"/>
                <w:szCs w:val="20"/>
              </w:rPr>
              <w:t>BIC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EF00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Entropy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AC05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Smallest profile</w:t>
            </w:r>
          </w:p>
        </w:tc>
      </w:tr>
      <w:tr w:rsidR="007057E5" w:rsidRPr="00251B25" w14:paraId="348845E4" w14:textId="77777777" w:rsidTr="007057E5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6FE3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1 profile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2191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AA2A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51B25">
              <w:rPr>
                <w:rFonts w:cs="Times New Roman"/>
                <w:sz w:val="20"/>
                <w:szCs w:val="20"/>
              </w:rPr>
              <w:t>119628.25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FC13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578C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--</w:t>
            </w:r>
          </w:p>
        </w:tc>
      </w:tr>
      <w:tr w:rsidR="007057E5" w:rsidRPr="00251B25" w14:paraId="0FF7DABF" w14:textId="77777777" w:rsidTr="007057E5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FFDC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2 profile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986D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P&lt;0.001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7107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51B25">
              <w:rPr>
                <w:rFonts w:cs="Times New Roman"/>
                <w:sz w:val="20"/>
                <w:szCs w:val="20"/>
              </w:rPr>
              <w:t>113505.99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F4CF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65D1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12.0%</w:t>
            </w:r>
          </w:p>
        </w:tc>
      </w:tr>
      <w:tr w:rsidR="007057E5" w:rsidRPr="00251B25" w14:paraId="050A9338" w14:textId="77777777" w:rsidTr="007057E5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805E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3 profile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6BB7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P&lt;0.001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35F5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51B25">
              <w:rPr>
                <w:rFonts w:cs="Times New Roman"/>
                <w:sz w:val="20"/>
                <w:szCs w:val="20"/>
              </w:rPr>
              <w:t>111755.74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AFC1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37FC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9.4%</w:t>
            </w:r>
          </w:p>
        </w:tc>
      </w:tr>
      <w:tr w:rsidR="007057E5" w:rsidRPr="00251B25" w14:paraId="592C1A79" w14:textId="77777777" w:rsidTr="007057E5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8890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4 profile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BF27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P&lt;0.001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F8C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51B25">
              <w:rPr>
                <w:rFonts w:cs="Times New Roman"/>
                <w:sz w:val="20"/>
                <w:szCs w:val="20"/>
              </w:rPr>
              <w:t>110174.68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970E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0.87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D070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3.9%</w:t>
            </w:r>
          </w:p>
        </w:tc>
      </w:tr>
      <w:tr w:rsidR="007057E5" w:rsidRPr="00251B25" w14:paraId="49557597" w14:textId="77777777" w:rsidTr="007057E5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803B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5 profile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1CF8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P&lt;0.001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1F25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51B25">
              <w:rPr>
                <w:rFonts w:cs="Times New Roman"/>
                <w:sz w:val="20"/>
                <w:szCs w:val="20"/>
              </w:rPr>
              <w:t>109528.39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D278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0.87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FB2B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2.9%</w:t>
            </w:r>
          </w:p>
        </w:tc>
      </w:tr>
      <w:tr w:rsidR="007057E5" w:rsidRPr="00251B25" w14:paraId="2FB513BB" w14:textId="77777777" w:rsidTr="007057E5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FAF1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6 profile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EEA1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Model failed to converge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72BA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51B25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140C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FF54" w14:textId="77777777" w:rsidR="007057E5" w:rsidRPr="00251B25" w:rsidRDefault="007057E5" w:rsidP="007057E5">
            <w:pPr>
              <w:tabs>
                <w:tab w:val="left" w:pos="105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--</w:t>
            </w:r>
          </w:p>
        </w:tc>
      </w:tr>
      <w:tr w:rsidR="007057E5" w:rsidRPr="00251B25" w14:paraId="04544565" w14:textId="77777777" w:rsidTr="007057E5"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C2BB15" w14:textId="77777777" w:rsidR="007057E5" w:rsidRPr="00251B25" w:rsidRDefault="007057E5" w:rsidP="003C0109">
            <w:pPr>
              <w:tabs>
                <w:tab w:val="left" w:pos="1050"/>
              </w:tabs>
              <w:spacing w:line="240" w:lineRule="auto"/>
              <w:ind w:hanging="105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BIC: Bayesian information criterion</w:t>
            </w:r>
          </w:p>
          <w:p w14:paraId="598FFFC6" w14:textId="77777777" w:rsidR="007057E5" w:rsidRPr="00251B25" w:rsidRDefault="007057E5" w:rsidP="003C0109">
            <w:pPr>
              <w:tabs>
                <w:tab w:val="left" w:pos="1050"/>
              </w:tabs>
              <w:spacing w:line="240" w:lineRule="auto"/>
              <w:ind w:hanging="105"/>
              <w:rPr>
                <w:rFonts w:cs="Times New Roman"/>
                <w:sz w:val="20"/>
                <w:szCs w:val="20"/>
              </w:rPr>
            </w:pPr>
            <w:r w:rsidRPr="00251B25">
              <w:rPr>
                <w:rFonts w:cs="Times New Roman"/>
                <w:sz w:val="20"/>
                <w:szCs w:val="20"/>
              </w:rPr>
              <w:t>BLRT: Bootstrapped likelihood-ratio testing</w:t>
            </w:r>
          </w:p>
        </w:tc>
      </w:tr>
    </w:tbl>
    <w:p w14:paraId="2FF6EDD6" w14:textId="77777777" w:rsidR="00251B25" w:rsidRDefault="00251B25"/>
    <w:p w14:paraId="2F0F02C9" w14:textId="77777777" w:rsidR="00251B25" w:rsidRDefault="00251B25"/>
    <w:p w14:paraId="6DEA9CE7" w14:textId="77777777" w:rsidR="00251B25" w:rsidRDefault="00251B25"/>
    <w:p w14:paraId="5C92397C" w14:textId="77777777" w:rsidR="00251B25" w:rsidRDefault="00251B25"/>
    <w:p w14:paraId="70B435B7" w14:textId="77777777" w:rsidR="00251B25" w:rsidRDefault="00251B25">
      <w:pPr>
        <w:sectPr w:rsidR="00251B25" w:rsidSect="00251B2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436"/>
        <w:tblW w:w="0" w:type="auto"/>
        <w:tblLook w:val="04A0" w:firstRow="1" w:lastRow="0" w:firstColumn="1" w:lastColumn="0" w:noHBand="0" w:noVBand="1"/>
      </w:tblPr>
      <w:tblGrid>
        <w:gridCol w:w="5103"/>
        <w:gridCol w:w="1843"/>
      </w:tblGrid>
      <w:tr w:rsidR="00251B25" w:rsidRPr="00A36555" w14:paraId="0C96C316" w14:textId="77777777" w:rsidTr="00251B25">
        <w:trPr>
          <w:trHeight w:val="432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DAE5B" w14:textId="77777777" w:rsidR="00251B25" w:rsidRPr="00491DB1" w:rsidRDefault="00251B25" w:rsidP="007057E5">
            <w:pPr>
              <w:spacing w:line="240" w:lineRule="auto"/>
              <w:ind w:left="-100"/>
              <w:rPr>
                <w:rFonts w:cs="Times New Roman"/>
                <w:sz w:val="20"/>
                <w:szCs w:val="20"/>
              </w:rPr>
            </w:pPr>
            <w:r w:rsidRPr="00ED48AA">
              <w:rPr>
                <w:rFonts w:cs="Times New Roman"/>
                <w:sz w:val="20"/>
                <w:szCs w:val="20"/>
              </w:rPr>
              <w:lastRenderedPageBreak/>
              <w:t xml:space="preserve">Supplemental Table </w:t>
            </w:r>
            <w:r w:rsidR="007057E5">
              <w:rPr>
                <w:rFonts w:cs="Times New Roman"/>
                <w:sz w:val="20"/>
                <w:szCs w:val="20"/>
              </w:rPr>
              <w:t>2</w:t>
            </w:r>
            <w:r w:rsidRPr="00ED48AA">
              <w:rPr>
                <w:rFonts w:cs="Times New Roman"/>
                <w:sz w:val="20"/>
                <w:szCs w:val="20"/>
              </w:rPr>
              <w:t>.</w:t>
            </w:r>
            <w:r w:rsidRPr="00491DB1">
              <w:rPr>
                <w:rFonts w:cs="Times New Roman"/>
                <w:sz w:val="20"/>
                <w:szCs w:val="20"/>
              </w:rPr>
              <w:t xml:space="preserve"> Frequency of transition groups</w:t>
            </w:r>
            <w:r w:rsidR="007057E5">
              <w:rPr>
                <w:rFonts w:cs="Times New Roman"/>
                <w:sz w:val="20"/>
                <w:szCs w:val="20"/>
              </w:rPr>
              <w:t xml:space="preserve"> and corresponding transition clusters,</w:t>
            </w:r>
            <w:r w:rsidRPr="00491DB1">
              <w:rPr>
                <w:rFonts w:cs="Times New Roman"/>
                <w:sz w:val="20"/>
                <w:szCs w:val="20"/>
              </w:rPr>
              <w:t xml:space="preserve"> from </w:t>
            </w:r>
            <w:r>
              <w:rPr>
                <w:rFonts w:cs="Times New Roman"/>
                <w:sz w:val="20"/>
                <w:szCs w:val="20"/>
              </w:rPr>
              <w:t xml:space="preserve">latent profile at </w:t>
            </w:r>
            <w:r w:rsidRPr="00491DB1">
              <w:rPr>
                <w:rFonts w:cs="Times New Roman"/>
                <w:sz w:val="20"/>
                <w:szCs w:val="20"/>
              </w:rPr>
              <w:t xml:space="preserve">age 6/7 to age 10/11 </w:t>
            </w:r>
            <w:r>
              <w:rPr>
                <w:rFonts w:cs="Times New Roman"/>
                <w:sz w:val="20"/>
                <w:szCs w:val="20"/>
              </w:rPr>
              <w:t>years</w:t>
            </w:r>
          </w:p>
        </w:tc>
      </w:tr>
      <w:tr w:rsidR="00251B25" w:rsidRPr="00A36555" w14:paraId="54D815E4" w14:textId="77777777" w:rsidTr="007057E5"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0EC6D74C" w14:textId="77777777" w:rsidR="00251B25" w:rsidRPr="007057E5" w:rsidRDefault="00251B25" w:rsidP="00251B25">
            <w:pPr>
              <w:spacing w:line="360" w:lineRule="auto"/>
              <w:rPr>
                <w:rFonts w:cs="Times New Roman"/>
                <w:i/>
                <w:sz w:val="20"/>
                <w:szCs w:val="20"/>
              </w:rPr>
            </w:pPr>
            <w:r w:rsidRPr="007057E5">
              <w:rPr>
                <w:rFonts w:cs="Times New Roman"/>
                <w:i/>
                <w:sz w:val="20"/>
                <w:szCs w:val="20"/>
              </w:rPr>
              <w:t>(</w:t>
            </w:r>
            <w:proofErr w:type="gramStart"/>
            <w:r w:rsidRPr="007057E5">
              <w:rPr>
                <w:rFonts w:cs="Times New Roman"/>
                <w:i/>
                <w:sz w:val="20"/>
                <w:szCs w:val="20"/>
              </w:rPr>
              <w:t>*)Transition</w:t>
            </w:r>
            <w:proofErr w:type="gramEnd"/>
            <w:r w:rsidRPr="007057E5">
              <w:rPr>
                <w:rFonts w:cs="Times New Roman"/>
                <w:i/>
                <w:sz w:val="20"/>
                <w:szCs w:val="20"/>
              </w:rPr>
              <w:t xml:space="preserve"> Group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D3E29D7" w14:textId="77777777" w:rsidR="00251B25" w:rsidRPr="007057E5" w:rsidRDefault="00251B25" w:rsidP="00251B25">
            <w:pPr>
              <w:spacing w:line="36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7057E5">
              <w:rPr>
                <w:rFonts w:cs="Times New Roman"/>
                <w:i/>
                <w:sz w:val="20"/>
                <w:szCs w:val="20"/>
              </w:rPr>
              <w:t>Weighted %</w:t>
            </w:r>
          </w:p>
        </w:tc>
      </w:tr>
      <w:tr w:rsidR="00251B25" w:rsidRPr="00A36555" w14:paraId="6AE58211" w14:textId="77777777" w:rsidTr="00251B25">
        <w:tc>
          <w:tcPr>
            <w:tcW w:w="5103" w:type="dxa"/>
          </w:tcPr>
          <w:p w14:paraId="00CC9E2E" w14:textId="77777777" w:rsidR="00251B25" w:rsidRPr="00E4782E" w:rsidRDefault="00251B25" w:rsidP="007057E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7057E5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4782E">
              <w:rPr>
                <w:rFonts w:cs="Times New Roman"/>
                <w:sz w:val="20"/>
                <w:szCs w:val="20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</w:rPr>
              <w:t>Low</w:t>
            </w:r>
            <w:r w:rsidRPr="00E4782E">
              <w:rPr>
                <w:rFonts w:cs="Times New Roman"/>
                <w:sz w:val="20"/>
                <w:szCs w:val="20"/>
              </w:rPr>
              <w:t>” to “</w:t>
            </w:r>
            <w:r>
              <w:rPr>
                <w:rFonts w:cs="Times New Roman"/>
                <w:sz w:val="20"/>
                <w:szCs w:val="20"/>
              </w:rPr>
              <w:t>Low</w:t>
            </w:r>
            <w:r w:rsidRPr="00E4782E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14:paraId="44DCEFBA" w14:textId="77777777" w:rsidR="00251B25" w:rsidRPr="00E4782E" w:rsidRDefault="00251B25" w:rsidP="00251B2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82E">
              <w:rPr>
                <w:rFonts w:cs="Times New Roman"/>
                <w:sz w:val="20"/>
                <w:szCs w:val="20"/>
              </w:rPr>
              <w:t>60.8</w:t>
            </w:r>
          </w:p>
        </w:tc>
      </w:tr>
      <w:tr w:rsidR="00251B25" w:rsidRPr="00A36555" w14:paraId="09DAEED1" w14:textId="77777777" w:rsidTr="00251B25">
        <w:tc>
          <w:tcPr>
            <w:tcW w:w="5103" w:type="dxa"/>
          </w:tcPr>
          <w:p w14:paraId="01BBC722" w14:textId="77777777" w:rsidR="00251B25" w:rsidRPr="00E4782E" w:rsidRDefault="00251B25" w:rsidP="007057E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7057E5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4782E">
              <w:rPr>
                <w:rFonts w:cs="Times New Roman"/>
                <w:sz w:val="20"/>
                <w:szCs w:val="20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</w:rPr>
              <w:t>Low</w:t>
            </w:r>
            <w:r w:rsidRPr="00E4782E">
              <w:rPr>
                <w:rFonts w:cs="Times New Roman"/>
                <w:sz w:val="20"/>
                <w:szCs w:val="20"/>
              </w:rPr>
              <w:t>” to “</w:t>
            </w:r>
            <w:r>
              <w:rPr>
                <w:rFonts w:cs="Times New Roman"/>
                <w:sz w:val="20"/>
                <w:szCs w:val="20"/>
              </w:rPr>
              <w:t>Moderate</w:t>
            </w:r>
            <w:r w:rsidRPr="00E4782E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14:paraId="1BD307B2" w14:textId="77777777" w:rsidR="00251B25" w:rsidRPr="00E4782E" w:rsidRDefault="00251B25" w:rsidP="00251B2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82E">
              <w:rPr>
                <w:rFonts w:cs="Times New Roman"/>
                <w:sz w:val="20"/>
                <w:szCs w:val="20"/>
              </w:rPr>
              <w:t>4.7</w:t>
            </w:r>
          </w:p>
        </w:tc>
      </w:tr>
      <w:tr w:rsidR="00251B25" w:rsidRPr="00A36555" w14:paraId="6DE049AC" w14:textId="77777777" w:rsidTr="00251B25">
        <w:tc>
          <w:tcPr>
            <w:tcW w:w="5103" w:type="dxa"/>
          </w:tcPr>
          <w:p w14:paraId="2F08866B" w14:textId="77777777" w:rsidR="00251B25" w:rsidRPr="00E4782E" w:rsidRDefault="00251B25" w:rsidP="007057E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7057E5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4782E">
              <w:rPr>
                <w:rFonts w:cs="Times New Roman"/>
                <w:sz w:val="20"/>
                <w:szCs w:val="20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</w:rPr>
              <w:t>Low</w:t>
            </w:r>
            <w:r w:rsidRPr="00E4782E">
              <w:rPr>
                <w:rFonts w:cs="Times New Roman"/>
                <w:sz w:val="20"/>
                <w:szCs w:val="20"/>
              </w:rPr>
              <w:t>” to “</w:t>
            </w:r>
            <w:r>
              <w:rPr>
                <w:rFonts w:cs="Times New Roman"/>
                <w:sz w:val="20"/>
                <w:szCs w:val="20"/>
              </w:rPr>
              <w:t>High</w:t>
            </w:r>
            <w:r w:rsidRPr="00E4782E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14:paraId="75197D13" w14:textId="77777777" w:rsidR="00251B25" w:rsidRPr="00E4782E" w:rsidRDefault="00251B25" w:rsidP="00251B2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82E">
              <w:rPr>
                <w:rFonts w:cs="Times New Roman"/>
                <w:sz w:val="20"/>
                <w:szCs w:val="20"/>
              </w:rPr>
              <w:t>0.7</w:t>
            </w:r>
          </w:p>
        </w:tc>
      </w:tr>
      <w:tr w:rsidR="00251B25" w:rsidRPr="00A36555" w14:paraId="3C93227A" w14:textId="77777777" w:rsidTr="00251B25">
        <w:tc>
          <w:tcPr>
            <w:tcW w:w="5103" w:type="dxa"/>
          </w:tcPr>
          <w:p w14:paraId="50772A6B" w14:textId="77777777" w:rsidR="00251B25" w:rsidRPr="00E4782E" w:rsidRDefault="00251B25" w:rsidP="007057E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7057E5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4782E">
              <w:rPr>
                <w:rFonts w:cs="Times New Roman"/>
                <w:sz w:val="20"/>
                <w:szCs w:val="20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</w:rPr>
              <w:t>Low</w:t>
            </w:r>
            <w:r w:rsidRPr="00E4782E">
              <w:rPr>
                <w:rFonts w:cs="Times New Roman"/>
                <w:sz w:val="20"/>
                <w:szCs w:val="20"/>
              </w:rPr>
              <w:t>” to “</w:t>
            </w:r>
            <w:r>
              <w:rPr>
                <w:rFonts w:cs="Times New Roman"/>
                <w:sz w:val="20"/>
                <w:szCs w:val="20"/>
              </w:rPr>
              <w:t>Hyperactivity/internalizing</w:t>
            </w:r>
            <w:r w:rsidRPr="00E4782E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14:paraId="06A32A1C" w14:textId="77777777" w:rsidR="00251B25" w:rsidRPr="00E4782E" w:rsidRDefault="00251B25" w:rsidP="00251B2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82E">
              <w:rPr>
                <w:rFonts w:cs="Times New Roman"/>
                <w:sz w:val="20"/>
                <w:szCs w:val="20"/>
              </w:rPr>
              <w:t>4.5</w:t>
            </w:r>
          </w:p>
        </w:tc>
      </w:tr>
      <w:tr w:rsidR="00251B25" w:rsidRPr="00A36555" w14:paraId="0E4713DB" w14:textId="77777777" w:rsidTr="00251B25">
        <w:tc>
          <w:tcPr>
            <w:tcW w:w="5103" w:type="dxa"/>
          </w:tcPr>
          <w:p w14:paraId="739E85E6" w14:textId="77777777" w:rsidR="00251B25" w:rsidRPr="00E4782E" w:rsidRDefault="00251B25" w:rsidP="007057E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7057E5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4782E">
              <w:rPr>
                <w:rFonts w:cs="Times New Roman"/>
                <w:sz w:val="20"/>
                <w:szCs w:val="20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</w:rPr>
              <w:t>Moderate</w:t>
            </w:r>
            <w:r w:rsidRPr="00E4782E">
              <w:rPr>
                <w:rFonts w:cs="Times New Roman"/>
                <w:sz w:val="20"/>
                <w:szCs w:val="20"/>
              </w:rPr>
              <w:t>” to “</w:t>
            </w:r>
            <w:r>
              <w:rPr>
                <w:rFonts w:cs="Times New Roman"/>
                <w:sz w:val="20"/>
                <w:szCs w:val="20"/>
              </w:rPr>
              <w:t>Low</w:t>
            </w:r>
            <w:r w:rsidRPr="00E4782E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14:paraId="2383B1C2" w14:textId="77777777" w:rsidR="00251B25" w:rsidRPr="00E4782E" w:rsidRDefault="00251B25" w:rsidP="00251B2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82E">
              <w:rPr>
                <w:rFonts w:cs="Times New Roman"/>
                <w:sz w:val="20"/>
                <w:szCs w:val="20"/>
              </w:rPr>
              <w:t>9.4</w:t>
            </w:r>
          </w:p>
        </w:tc>
      </w:tr>
      <w:tr w:rsidR="00251B25" w:rsidRPr="00A36555" w14:paraId="5B0EFCCC" w14:textId="77777777" w:rsidTr="00251B25">
        <w:tc>
          <w:tcPr>
            <w:tcW w:w="5103" w:type="dxa"/>
          </w:tcPr>
          <w:p w14:paraId="57D16AC2" w14:textId="77777777" w:rsidR="00251B25" w:rsidRPr="00E4782E" w:rsidRDefault="00251B25" w:rsidP="007057E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7057E5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4782E">
              <w:rPr>
                <w:rFonts w:cs="Times New Roman"/>
                <w:sz w:val="20"/>
                <w:szCs w:val="20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</w:rPr>
              <w:t>Moderate</w:t>
            </w:r>
            <w:r w:rsidRPr="00E4782E">
              <w:rPr>
                <w:rFonts w:cs="Times New Roman"/>
                <w:sz w:val="20"/>
                <w:szCs w:val="20"/>
              </w:rPr>
              <w:t>” to “</w:t>
            </w:r>
            <w:r>
              <w:rPr>
                <w:rFonts w:cs="Times New Roman"/>
                <w:sz w:val="20"/>
                <w:szCs w:val="20"/>
              </w:rPr>
              <w:t>Moderate</w:t>
            </w:r>
            <w:r w:rsidRPr="00E4782E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14:paraId="17F98925" w14:textId="77777777" w:rsidR="00251B25" w:rsidRPr="00E4782E" w:rsidRDefault="00251B25" w:rsidP="00251B2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82E">
              <w:rPr>
                <w:rFonts w:cs="Times New Roman"/>
                <w:sz w:val="20"/>
                <w:szCs w:val="20"/>
              </w:rPr>
              <w:t>3.9</w:t>
            </w:r>
          </w:p>
        </w:tc>
      </w:tr>
      <w:tr w:rsidR="00251B25" w:rsidRPr="00A36555" w14:paraId="5DE723ED" w14:textId="77777777" w:rsidTr="00251B25">
        <w:tc>
          <w:tcPr>
            <w:tcW w:w="5103" w:type="dxa"/>
          </w:tcPr>
          <w:p w14:paraId="69050C54" w14:textId="77777777" w:rsidR="00251B25" w:rsidRPr="00E4782E" w:rsidRDefault="00251B25" w:rsidP="007057E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7057E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4782E">
              <w:rPr>
                <w:rFonts w:cs="Times New Roman"/>
                <w:sz w:val="20"/>
                <w:szCs w:val="20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</w:rPr>
              <w:t>Moderate</w:t>
            </w:r>
            <w:r w:rsidRPr="00E4782E">
              <w:rPr>
                <w:rFonts w:cs="Times New Roman"/>
                <w:sz w:val="20"/>
                <w:szCs w:val="20"/>
              </w:rPr>
              <w:t>” to “</w:t>
            </w:r>
            <w:r>
              <w:rPr>
                <w:rFonts w:cs="Times New Roman"/>
                <w:sz w:val="20"/>
                <w:szCs w:val="20"/>
              </w:rPr>
              <w:t>High</w:t>
            </w:r>
            <w:r w:rsidRPr="00E4782E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14:paraId="01B6D3C7" w14:textId="77777777" w:rsidR="00251B25" w:rsidRPr="00E4782E" w:rsidRDefault="00251B25" w:rsidP="00251B2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82E">
              <w:rPr>
                <w:rFonts w:cs="Times New Roman"/>
                <w:sz w:val="20"/>
                <w:szCs w:val="20"/>
              </w:rPr>
              <w:t>1.2</w:t>
            </w:r>
          </w:p>
        </w:tc>
      </w:tr>
      <w:tr w:rsidR="00251B25" w:rsidRPr="00A36555" w14:paraId="674F83D1" w14:textId="77777777" w:rsidTr="00251B25">
        <w:tc>
          <w:tcPr>
            <w:tcW w:w="5103" w:type="dxa"/>
          </w:tcPr>
          <w:p w14:paraId="075A2281" w14:textId="77777777" w:rsidR="00251B25" w:rsidRPr="00E4782E" w:rsidRDefault="00251B25" w:rsidP="007057E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7057E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4782E">
              <w:rPr>
                <w:rFonts w:cs="Times New Roman"/>
                <w:sz w:val="20"/>
                <w:szCs w:val="20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</w:rPr>
              <w:t>Moderate</w:t>
            </w:r>
            <w:r w:rsidRPr="00E4782E">
              <w:rPr>
                <w:rFonts w:cs="Times New Roman"/>
                <w:sz w:val="20"/>
                <w:szCs w:val="20"/>
              </w:rPr>
              <w:t>” to “</w:t>
            </w:r>
            <w:r>
              <w:rPr>
                <w:rFonts w:cs="Times New Roman"/>
                <w:sz w:val="20"/>
                <w:szCs w:val="20"/>
              </w:rPr>
              <w:t>Hyperactivity/internalizing</w:t>
            </w:r>
            <w:r w:rsidRPr="00E4782E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14:paraId="27EA6C75" w14:textId="77777777" w:rsidR="00251B25" w:rsidRPr="00E4782E" w:rsidRDefault="00251B25" w:rsidP="00251B2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82E">
              <w:rPr>
                <w:rFonts w:cs="Times New Roman"/>
                <w:sz w:val="20"/>
                <w:szCs w:val="20"/>
              </w:rPr>
              <w:t>1.5</w:t>
            </w:r>
          </w:p>
        </w:tc>
      </w:tr>
      <w:tr w:rsidR="00251B25" w:rsidRPr="00A36555" w14:paraId="21712B9E" w14:textId="77777777" w:rsidTr="00251B25">
        <w:tc>
          <w:tcPr>
            <w:tcW w:w="5103" w:type="dxa"/>
          </w:tcPr>
          <w:p w14:paraId="7080D56B" w14:textId="77777777" w:rsidR="00251B25" w:rsidRPr="00E4782E" w:rsidRDefault="00251B25" w:rsidP="007057E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7057E5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4782E">
              <w:rPr>
                <w:rFonts w:cs="Times New Roman"/>
                <w:sz w:val="20"/>
                <w:szCs w:val="20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</w:rPr>
              <w:t>High</w:t>
            </w:r>
            <w:r w:rsidRPr="00E4782E">
              <w:rPr>
                <w:rFonts w:cs="Times New Roman"/>
                <w:sz w:val="20"/>
                <w:szCs w:val="20"/>
              </w:rPr>
              <w:t>” to “</w:t>
            </w:r>
            <w:r>
              <w:rPr>
                <w:rFonts w:cs="Times New Roman"/>
                <w:sz w:val="20"/>
                <w:szCs w:val="20"/>
              </w:rPr>
              <w:t>Low</w:t>
            </w:r>
            <w:r w:rsidRPr="00E4782E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14:paraId="19886AAD" w14:textId="77777777" w:rsidR="00251B25" w:rsidRPr="00E4782E" w:rsidRDefault="00251B25" w:rsidP="00251B2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82E">
              <w:rPr>
                <w:rFonts w:cs="Times New Roman"/>
                <w:sz w:val="20"/>
                <w:szCs w:val="20"/>
              </w:rPr>
              <w:t>0.9</w:t>
            </w:r>
          </w:p>
        </w:tc>
      </w:tr>
      <w:tr w:rsidR="00251B25" w:rsidRPr="00A36555" w14:paraId="2793985E" w14:textId="77777777" w:rsidTr="00251B25">
        <w:tc>
          <w:tcPr>
            <w:tcW w:w="5103" w:type="dxa"/>
          </w:tcPr>
          <w:p w14:paraId="0DA30BCB" w14:textId="77777777" w:rsidR="00251B25" w:rsidRPr="00E4782E" w:rsidRDefault="00251B25" w:rsidP="007057E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7057E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4782E">
              <w:rPr>
                <w:rFonts w:cs="Times New Roman"/>
                <w:sz w:val="20"/>
                <w:szCs w:val="20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</w:rPr>
              <w:t>High</w:t>
            </w:r>
            <w:r w:rsidRPr="00E4782E">
              <w:rPr>
                <w:rFonts w:cs="Times New Roman"/>
                <w:sz w:val="20"/>
                <w:szCs w:val="20"/>
              </w:rPr>
              <w:t>” to “</w:t>
            </w:r>
            <w:r>
              <w:rPr>
                <w:rFonts w:cs="Times New Roman"/>
                <w:sz w:val="20"/>
                <w:szCs w:val="20"/>
              </w:rPr>
              <w:t>Moderate</w:t>
            </w:r>
            <w:r w:rsidRPr="00E4782E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14:paraId="4308117C" w14:textId="77777777" w:rsidR="00251B25" w:rsidRPr="00E4782E" w:rsidRDefault="00251B25" w:rsidP="00251B2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82E">
              <w:rPr>
                <w:rFonts w:cs="Times New Roman"/>
                <w:sz w:val="20"/>
                <w:szCs w:val="20"/>
              </w:rPr>
              <w:t>0.9</w:t>
            </w:r>
          </w:p>
        </w:tc>
      </w:tr>
      <w:tr w:rsidR="00251B25" w:rsidRPr="00A36555" w14:paraId="72EEE580" w14:textId="77777777" w:rsidTr="00251B25">
        <w:tc>
          <w:tcPr>
            <w:tcW w:w="5103" w:type="dxa"/>
          </w:tcPr>
          <w:p w14:paraId="64490B37" w14:textId="77777777" w:rsidR="00251B25" w:rsidRPr="00E4782E" w:rsidRDefault="00251B25" w:rsidP="007057E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7057E5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4782E">
              <w:rPr>
                <w:rFonts w:cs="Times New Roman"/>
                <w:sz w:val="20"/>
                <w:szCs w:val="20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</w:rPr>
              <w:t>High</w:t>
            </w:r>
            <w:r w:rsidRPr="00E4782E">
              <w:rPr>
                <w:rFonts w:cs="Times New Roman"/>
                <w:sz w:val="20"/>
                <w:szCs w:val="20"/>
              </w:rPr>
              <w:t>” to “</w:t>
            </w:r>
            <w:r>
              <w:rPr>
                <w:rFonts w:cs="Times New Roman"/>
                <w:sz w:val="20"/>
                <w:szCs w:val="20"/>
              </w:rPr>
              <w:t>High</w:t>
            </w:r>
            <w:r w:rsidRPr="00E4782E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14:paraId="6140183E" w14:textId="77777777" w:rsidR="00251B25" w:rsidRPr="00E4782E" w:rsidRDefault="00251B25" w:rsidP="00251B2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82E">
              <w:rPr>
                <w:rFonts w:cs="Times New Roman"/>
                <w:sz w:val="20"/>
                <w:szCs w:val="20"/>
              </w:rPr>
              <w:t>1.2</w:t>
            </w:r>
          </w:p>
        </w:tc>
      </w:tr>
      <w:tr w:rsidR="00251B25" w:rsidRPr="00A36555" w14:paraId="40056A28" w14:textId="77777777" w:rsidTr="00251B25">
        <w:tc>
          <w:tcPr>
            <w:tcW w:w="5103" w:type="dxa"/>
          </w:tcPr>
          <w:p w14:paraId="51E75DAE" w14:textId="77777777" w:rsidR="00251B25" w:rsidRPr="00E4782E" w:rsidRDefault="00251B25" w:rsidP="007057E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7057E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4782E">
              <w:rPr>
                <w:rFonts w:cs="Times New Roman"/>
                <w:sz w:val="20"/>
                <w:szCs w:val="20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</w:rPr>
              <w:t>High</w:t>
            </w:r>
            <w:r w:rsidRPr="00E4782E">
              <w:rPr>
                <w:rFonts w:cs="Times New Roman"/>
                <w:sz w:val="20"/>
                <w:szCs w:val="20"/>
              </w:rPr>
              <w:t>” to “</w:t>
            </w:r>
            <w:r>
              <w:rPr>
                <w:rFonts w:cs="Times New Roman"/>
                <w:sz w:val="20"/>
                <w:szCs w:val="20"/>
              </w:rPr>
              <w:t>Hyperactivity/internalizing</w:t>
            </w:r>
            <w:r w:rsidRPr="00E4782E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14:paraId="3401B18E" w14:textId="77777777" w:rsidR="00251B25" w:rsidRPr="00E4782E" w:rsidRDefault="00251B25" w:rsidP="00251B2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82E">
              <w:rPr>
                <w:rFonts w:cs="Times New Roman"/>
                <w:sz w:val="20"/>
                <w:szCs w:val="20"/>
              </w:rPr>
              <w:t>0.8</w:t>
            </w:r>
          </w:p>
        </w:tc>
      </w:tr>
      <w:tr w:rsidR="00251B25" w:rsidRPr="00A36555" w14:paraId="3866B02C" w14:textId="77777777" w:rsidTr="00251B25">
        <w:tc>
          <w:tcPr>
            <w:tcW w:w="5103" w:type="dxa"/>
          </w:tcPr>
          <w:p w14:paraId="2AC644A5" w14:textId="77777777" w:rsidR="00251B25" w:rsidRPr="00E4782E" w:rsidRDefault="00251B25" w:rsidP="007057E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7057E5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4782E">
              <w:rPr>
                <w:rFonts w:cs="Times New Roman"/>
                <w:sz w:val="20"/>
                <w:szCs w:val="20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</w:rPr>
              <w:t>Hyperactivity/internalizing</w:t>
            </w:r>
            <w:r w:rsidRPr="00E4782E">
              <w:rPr>
                <w:rFonts w:cs="Times New Roman"/>
                <w:sz w:val="20"/>
                <w:szCs w:val="20"/>
              </w:rPr>
              <w:t>” to “</w:t>
            </w:r>
            <w:r>
              <w:rPr>
                <w:rFonts w:cs="Times New Roman"/>
                <w:sz w:val="20"/>
                <w:szCs w:val="20"/>
              </w:rPr>
              <w:t>Low</w:t>
            </w:r>
            <w:r w:rsidRPr="00E4782E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14:paraId="134425B1" w14:textId="77777777" w:rsidR="00251B25" w:rsidRPr="00E4782E" w:rsidRDefault="00251B25" w:rsidP="00251B2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82E">
              <w:rPr>
                <w:rFonts w:cs="Times New Roman"/>
                <w:sz w:val="20"/>
                <w:szCs w:val="20"/>
              </w:rPr>
              <w:t>5.5</w:t>
            </w:r>
          </w:p>
        </w:tc>
      </w:tr>
      <w:tr w:rsidR="00251B25" w:rsidRPr="00A36555" w14:paraId="29159816" w14:textId="77777777" w:rsidTr="00251B25">
        <w:tc>
          <w:tcPr>
            <w:tcW w:w="5103" w:type="dxa"/>
          </w:tcPr>
          <w:p w14:paraId="56815CA7" w14:textId="77777777" w:rsidR="00251B25" w:rsidRPr="00E4782E" w:rsidRDefault="00251B25" w:rsidP="007057E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7057E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4782E">
              <w:rPr>
                <w:rFonts w:cs="Times New Roman"/>
                <w:sz w:val="20"/>
                <w:szCs w:val="20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</w:rPr>
              <w:t>Hyperactivity/internalizing</w:t>
            </w:r>
            <w:r w:rsidRPr="00E4782E">
              <w:rPr>
                <w:rFonts w:cs="Times New Roman"/>
                <w:sz w:val="20"/>
                <w:szCs w:val="20"/>
              </w:rPr>
              <w:t>” to “</w:t>
            </w:r>
            <w:r>
              <w:rPr>
                <w:rFonts w:cs="Times New Roman"/>
                <w:sz w:val="20"/>
                <w:szCs w:val="20"/>
              </w:rPr>
              <w:t>Moderate</w:t>
            </w:r>
            <w:r w:rsidRPr="00E4782E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14:paraId="3BCC5640" w14:textId="77777777" w:rsidR="00251B25" w:rsidRPr="00E4782E" w:rsidRDefault="00251B25" w:rsidP="00251B2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82E">
              <w:rPr>
                <w:rFonts w:cs="Times New Roman"/>
                <w:sz w:val="20"/>
                <w:szCs w:val="20"/>
              </w:rPr>
              <w:t>1.3</w:t>
            </w:r>
          </w:p>
        </w:tc>
      </w:tr>
      <w:tr w:rsidR="00251B25" w:rsidRPr="00A36555" w14:paraId="03D470CE" w14:textId="77777777" w:rsidTr="00251B25">
        <w:tc>
          <w:tcPr>
            <w:tcW w:w="5103" w:type="dxa"/>
          </w:tcPr>
          <w:p w14:paraId="3C785EBB" w14:textId="77777777" w:rsidR="00251B25" w:rsidRPr="00E4782E" w:rsidRDefault="00251B25" w:rsidP="007057E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7057E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4782E">
              <w:rPr>
                <w:rFonts w:cs="Times New Roman"/>
                <w:sz w:val="20"/>
                <w:szCs w:val="20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</w:rPr>
              <w:t>Hyperactivity/internalizing</w:t>
            </w:r>
            <w:r w:rsidRPr="00E4782E">
              <w:rPr>
                <w:rFonts w:cs="Times New Roman"/>
                <w:sz w:val="20"/>
                <w:szCs w:val="20"/>
              </w:rPr>
              <w:t>” to “</w:t>
            </w:r>
            <w:r>
              <w:rPr>
                <w:rFonts w:cs="Times New Roman"/>
                <w:sz w:val="20"/>
                <w:szCs w:val="20"/>
              </w:rPr>
              <w:t>High</w:t>
            </w:r>
            <w:r w:rsidRPr="00E4782E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14:paraId="70D7047F" w14:textId="77777777" w:rsidR="00251B25" w:rsidRPr="00E4782E" w:rsidRDefault="00251B25" w:rsidP="00251B2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82E">
              <w:rPr>
                <w:rFonts w:cs="Times New Roman"/>
                <w:sz w:val="20"/>
                <w:szCs w:val="20"/>
              </w:rPr>
              <w:t>0.4</w:t>
            </w:r>
          </w:p>
        </w:tc>
      </w:tr>
      <w:tr w:rsidR="00251B25" w:rsidRPr="00A36555" w14:paraId="6C8ACBF6" w14:textId="77777777" w:rsidTr="00251B25">
        <w:tc>
          <w:tcPr>
            <w:tcW w:w="5103" w:type="dxa"/>
            <w:tcBorders>
              <w:bottom w:val="single" w:sz="4" w:space="0" w:color="auto"/>
            </w:tcBorders>
          </w:tcPr>
          <w:p w14:paraId="07F83B46" w14:textId="77777777" w:rsidR="00251B25" w:rsidRPr="00E4782E" w:rsidRDefault="00251B25" w:rsidP="007057E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="007057E5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E4782E">
              <w:rPr>
                <w:rFonts w:cs="Times New Roman"/>
                <w:sz w:val="20"/>
                <w:szCs w:val="20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</w:rPr>
              <w:t>Hyperactivity/internalizing</w:t>
            </w:r>
            <w:r w:rsidRPr="00E4782E">
              <w:rPr>
                <w:rFonts w:cs="Times New Roman"/>
                <w:sz w:val="20"/>
                <w:szCs w:val="20"/>
              </w:rPr>
              <w:t>” to “</w:t>
            </w:r>
            <w:r>
              <w:rPr>
                <w:rFonts w:cs="Times New Roman"/>
                <w:sz w:val="20"/>
                <w:szCs w:val="20"/>
              </w:rPr>
              <w:t>Hyperactivity/internalizing</w:t>
            </w:r>
            <w:r w:rsidRPr="00E4782E"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90694E4" w14:textId="77777777" w:rsidR="00251B25" w:rsidRPr="00E4782E" w:rsidRDefault="00251B25" w:rsidP="00251B25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4782E">
              <w:rPr>
                <w:rFonts w:cs="Times New Roman"/>
                <w:sz w:val="20"/>
                <w:szCs w:val="20"/>
              </w:rPr>
              <w:t>2.5</w:t>
            </w:r>
          </w:p>
        </w:tc>
      </w:tr>
      <w:tr w:rsidR="00251B25" w:rsidRPr="00A36555" w14:paraId="078756F1" w14:textId="77777777" w:rsidTr="00251B25">
        <w:tc>
          <w:tcPr>
            <w:tcW w:w="6946" w:type="dxa"/>
            <w:gridSpan w:val="2"/>
            <w:tcBorders>
              <w:left w:val="nil"/>
              <w:bottom w:val="nil"/>
              <w:right w:val="nil"/>
            </w:tcBorders>
          </w:tcPr>
          <w:p w14:paraId="23BF941B" w14:textId="77777777" w:rsidR="00251B25" w:rsidRPr="007057E5" w:rsidRDefault="00251B25" w:rsidP="00251B25">
            <w:pPr>
              <w:spacing w:line="240" w:lineRule="auto"/>
              <w:ind w:left="-141" w:firstLine="90"/>
              <w:rPr>
                <w:rFonts w:cs="Times New Roman"/>
                <w:sz w:val="20"/>
                <w:szCs w:val="20"/>
              </w:rPr>
            </w:pPr>
            <w:r w:rsidRPr="007057E5">
              <w:rPr>
                <w:rFonts w:cs="Times New Roman"/>
                <w:sz w:val="20"/>
                <w:szCs w:val="20"/>
              </w:rPr>
              <w:t>Hyperactivity/internalizing: Hyperactivity/inattention and internalizing</w:t>
            </w:r>
          </w:p>
          <w:p w14:paraId="07A18D7A" w14:textId="77777777" w:rsidR="007057E5" w:rsidRDefault="007057E5" w:rsidP="007057E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BBD479A" w14:textId="77777777" w:rsidR="007057E5" w:rsidRPr="007057E5" w:rsidRDefault="007057E5" w:rsidP="007057E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057E5">
              <w:rPr>
                <w:rFonts w:cs="Times New Roman"/>
                <w:sz w:val="20"/>
                <w:szCs w:val="20"/>
              </w:rPr>
              <w:t>[1] Stable low problem behavior</w:t>
            </w:r>
          </w:p>
          <w:p w14:paraId="0770C753" w14:textId="77777777" w:rsidR="007057E5" w:rsidRPr="007057E5" w:rsidRDefault="007057E5" w:rsidP="007057E5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7057E5">
              <w:rPr>
                <w:rFonts w:cs="Times New Roman"/>
                <w:sz w:val="20"/>
                <w:szCs w:val="20"/>
              </w:rPr>
              <w:t xml:space="preserve">[2] Decreasing to low </w:t>
            </w:r>
            <w:r w:rsidRPr="007057E5">
              <w:rPr>
                <w:rFonts w:eastAsia="Calibri" w:cs="Times New Roman"/>
                <w:sz w:val="20"/>
                <w:szCs w:val="20"/>
              </w:rPr>
              <w:t xml:space="preserve">symptoms </w:t>
            </w:r>
          </w:p>
          <w:p w14:paraId="0C9B6F9B" w14:textId="77777777" w:rsidR="007057E5" w:rsidRPr="007057E5" w:rsidRDefault="007057E5" w:rsidP="007057E5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7057E5">
              <w:rPr>
                <w:rFonts w:cs="Times New Roman"/>
                <w:sz w:val="20"/>
                <w:szCs w:val="20"/>
              </w:rPr>
              <w:t xml:space="preserve">[3] Increasing from low to </w:t>
            </w:r>
            <w:r w:rsidRPr="007057E5">
              <w:rPr>
                <w:rFonts w:eastAsia="Calibri" w:cs="Times New Roman"/>
                <w:sz w:val="20"/>
                <w:szCs w:val="20"/>
              </w:rPr>
              <w:t>symptoms</w:t>
            </w:r>
          </w:p>
          <w:p w14:paraId="4215467B" w14:textId="77777777" w:rsidR="007057E5" w:rsidRPr="007057E5" w:rsidRDefault="007057E5" w:rsidP="007057E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057E5">
              <w:rPr>
                <w:rFonts w:cs="Times New Roman"/>
                <w:sz w:val="20"/>
                <w:szCs w:val="20"/>
              </w:rPr>
              <w:t xml:space="preserve">[4] Homotypic </w:t>
            </w:r>
          </w:p>
          <w:p w14:paraId="453DA6DD" w14:textId="77777777" w:rsidR="007057E5" w:rsidRPr="007057E5" w:rsidRDefault="007057E5" w:rsidP="007057E5">
            <w:pPr>
              <w:spacing w:line="240" w:lineRule="auto"/>
              <w:rPr>
                <w:sz w:val="20"/>
                <w:szCs w:val="20"/>
              </w:rPr>
            </w:pPr>
            <w:r w:rsidRPr="007057E5">
              <w:rPr>
                <w:rFonts w:cs="Times New Roman"/>
                <w:sz w:val="20"/>
                <w:szCs w:val="20"/>
              </w:rPr>
              <w:t>[5] Heterotypic</w:t>
            </w:r>
          </w:p>
          <w:p w14:paraId="69373F61" w14:textId="77777777" w:rsidR="00251B25" w:rsidRPr="00A36555" w:rsidRDefault="00251B25" w:rsidP="00251B25">
            <w:pPr>
              <w:spacing w:line="240" w:lineRule="auto"/>
              <w:ind w:left="-141" w:firstLine="90"/>
              <w:rPr>
                <w:rFonts w:cs="Times New Roman"/>
                <w:sz w:val="20"/>
                <w:szCs w:val="20"/>
              </w:rPr>
            </w:pPr>
          </w:p>
        </w:tc>
      </w:tr>
    </w:tbl>
    <w:p w14:paraId="6E1F01D6" w14:textId="77777777" w:rsidR="00251B25" w:rsidRDefault="00251B25"/>
    <w:p w14:paraId="369667FA" w14:textId="77777777" w:rsidR="00251B25" w:rsidRDefault="00251B25"/>
    <w:p w14:paraId="431FB7C3" w14:textId="77777777" w:rsidR="00251B25" w:rsidRDefault="00251B25"/>
    <w:p w14:paraId="32D99ACB" w14:textId="77777777" w:rsidR="00251B25" w:rsidRDefault="00251B25"/>
    <w:p w14:paraId="61142740" w14:textId="77777777" w:rsidR="00251B25" w:rsidRDefault="00251B25"/>
    <w:p w14:paraId="5D32A35B" w14:textId="77777777" w:rsidR="00251B25" w:rsidRDefault="00251B25"/>
    <w:p w14:paraId="7AB1C37B" w14:textId="77777777" w:rsidR="00251B25" w:rsidRDefault="00251B25"/>
    <w:p w14:paraId="10A53554" w14:textId="77777777" w:rsidR="00251B25" w:rsidRDefault="00251B25"/>
    <w:p w14:paraId="2CFBA3DE" w14:textId="77777777" w:rsidR="00251B25" w:rsidRDefault="00251B25"/>
    <w:p w14:paraId="4CCA5902" w14:textId="77777777" w:rsidR="00251B25" w:rsidRDefault="00251B25"/>
    <w:p w14:paraId="09C58802" w14:textId="77777777" w:rsidR="00251B25" w:rsidRDefault="00251B25"/>
    <w:p w14:paraId="79FF65E0" w14:textId="77777777" w:rsidR="00251B25" w:rsidRDefault="00251B25"/>
    <w:p w14:paraId="55F44892" w14:textId="77777777" w:rsidR="00251B25" w:rsidRDefault="00251B25"/>
    <w:p w14:paraId="1790EF2B" w14:textId="77777777" w:rsidR="00251B25" w:rsidRDefault="00251B25"/>
    <w:p w14:paraId="2E340E34" w14:textId="77777777" w:rsidR="00251B25" w:rsidRDefault="00251B25"/>
    <w:p w14:paraId="1E11A29B" w14:textId="77777777" w:rsidR="00251B25" w:rsidRDefault="00251B25">
      <w:pPr>
        <w:sectPr w:rsidR="00251B25" w:rsidSect="00251B2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1422" w:type="dxa"/>
        <w:tblInd w:w="-370" w:type="dxa"/>
        <w:tblLook w:val="04A0" w:firstRow="1" w:lastRow="0" w:firstColumn="1" w:lastColumn="0" w:noHBand="0" w:noVBand="1"/>
      </w:tblPr>
      <w:tblGrid>
        <w:gridCol w:w="2917"/>
        <w:gridCol w:w="1417"/>
        <w:gridCol w:w="1418"/>
        <w:gridCol w:w="1417"/>
        <w:gridCol w:w="1418"/>
        <w:gridCol w:w="1417"/>
        <w:gridCol w:w="1418"/>
      </w:tblGrid>
      <w:tr w:rsidR="00251B25" w:rsidRPr="0099361F" w14:paraId="4C9007E7" w14:textId="77777777" w:rsidTr="00F43B0A">
        <w:tc>
          <w:tcPr>
            <w:tcW w:w="11422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597D340" w14:textId="08B7CA5D" w:rsidR="00251B25" w:rsidRPr="0099361F" w:rsidRDefault="00251B25" w:rsidP="007057E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Supplemental Table </w:t>
            </w:r>
            <w:r w:rsidR="007057E5">
              <w:rPr>
                <w:rFonts w:cs="Times New Roman"/>
                <w:sz w:val="18"/>
                <w:szCs w:val="18"/>
              </w:rPr>
              <w:t>3</w:t>
            </w:r>
            <w:r w:rsidRPr="0099361F">
              <w:rPr>
                <w:rFonts w:cs="Times New Roman"/>
                <w:sz w:val="18"/>
                <w:szCs w:val="18"/>
              </w:rPr>
              <w:t>. Unadjusted and adjusted logistic regression models showing the association between latent profile(s) and transition clusters on suicidal thoughts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B2712A">
              <w:rPr>
                <w:rFonts w:cs="Times New Roman"/>
                <w:sz w:val="18"/>
                <w:szCs w:val="18"/>
              </w:rPr>
              <w:t xml:space="preserve">in </w:t>
            </w:r>
            <w:r>
              <w:rPr>
                <w:rFonts w:cs="Times New Roman"/>
                <w:sz w:val="18"/>
                <w:szCs w:val="18"/>
              </w:rPr>
              <w:t xml:space="preserve">sensitivity </w:t>
            </w:r>
            <w:r w:rsidR="00B2712A">
              <w:rPr>
                <w:rFonts w:cs="Times New Roman"/>
                <w:sz w:val="18"/>
                <w:szCs w:val="18"/>
              </w:rPr>
              <w:t>analysis where those not responding to suicidal thought questions were coded as “no”</w:t>
            </w:r>
          </w:p>
        </w:tc>
      </w:tr>
      <w:tr w:rsidR="00251B25" w:rsidRPr="0099361F" w14:paraId="0E610041" w14:textId="77777777" w:rsidTr="00F43B0A">
        <w:tc>
          <w:tcPr>
            <w:tcW w:w="29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8C17F6" w14:textId="77777777" w:rsidR="00251B25" w:rsidRPr="0099361F" w:rsidRDefault="00251B25" w:rsidP="00F43B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580198D" w14:textId="77777777" w:rsidR="00251B25" w:rsidRPr="007057E5" w:rsidRDefault="00251B25" w:rsidP="00F43B0A">
            <w:pPr>
              <w:spacing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057E5">
              <w:rPr>
                <w:rFonts w:cs="Times New Roman"/>
                <w:i/>
                <w:sz w:val="18"/>
                <w:szCs w:val="18"/>
              </w:rPr>
              <w:t>Suicidal Thoughts</w:t>
            </w:r>
          </w:p>
        </w:tc>
      </w:tr>
      <w:tr w:rsidR="00251B25" w:rsidRPr="0099361F" w14:paraId="7E7758E6" w14:textId="77777777" w:rsidTr="00F43B0A">
        <w:tc>
          <w:tcPr>
            <w:tcW w:w="2917" w:type="dxa"/>
            <w:vMerge/>
            <w:shd w:val="clear" w:color="auto" w:fill="auto"/>
          </w:tcPr>
          <w:p w14:paraId="3A5382C6" w14:textId="77777777" w:rsidR="00251B25" w:rsidRPr="0099361F" w:rsidRDefault="00251B25" w:rsidP="00F43B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30CCB282" w14:textId="77777777" w:rsidR="00251B25" w:rsidRPr="0099361F" w:rsidRDefault="00251B25" w:rsidP="00F43B0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Unadjusted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37E8F121" w14:textId="77777777" w:rsidR="00251B25" w:rsidRPr="0099361F" w:rsidRDefault="00251B25" w:rsidP="00F43B0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Adjusted*</w:t>
            </w:r>
          </w:p>
        </w:tc>
      </w:tr>
      <w:tr w:rsidR="00251B25" w:rsidRPr="0099361F" w14:paraId="4B3227B4" w14:textId="77777777" w:rsidTr="00F43B0A">
        <w:tc>
          <w:tcPr>
            <w:tcW w:w="2917" w:type="dxa"/>
            <w:vMerge/>
            <w:shd w:val="clear" w:color="auto" w:fill="auto"/>
          </w:tcPr>
          <w:p w14:paraId="439A6E8F" w14:textId="77777777" w:rsidR="00251B25" w:rsidRPr="0099361F" w:rsidRDefault="00251B25" w:rsidP="00F43B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90394C" w14:textId="77777777" w:rsidR="00251B25" w:rsidRPr="0099361F" w:rsidRDefault="00251B25" w:rsidP="00F43B0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F2C7D1" w14:textId="77777777" w:rsidR="00251B25" w:rsidRPr="0099361F" w:rsidRDefault="00251B25" w:rsidP="00F43B0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Upper 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E86109" w14:textId="77777777" w:rsidR="00251B25" w:rsidRPr="0099361F" w:rsidRDefault="00251B25" w:rsidP="00F43B0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Lower CI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DF7462" w14:textId="77777777" w:rsidR="00251B25" w:rsidRPr="0099361F" w:rsidRDefault="00251B25" w:rsidP="00F43B0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08C7A" w14:textId="77777777" w:rsidR="00251B25" w:rsidRPr="0099361F" w:rsidRDefault="00251B25" w:rsidP="00F43B0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Upper CI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99D29F" w14:textId="77777777" w:rsidR="00251B25" w:rsidRPr="0099361F" w:rsidRDefault="00251B25" w:rsidP="00F43B0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Lower CI</w:t>
            </w:r>
          </w:p>
        </w:tc>
      </w:tr>
      <w:tr w:rsidR="00251B25" w:rsidRPr="0099361F" w14:paraId="6A537C6D" w14:textId="77777777" w:rsidTr="00F43B0A">
        <w:trPr>
          <w:trHeight w:val="555"/>
        </w:trPr>
        <w:tc>
          <w:tcPr>
            <w:tcW w:w="2917" w:type="dxa"/>
            <w:shd w:val="clear" w:color="auto" w:fill="auto"/>
          </w:tcPr>
          <w:p w14:paraId="5E2A0DAA" w14:textId="77777777" w:rsidR="00251B25" w:rsidRPr="0099361F" w:rsidRDefault="00251B25" w:rsidP="00F43B0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LPA age 6/7</w:t>
            </w:r>
          </w:p>
          <w:p w14:paraId="0E5B1478" w14:textId="77777777" w:rsidR="00251B25" w:rsidRPr="0099361F" w:rsidRDefault="00251B25" w:rsidP="00F43B0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 xml:space="preserve">Reference: </w:t>
            </w:r>
          </w:p>
          <w:p w14:paraId="572CEDAC" w14:textId="77777777" w:rsidR="00251B25" w:rsidRPr="0099361F" w:rsidRDefault="00251B25" w:rsidP="00F43B0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“</w:t>
            </w:r>
            <w:r>
              <w:rPr>
                <w:rFonts w:cs="Times New Roman"/>
                <w:sz w:val="18"/>
                <w:szCs w:val="18"/>
              </w:rPr>
              <w:t>Low</w:t>
            </w:r>
            <w:r w:rsidRPr="0099361F">
              <w:rPr>
                <w:rFonts w:cs="Times New Roman"/>
                <w:sz w:val="18"/>
                <w:szCs w:val="18"/>
              </w:rPr>
              <w:t>”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1A6D485" w14:textId="77777777" w:rsidR="00251B25" w:rsidRPr="0099361F" w:rsidRDefault="00251B25" w:rsidP="00F43B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833E7E1" w14:textId="77777777" w:rsidR="00251B25" w:rsidRPr="0099361F" w:rsidRDefault="00251B25" w:rsidP="00F43B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51B25" w:rsidRPr="0099361F" w14:paraId="55A4E0A5" w14:textId="77777777" w:rsidTr="00F43B0A">
        <w:tc>
          <w:tcPr>
            <w:tcW w:w="2917" w:type="dxa"/>
            <w:shd w:val="clear" w:color="auto" w:fill="auto"/>
          </w:tcPr>
          <w:p w14:paraId="1FD94BB3" w14:textId="77777777" w:rsidR="00251B25" w:rsidRPr="0099361F" w:rsidRDefault="00251B25" w:rsidP="00F43B0A">
            <w:pPr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Moderate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39CD4B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85AA16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0.93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AE0F0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F433F3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9C62B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0.93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4581B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1.47</w:t>
            </w:r>
          </w:p>
        </w:tc>
      </w:tr>
      <w:tr w:rsidR="00251B25" w:rsidRPr="0099361F" w14:paraId="606A9A08" w14:textId="77777777" w:rsidTr="00F43B0A">
        <w:tc>
          <w:tcPr>
            <w:tcW w:w="2917" w:type="dxa"/>
            <w:shd w:val="clear" w:color="auto" w:fill="auto"/>
          </w:tcPr>
          <w:p w14:paraId="314AF5CE" w14:textId="77777777" w:rsidR="00251B25" w:rsidRPr="0099361F" w:rsidRDefault="00251B25" w:rsidP="00F43B0A">
            <w:pPr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High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4ADD7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2.08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4DC7F4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CB3FC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2.88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9183F1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2.32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F93A4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1.63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4FB1F3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3.31</w:t>
            </w:r>
          </w:p>
        </w:tc>
      </w:tr>
      <w:tr w:rsidR="00251B25" w:rsidRPr="0099361F" w14:paraId="641E2A3B" w14:textId="77777777" w:rsidTr="00F43B0A">
        <w:tc>
          <w:tcPr>
            <w:tcW w:w="2917" w:type="dxa"/>
            <w:shd w:val="clear" w:color="auto" w:fill="auto"/>
          </w:tcPr>
          <w:p w14:paraId="74A40E2D" w14:textId="77777777" w:rsidR="00251B25" w:rsidRPr="0099361F" w:rsidRDefault="00251B25" w:rsidP="00F43B0A">
            <w:pPr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Hyperactivity/internalizing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0DC6B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D4C952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BF71A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836FA5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5EE68F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0.97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BFB8B7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1.65</w:t>
            </w:r>
          </w:p>
        </w:tc>
      </w:tr>
      <w:tr w:rsidR="00251B25" w:rsidRPr="0099361F" w14:paraId="75E3F6CF" w14:textId="77777777" w:rsidTr="00F43B0A">
        <w:tc>
          <w:tcPr>
            <w:tcW w:w="2917" w:type="dxa"/>
            <w:shd w:val="clear" w:color="auto" w:fill="auto"/>
          </w:tcPr>
          <w:p w14:paraId="74470CE5" w14:textId="77777777" w:rsidR="00251B25" w:rsidRPr="0099361F" w:rsidRDefault="00251B25" w:rsidP="00F43B0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LPA age 10/11</w:t>
            </w:r>
          </w:p>
          <w:p w14:paraId="64C6A9DF" w14:textId="77777777" w:rsidR="00251B25" w:rsidRPr="0099361F" w:rsidRDefault="00251B25" w:rsidP="00F43B0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 xml:space="preserve">Reference: </w:t>
            </w:r>
          </w:p>
          <w:p w14:paraId="346FB371" w14:textId="77777777" w:rsidR="00251B25" w:rsidRPr="0099361F" w:rsidRDefault="00251B25" w:rsidP="00F43B0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“</w:t>
            </w:r>
            <w:r>
              <w:rPr>
                <w:rFonts w:cs="Times New Roman"/>
                <w:sz w:val="18"/>
                <w:szCs w:val="18"/>
              </w:rPr>
              <w:t>Low</w:t>
            </w:r>
            <w:r w:rsidRPr="0099361F">
              <w:rPr>
                <w:rFonts w:cs="Times New Roman"/>
                <w:sz w:val="18"/>
                <w:szCs w:val="18"/>
              </w:rPr>
              <w:t>”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C43D150" w14:textId="77777777" w:rsidR="00251B25" w:rsidRPr="0099361F" w:rsidRDefault="00251B25" w:rsidP="00F43B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0C1CD0C" w14:textId="77777777" w:rsidR="00251B25" w:rsidRPr="0099361F" w:rsidRDefault="00251B25" w:rsidP="00F43B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51B25" w:rsidRPr="0099361F" w14:paraId="420D56A0" w14:textId="77777777" w:rsidTr="00F43B0A">
        <w:tc>
          <w:tcPr>
            <w:tcW w:w="2917" w:type="dxa"/>
            <w:shd w:val="clear" w:color="auto" w:fill="auto"/>
          </w:tcPr>
          <w:p w14:paraId="45805EE8" w14:textId="77777777" w:rsidR="00251B25" w:rsidRPr="0099361F" w:rsidRDefault="00251B25" w:rsidP="00F43B0A">
            <w:pPr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Moderate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5BFEC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60B22E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A04256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2.38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1DBCDA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E2C858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1.46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2CA6F1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2.34</w:t>
            </w:r>
          </w:p>
        </w:tc>
      </w:tr>
      <w:tr w:rsidR="00251B25" w:rsidRPr="0099361F" w14:paraId="1539EABE" w14:textId="77777777" w:rsidTr="00F43B0A">
        <w:tc>
          <w:tcPr>
            <w:tcW w:w="2917" w:type="dxa"/>
            <w:shd w:val="clear" w:color="auto" w:fill="auto"/>
          </w:tcPr>
          <w:p w14:paraId="14C10155" w14:textId="77777777" w:rsidR="00251B25" w:rsidRPr="0099361F" w:rsidRDefault="00251B25" w:rsidP="00F43B0A">
            <w:pPr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High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5CDF1D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E82F15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3006A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2.26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13966E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EF572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AD713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2.57</w:t>
            </w:r>
          </w:p>
        </w:tc>
      </w:tr>
      <w:tr w:rsidR="00251B25" w:rsidRPr="0099361F" w14:paraId="11EEA294" w14:textId="77777777" w:rsidTr="00F43B0A">
        <w:tc>
          <w:tcPr>
            <w:tcW w:w="2917" w:type="dxa"/>
            <w:shd w:val="clear" w:color="auto" w:fill="auto"/>
          </w:tcPr>
          <w:p w14:paraId="69EF3D2F" w14:textId="77777777" w:rsidR="00251B25" w:rsidRPr="0099361F" w:rsidRDefault="00251B25" w:rsidP="00F43B0A">
            <w:pPr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Hyperactivity/internalizing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0B1CD4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1.86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5DA1F2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A8BD8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2.35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73A985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B3B2B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59B12B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2.33</w:t>
            </w:r>
          </w:p>
        </w:tc>
      </w:tr>
      <w:tr w:rsidR="00251B25" w:rsidRPr="0099361F" w14:paraId="6D3F209E" w14:textId="77777777" w:rsidTr="00F43B0A">
        <w:tc>
          <w:tcPr>
            <w:tcW w:w="2917" w:type="dxa"/>
            <w:shd w:val="clear" w:color="auto" w:fill="auto"/>
          </w:tcPr>
          <w:p w14:paraId="0ADFC715" w14:textId="77777777" w:rsidR="00251B25" w:rsidRPr="0099361F" w:rsidRDefault="00251B25" w:rsidP="00F43B0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Transition clusters</w:t>
            </w:r>
          </w:p>
          <w:p w14:paraId="45E536C3" w14:textId="77777777" w:rsidR="00251B25" w:rsidRPr="0099361F" w:rsidRDefault="00251B25" w:rsidP="00F43B0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 xml:space="preserve">Reference: </w:t>
            </w:r>
          </w:p>
          <w:p w14:paraId="0572B148" w14:textId="77777777" w:rsidR="00251B25" w:rsidRPr="0099361F" w:rsidRDefault="00251B25" w:rsidP="00F43B0A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“Stable low”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07D3DA" w14:textId="77777777" w:rsidR="00251B25" w:rsidRPr="0099361F" w:rsidRDefault="00251B25" w:rsidP="00F43B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3570A9D" w14:textId="77777777" w:rsidR="00251B25" w:rsidRPr="0099361F" w:rsidRDefault="00251B25" w:rsidP="00F43B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51B25" w:rsidRPr="0099361F" w14:paraId="301DB158" w14:textId="77777777" w:rsidTr="00F43B0A">
        <w:tc>
          <w:tcPr>
            <w:tcW w:w="2917" w:type="dxa"/>
            <w:shd w:val="clear" w:color="auto" w:fill="auto"/>
          </w:tcPr>
          <w:p w14:paraId="29D349B5" w14:textId="77777777" w:rsidR="00251B25" w:rsidRPr="0099361F" w:rsidRDefault="00251B25" w:rsidP="00F43B0A">
            <w:pPr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Decreasing to low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BF656B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28A58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0.79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A22EF5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F03070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F24CE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0.84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B3F729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1.38</w:t>
            </w:r>
          </w:p>
        </w:tc>
      </w:tr>
      <w:tr w:rsidR="00251B25" w:rsidRPr="0099361F" w14:paraId="3B96AD06" w14:textId="77777777" w:rsidTr="00F43B0A">
        <w:tc>
          <w:tcPr>
            <w:tcW w:w="2917" w:type="dxa"/>
            <w:shd w:val="clear" w:color="auto" w:fill="auto"/>
          </w:tcPr>
          <w:p w14:paraId="7E294173" w14:textId="77777777" w:rsidR="00251B25" w:rsidRPr="0099361F" w:rsidRDefault="00251B25" w:rsidP="00F43B0A">
            <w:pPr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Low to problems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0D9BB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1.68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6DA5A2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783BBA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2.16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981C6B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72A81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769DF6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2.37</w:t>
            </w:r>
          </w:p>
        </w:tc>
      </w:tr>
      <w:tr w:rsidR="00251B25" w:rsidRPr="0099361F" w14:paraId="7A907174" w14:textId="77777777" w:rsidTr="00F43B0A">
        <w:tc>
          <w:tcPr>
            <w:tcW w:w="2917" w:type="dxa"/>
            <w:shd w:val="clear" w:color="auto" w:fill="auto"/>
          </w:tcPr>
          <w:p w14:paraId="1E78A409" w14:textId="77777777" w:rsidR="00251B25" w:rsidRPr="0099361F" w:rsidRDefault="00251B25" w:rsidP="00F43B0A">
            <w:pPr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Homotypic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39B37B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2.03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730BA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52E81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2.63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D5EA05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FB5E1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1.49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716083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2.61</w:t>
            </w:r>
          </w:p>
        </w:tc>
      </w:tr>
      <w:tr w:rsidR="00251B25" w:rsidRPr="0099361F" w14:paraId="65E6FD50" w14:textId="77777777" w:rsidTr="00F43B0A"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</w:tcPr>
          <w:p w14:paraId="125D769D" w14:textId="77777777" w:rsidR="00251B25" w:rsidRPr="0099361F" w:rsidRDefault="00251B25" w:rsidP="00F43B0A">
            <w:pPr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99361F">
              <w:rPr>
                <w:rFonts w:cs="Times New Roman"/>
                <w:sz w:val="18"/>
                <w:szCs w:val="18"/>
              </w:rPr>
              <w:t>Heterotypic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C2819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1.83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105C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F8BFC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2.45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3856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00365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1.40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F36D1" w14:textId="77777777" w:rsidR="00251B25" w:rsidRPr="0099361F" w:rsidRDefault="00251B25" w:rsidP="00F43B0A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cs="Times New Roman"/>
                <w:sz w:val="18"/>
                <w:szCs w:val="18"/>
              </w:rPr>
              <w:t>2.59</w:t>
            </w:r>
          </w:p>
        </w:tc>
      </w:tr>
      <w:tr w:rsidR="00251B25" w:rsidRPr="0099361F" w14:paraId="6AEB21E3" w14:textId="77777777" w:rsidTr="00F43B0A">
        <w:tc>
          <w:tcPr>
            <w:tcW w:w="11422" w:type="dxa"/>
            <w:gridSpan w:val="7"/>
            <w:tcBorders>
              <w:left w:val="nil"/>
              <w:bottom w:val="nil"/>
              <w:right w:val="nil"/>
            </w:tcBorders>
          </w:tcPr>
          <w:p w14:paraId="6990DCF9" w14:textId="77777777" w:rsidR="00251B25" w:rsidRPr="0099361F" w:rsidRDefault="00251B25" w:rsidP="00F43B0A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eastAsia="Times New Roman" w:cs="Times New Roman"/>
                <w:sz w:val="18"/>
                <w:szCs w:val="18"/>
                <w:lang w:eastAsia="en-CA"/>
              </w:rPr>
              <w:t>CI: confidence interval</w:t>
            </w:r>
          </w:p>
          <w:p w14:paraId="757A2069" w14:textId="77777777" w:rsidR="00251B25" w:rsidRPr="0099361F" w:rsidRDefault="00251B25" w:rsidP="00F43B0A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>
              <w:rPr>
                <w:rFonts w:cs="Times New Roman"/>
                <w:sz w:val="18"/>
                <w:szCs w:val="18"/>
              </w:rPr>
              <w:t>Hyperactivity/internalizing</w:t>
            </w:r>
            <w:r w:rsidRPr="0099361F">
              <w:rPr>
                <w:rFonts w:cs="Times New Roman"/>
                <w:sz w:val="18"/>
                <w:szCs w:val="18"/>
              </w:rPr>
              <w:t>: Hyperactivity/inattention &amp; Internalizing</w:t>
            </w:r>
          </w:p>
          <w:p w14:paraId="693A41D2" w14:textId="77777777" w:rsidR="00251B25" w:rsidRPr="0099361F" w:rsidRDefault="00251B25" w:rsidP="00F43B0A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eastAsia="Times New Roman" w:cs="Times New Roman"/>
                <w:sz w:val="18"/>
                <w:szCs w:val="18"/>
                <w:lang w:eastAsia="en-CA"/>
              </w:rPr>
              <w:t xml:space="preserve">LPA: latent profile analysis – profiles of </w:t>
            </w:r>
            <w:r w:rsidRPr="00F705A9">
              <w:rPr>
                <w:rFonts w:eastAsia="Times New Roman" w:cs="Times New Roman"/>
                <w:sz w:val="18"/>
                <w:szCs w:val="18"/>
                <w:lang w:eastAsia="en-CA"/>
              </w:rPr>
              <w:t>internalizing and externalizing symptoms</w:t>
            </w:r>
          </w:p>
          <w:p w14:paraId="7AFC01DB" w14:textId="77777777" w:rsidR="00251B25" w:rsidRPr="0099361F" w:rsidRDefault="00251B25" w:rsidP="00F43B0A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eastAsia="Times New Roman" w:cs="Times New Roman"/>
                <w:sz w:val="18"/>
                <w:szCs w:val="18"/>
                <w:lang w:eastAsia="en-CA"/>
              </w:rPr>
              <w:t>n: sample size</w:t>
            </w:r>
          </w:p>
          <w:p w14:paraId="30E03654" w14:textId="77777777" w:rsidR="00251B25" w:rsidRPr="0099361F" w:rsidRDefault="00251B25" w:rsidP="00F43B0A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eastAsia="Times New Roman" w:cs="Times New Roman"/>
                <w:sz w:val="18"/>
                <w:szCs w:val="18"/>
                <w:lang w:eastAsia="en-CA"/>
              </w:rPr>
              <w:t>OR: odds ratio</w:t>
            </w:r>
          </w:p>
          <w:p w14:paraId="24911374" w14:textId="6AE8710D" w:rsidR="00251B25" w:rsidRPr="0099361F" w:rsidRDefault="00251B25" w:rsidP="00F43B0A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en-CA"/>
              </w:rPr>
            </w:pPr>
            <w:r w:rsidRPr="0099361F">
              <w:rPr>
                <w:rFonts w:eastAsia="Times New Roman" w:cs="Times New Roman"/>
                <w:sz w:val="18"/>
                <w:szCs w:val="18"/>
                <w:lang w:eastAsia="en-CA"/>
              </w:rPr>
              <w:t xml:space="preserve">* Adjusted for gender, socioeconomic status, stressful life events, high </w:t>
            </w:r>
            <w:r w:rsidR="005E3B21">
              <w:rPr>
                <w:rFonts w:eastAsia="Times New Roman" w:cs="Times New Roman"/>
                <w:sz w:val="18"/>
                <w:szCs w:val="18"/>
                <w:lang w:eastAsia="en-CA"/>
              </w:rPr>
              <w:t>parental</w:t>
            </w:r>
            <w:r w:rsidRPr="0099361F">
              <w:rPr>
                <w:rFonts w:eastAsia="Times New Roman" w:cs="Times New Roman"/>
                <w:sz w:val="18"/>
                <w:szCs w:val="18"/>
                <w:lang w:eastAsia="en-CA"/>
              </w:rPr>
              <w:t xml:space="preserve"> depressive symptoms, high </w:t>
            </w:r>
            <w:r w:rsidR="005E3B21">
              <w:rPr>
                <w:rFonts w:eastAsia="Times New Roman" w:cs="Times New Roman"/>
                <w:sz w:val="18"/>
                <w:szCs w:val="18"/>
                <w:lang w:eastAsia="en-CA"/>
              </w:rPr>
              <w:t>parental</w:t>
            </w:r>
            <w:r w:rsidRPr="0099361F">
              <w:rPr>
                <w:rFonts w:eastAsia="Times New Roman" w:cs="Times New Roman"/>
                <w:sz w:val="18"/>
                <w:szCs w:val="18"/>
                <w:lang w:eastAsia="en-CA"/>
              </w:rPr>
              <w:t xml:space="preserve"> alcohol use, and non-two parent household</w:t>
            </w:r>
          </w:p>
          <w:p w14:paraId="6CA401EF" w14:textId="77777777" w:rsidR="00251B25" w:rsidRPr="0099361F" w:rsidRDefault="00251B25" w:rsidP="00F43B0A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597FE93D" w14:textId="77777777" w:rsidR="00D26D41" w:rsidRDefault="00D26D41">
      <w:bookmarkStart w:id="0" w:name="_GoBack"/>
      <w:bookmarkEnd w:id="0"/>
    </w:p>
    <w:sectPr w:rsidR="00D26D41" w:rsidSect="00251B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E8A"/>
    <w:multiLevelType w:val="hybridMultilevel"/>
    <w:tmpl w:val="84D2E96C"/>
    <w:lvl w:ilvl="0" w:tplc="620264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332D5"/>
    <w:multiLevelType w:val="hybridMultilevel"/>
    <w:tmpl w:val="88244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4A"/>
    <w:rsid w:val="00251B25"/>
    <w:rsid w:val="003C0109"/>
    <w:rsid w:val="005E3B21"/>
    <w:rsid w:val="007057E5"/>
    <w:rsid w:val="00AD166A"/>
    <w:rsid w:val="00B2712A"/>
    <w:rsid w:val="00C71A4A"/>
    <w:rsid w:val="00D26D41"/>
    <w:rsid w:val="00E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8636"/>
  <w15:chartTrackingRefBased/>
  <w15:docId w15:val="{EDF9B77D-5886-4E94-98F7-D0428E3C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B25"/>
    <w:pPr>
      <w:spacing w:line="48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7E5"/>
    <w:pPr>
      <w:keepNext/>
      <w:keepLines/>
      <w:spacing w:before="40" w:after="0" w:line="360" w:lineRule="auto"/>
      <w:ind w:left="720"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B2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57E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057E5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J</dc:creator>
  <cp:keywords/>
  <dc:description/>
  <cp:lastModifiedBy>Dylan Johnson</cp:lastModifiedBy>
  <cp:revision>2</cp:revision>
  <dcterms:created xsi:type="dcterms:W3CDTF">2019-08-27T18:09:00Z</dcterms:created>
  <dcterms:modified xsi:type="dcterms:W3CDTF">2019-08-27T18:09:00Z</dcterms:modified>
</cp:coreProperties>
</file>