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3C37" w14:textId="77777777" w:rsidR="00F57E7F" w:rsidRPr="006A5A26" w:rsidRDefault="00F57E7F" w:rsidP="00DD0833">
      <w:pPr>
        <w:rPr>
          <w:rFonts w:asciiTheme="minorHAnsi" w:hAnsiTheme="minorHAnsi"/>
          <w:szCs w:val="24"/>
        </w:rPr>
      </w:pPr>
    </w:p>
    <w:p w14:paraId="0B04B684" w14:textId="6F16D2D4" w:rsidR="00DD0833" w:rsidRPr="006A5A26" w:rsidRDefault="00AE49E9" w:rsidP="00AE49E9">
      <w:pPr>
        <w:rPr>
          <w:rFonts w:asciiTheme="minorHAnsi" w:hAnsiTheme="minorHAnsi"/>
          <w:b/>
          <w:szCs w:val="24"/>
          <w:lang w:val="en-GB"/>
        </w:rPr>
      </w:pPr>
      <w:r w:rsidRPr="006A5A26">
        <w:rPr>
          <w:rFonts w:asciiTheme="minorHAnsi" w:hAnsiTheme="minorHAnsi"/>
          <w:b/>
          <w:szCs w:val="24"/>
        </w:rPr>
        <w:t>Supplement</w:t>
      </w:r>
      <w:r w:rsidR="007D3B40" w:rsidRPr="006A5A26">
        <w:rPr>
          <w:rFonts w:asciiTheme="minorHAnsi" w:hAnsiTheme="minorHAnsi"/>
          <w:b/>
          <w:szCs w:val="24"/>
        </w:rPr>
        <w:t>ary Materials</w:t>
      </w:r>
      <w:r w:rsidR="00DD0833" w:rsidRPr="006A5A26">
        <w:rPr>
          <w:rFonts w:asciiTheme="minorHAnsi" w:hAnsiTheme="minorHAnsi"/>
          <w:b/>
          <w:szCs w:val="24"/>
        </w:rPr>
        <w:t xml:space="preserve">: </w:t>
      </w:r>
      <w:r w:rsidR="00195D1F" w:rsidRPr="00195D1F">
        <w:rPr>
          <w:rFonts w:asciiTheme="minorHAnsi" w:hAnsiTheme="minorHAnsi"/>
          <w:b/>
          <w:szCs w:val="24"/>
          <w:lang w:val="en-GB"/>
        </w:rPr>
        <w:t>Shared alterations in resting state brain connectivity in adults with attention-deficit/hyperactivity disorder and their unaffected first-degree relatives</w:t>
      </w:r>
    </w:p>
    <w:p w14:paraId="4EDAAAA9" w14:textId="77777777" w:rsidR="00DD0833" w:rsidRPr="006A5A26" w:rsidRDefault="00DD0833" w:rsidP="00AE49E9">
      <w:pPr>
        <w:rPr>
          <w:rFonts w:asciiTheme="minorHAnsi" w:hAnsiTheme="minorHAnsi"/>
          <w:szCs w:val="24"/>
        </w:rPr>
      </w:pPr>
    </w:p>
    <w:p w14:paraId="3796D62D" w14:textId="6063A78A" w:rsidR="006A7964" w:rsidRPr="006A5A26" w:rsidRDefault="00DD0833" w:rsidP="00AE49E9">
      <w:pPr>
        <w:rPr>
          <w:rFonts w:asciiTheme="minorHAnsi" w:hAnsiTheme="minorHAnsi"/>
          <w:szCs w:val="24"/>
          <w:vertAlign w:val="superscript"/>
        </w:rPr>
      </w:pPr>
      <w:r w:rsidRPr="006A5A26">
        <w:rPr>
          <w:rFonts w:asciiTheme="minorHAnsi" w:hAnsiTheme="minorHAnsi"/>
          <w:b/>
          <w:szCs w:val="24"/>
        </w:rPr>
        <w:t>Authors:</w:t>
      </w:r>
      <w:r w:rsidRPr="006A5A26">
        <w:rPr>
          <w:rFonts w:asciiTheme="minorHAnsi" w:hAnsiTheme="minorHAnsi"/>
          <w:szCs w:val="24"/>
        </w:rPr>
        <w:t xml:space="preserve"> </w:t>
      </w:r>
      <w:r w:rsidR="00A63814" w:rsidRPr="006A5A26">
        <w:rPr>
          <w:rFonts w:asciiTheme="minorHAnsi" w:hAnsiTheme="minorHAnsi"/>
          <w:szCs w:val="24"/>
          <w:lang w:val="en-GB"/>
        </w:rPr>
        <w:t>Valentino Antonio Pironti</w:t>
      </w:r>
      <w:r w:rsidR="00A63814" w:rsidRPr="006A5A26">
        <w:rPr>
          <w:rFonts w:asciiTheme="minorHAnsi" w:hAnsiTheme="minorHAnsi"/>
          <w:szCs w:val="24"/>
          <w:vertAlign w:val="superscript"/>
          <w:lang w:val="en-GB"/>
        </w:rPr>
        <w:t>1,2,6</w:t>
      </w:r>
      <w:r w:rsidR="00A63814" w:rsidRPr="006A5A26">
        <w:rPr>
          <w:rFonts w:asciiTheme="minorHAnsi" w:hAnsiTheme="minorHAnsi"/>
          <w:szCs w:val="24"/>
          <w:lang w:val="en-GB"/>
        </w:rPr>
        <w:t>*, Deniz Vatansever</w:t>
      </w:r>
      <w:r w:rsidR="00A63814" w:rsidRPr="006A5A26">
        <w:rPr>
          <w:rFonts w:asciiTheme="minorHAnsi" w:hAnsiTheme="minorHAnsi"/>
          <w:szCs w:val="24"/>
          <w:vertAlign w:val="superscript"/>
          <w:lang w:val="en-GB"/>
        </w:rPr>
        <w:t>1,3,4,5</w:t>
      </w:r>
      <w:r w:rsidR="00A63814" w:rsidRPr="006A5A26">
        <w:rPr>
          <w:rFonts w:asciiTheme="minorHAnsi" w:hAnsiTheme="minorHAnsi"/>
          <w:szCs w:val="24"/>
          <w:lang w:val="en-GB"/>
        </w:rPr>
        <w:t>*, Barbara Jacquelyn Sahakian</w:t>
      </w:r>
      <w:r w:rsidR="00A63814" w:rsidRPr="006A5A26">
        <w:rPr>
          <w:rFonts w:asciiTheme="minorHAnsi" w:hAnsiTheme="minorHAnsi"/>
          <w:szCs w:val="24"/>
          <w:vertAlign w:val="superscript"/>
          <w:lang w:val="en-GB"/>
        </w:rPr>
        <w:t>1,2</w:t>
      </w:r>
      <w:r w:rsidR="00C908F1">
        <w:rPr>
          <w:rFonts w:asciiTheme="minorHAnsi" w:hAnsiTheme="minorHAnsi"/>
          <w:szCs w:val="24"/>
          <w:vertAlign w:val="superscript"/>
          <w:lang w:val="en-GB"/>
        </w:rPr>
        <w:t>,3</w:t>
      </w:r>
    </w:p>
    <w:p w14:paraId="0F1CF86E" w14:textId="77777777" w:rsidR="00AE49E9" w:rsidRPr="006A5A26" w:rsidRDefault="00AE49E9" w:rsidP="00AE49E9">
      <w:pPr>
        <w:jc w:val="both"/>
        <w:rPr>
          <w:rFonts w:asciiTheme="minorHAnsi" w:hAnsiTheme="minorHAnsi"/>
          <w:b/>
          <w:szCs w:val="24"/>
        </w:rPr>
      </w:pPr>
    </w:p>
    <w:p w14:paraId="30A33BBD" w14:textId="77777777" w:rsidR="006A7964" w:rsidRPr="006A5A26" w:rsidRDefault="006A7964" w:rsidP="00AE49E9">
      <w:pPr>
        <w:jc w:val="both"/>
        <w:rPr>
          <w:rFonts w:asciiTheme="minorHAnsi" w:hAnsiTheme="minorHAnsi"/>
          <w:b/>
          <w:szCs w:val="24"/>
        </w:rPr>
      </w:pPr>
      <w:r w:rsidRPr="006A5A26">
        <w:rPr>
          <w:rFonts w:asciiTheme="minorHAnsi" w:hAnsiTheme="minorHAnsi"/>
          <w:b/>
          <w:szCs w:val="24"/>
        </w:rPr>
        <w:t>Affiliations:</w:t>
      </w:r>
    </w:p>
    <w:p w14:paraId="4163B2C1" w14:textId="77777777" w:rsidR="00A63814" w:rsidRPr="006A5A26" w:rsidRDefault="00A63814" w:rsidP="00A63814">
      <w:pPr>
        <w:jc w:val="both"/>
        <w:rPr>
          <w:rFonts w:asciiTheme="minorHAnsi" w:hAnsiTheme="minorHAnsi"/>
          <w:sz w:val="20"/>
          <w:szCs w:val="24"/>
          <w:vertAlign w:val="superscript"/>
          <w:lang w:val="en-GB"/>
        </w:rPr>
      </w:pPr>
      <w:r w:rsidRPr="006A5A26">
        <w:rPr>
          <w:rFonts w:asciiTheme="minorHAnsi" w:hAnsiTheme="minorHAnsi"/>
          <w:sz w:val="20"/>
          <w:szCs w:val="24"/>
          <w:vertAlign w:val="superscript"/>
          <w:lang w:val="en-GB"/>
        </w:rPr>
        <w:t>1</w:t>
      </w:r>
      <w:r w:rsidRPr="006A5A26">
        <w:rPr>
          <w:rFonts w:asciiTheme="minorHAnsi" w:hAnsiTheme="minorHAnsi"/>
          <w:sz w:val="20"/>
          <w:szCs w:val="24"/>
          <w:lang w:val="en-GB"/>
        </w:rPr>
        <w:t>Department of Psychiatry, School of Clinical Medicine, University of Cambridge, Cambridge, UK</w:t>
      </w:r>
    </w:p>
    <w:p w14:paraId="28CD76FF" w14:textId="77777777" w:rsidR="00A63814" w:rsidRPr="006A5A26" w:rsidRDefault="00A63814" w:rsidP="00A63814">
      <w:pPr>
        <w:jc w:val="both"/>
        <w:rPr>
          <w:rFonts w:asciiTheme="minorHAnsi" w:hAnsiTheme="minorHAnsi"/>
          <w:sz w:val="20"/>
          <w:szCs w:val="24"/>
          <w:lang w:val="en-GB"/>
        </w:rPr>
      </w:pPr>
      <w:r w:rsidRPr="006A5A26">
        <w:rPr>
          <w:rFonts w:asciiTheme="minorHAnsi" w:hAnsiTheme="minorHAnsi"/>
          <w:sz w:val="20"/>
          <w:szCs w:val="24"/>
          <w:vertAlign w:val="superscript"/>
          <w:lang w:val="en-GB"/>
        </w:rPr>
        <w:t>2</w:t>
      </w:r>
      <w:r w:rsidRPr="006A5A26">
        <w:rPr>
          <w:rFonts w:asciiTheme="minorHAnsi" w:hAnsiTheme="minorHAnsi"/>
          <w:sz w:val="20"/>
          <w:szCs w:val="24"/>
          <w:lang w:val="en-GB"/>
        </w:rPr>
        <w:t>Behavioural and Clinical Neuroscience Institute, University of Cambridge, Cambridge, UK</w:t>
      </w:r>
    </w:p>
    <w:p w14:paraId="6D5AE927" w14:textId="29260413" w:rsidR="00A63814" w:rsidRPr="006A5A26" w:rsidRDefault="00A63814" w:rsidP="00A63814">
      <w:pPr>
        <w:jc w:val="both"/>
        <w:rPr>
          <w:rFonts w:asciiTheme="minorHAnsi" w:hAnsiTheme="minorHAnsi"/>
          <w:sz w:val="20"/>
          <w:szCs w:val="24"/>
          <w:lang w:val="en-GB"/>
        </w:rPr>
      </w:pPr>
      <w:r w:rsidRPr="006A5A26">
        <w:rPr>
          <w:rFonts w:asciiTheme="minorHAnsi" w:hAnsiTheme="minorHAnsi"/>
          <w:sz w:val="20"/>
          <w:szCs w:val="24"/>
          <w:vertAlign w:val="superscript"/>
          <w:lang w:val="en-GB"/>
        </w:rPr>
        <w:t>3</w:t>
      </w:r>
      <w:r w:rsidRPr="006A5A26">
        <w:rPr>
          <w:rFonts w:asciiTheme="minorHAnsi" w:hAnsiTheme="minorHAnsi"/>
          <w:sz w:val="20"/>
          <w:szCs w:val="24"/>
          <w:lang w:val="en-GB"/>
        </w:rPr>
        <w:t>Institute of Science and Technology for Brain-</w:t>
      </w:r>
      <w:r w:rsidR="0033675F">
        <w:rPr>
          <w:rFonts w:asciiTheme="minorHAnsi" w:hAnsiTheme="minorHAnsi"/>
          <w:sz w:val="20"/>
          <w:szCs w:val="24"/>
          <w:lang w:val="en-GB"/>
        </w:rPr>
        <w:t>i</w:t>
      </w:r>
      <w:r w:rsidRPr="006A5A26">
        <w:rPr>
          <w:rFonts w:asciiTheme="minorHAnsi" w:hAnsiTheme="minorHAnsi"/>
          <w:sz w:val="20"/>
          <w:szCs w:val="24"/>
          <w:lang w:val="en-GB"/>
        </w:rPr>
        <w:t>nspired Intelligence, Fudan University, Shanghai, PR China</w:t>
      </w:r>
    </w:p>
    <w:p w14:paraId="53AF792C" w14:textId="77777777" w:rsidR="00A63814" w:rsidRPr="006A5A26" w:rsidRDefault="00A63814" w:rsidP="00A63814">
      <w:pPr>
        <w:jc w:val="both"/>
        <w:rPr>
          <w:rFonts w:asciiTheme="minorHAnsi" w:hAnsiTheme="minorHAnsi"/>
          <w:sz w:val="20"/>
          <w:szCs w:val="24"/>
          <w:lang w:val="en-GB"/>
        </w:rPr>
      </w:pPr>
      <w:r w:rsidRPr="006A5A26">
        <w:rPr>
          <w:rFonts w:asciiTheme="minorHAnsi" w:hAnsiTheme="minorHAnsi"/>
          <w:sz w:val="20"/>
          <w:szCs w:val="24"/>
          <w:vertAlign w:val="superscript"/>
          <w:lang w:val="en-GB"/>
        </w:rPr>
        <w:t>4</w:t>
      </w:r>
      <w:r w:rsidRPr="006A5A26">
        <w:rPr>
          <w:rFonts w:asciiTheme="minorHAnsi" w:hAnsiTheme="minorHAnsi"/>
          <w:sz w:val="20"/>
          <w:szCs w:val="24"/>
          <w:lang w:val="en-GB"/>
        </w:rPr>
        <w:t>Division of Anaesthesia, School of Clinical Medicine, University of Cambridge, Cambridge, UK</w:t>
      </w:r>
    </w:p>
    <w:p w14:paraId="0DC87E81" w14:textId="77777777" w:rsidR="00A63814" w:rsidRPr="006A5A26" w:rsidRDefault="00A63814" w:rsidP="00A63814">
      <w:pPr>
        <w:jc w:val="both"/>
        <w:rPr>
          <w:rFonts w:asciiTheme="minorHAnsi" w:hAnsiTheme="minorHAnsi"/>
          <w:sz w:val="20"/>
          <w:szCs w:val="24"/>
          <w:lang w:val="en-GB"/>
        </w:rPr>
      </w:pPr>
      <w:r w:rsidRPr="006A5A26">
        <w:rPr>
          <w:rFonts w:asciiTheme="minorHAnsi" w:hAnsiTheme="minorHAnsi"/>
          <w:sz w:val="20"/>
          <w:szCs w:val="24"/>
          <w:vertAlign w:val="superscript"/>
          <w:lang w:val="en-GB"/>
        </w:rPr>
        <w:t>5</w:t>
      </w:r>
      <w:r w:rsidRPr="006A5A26">
        <w:rPr>
          <w:rFonts w:asciiTheme="minorHAnsi" w:hAnsiTheme="minorHAnsi"/>
          <w:sz w:val="20"/>
          <w:szCs w:val="24"/>
          <w:lang w:val="en-GB"/>
        </w:rPr>
        <w:t xml:space="preserve">Department of Psychology, University of York, </w:t>
      </w:r>
      <w:proofErr w:type="spellStart"/>
      <w:r w:rsidRPr="006A5A26">
        <w:rPr>
          <w:rFonts w:asciiTheme="minorHAnsi" w:hAnsiTheme="minorHAnsi"/>
          <w:sz w:val="20"/>
          <w:szCs w:val="24"/>
          <w:lang w:val="en-GB"/>
        </w:rPr>
        <w:t>Heslington</w:t>
      </w:r>
      <w:proofErr w:type="spellEnd"/>
      <w:r w:rsidRPr="006A5A26">
        <w:rPr>
          <w:rFonts w:asciiTheme="minorHAnsi" w:hAnsiTheme="minorHAnsi"/>
          <w:sz w:val="20"/>
          <w:szCs w:val="24"/>
          <w:lang w:val="en-GB"/>
        </w:rPr>
        <w:t>, York, UK</w:t>
      </w:r>
    </w:p>
    <w:p w14:paraId="18E5841F" w14:textId="5FA9D575" w:rsidR="00A63814" w:rsidRPr="006A5A26" w:rsidRDefault="00A63814" w:rsidP="00A63814">
      <w:pPr>
        <w:jc w:val="both"/>
        <w:rPr>
          <w:rFonts w:asciiTheme="minorHAnsi" w:hAnsiTheme="minorHAnsi"/>
          <w:sz w:val="20"/>
          <w:szCs w:val="24"/>
        </w:rPr>
      </w:pPr>
      <w:r w:rsidRPr="006A5A26">
        <w:rPr>
          <w:rFonts w:asciiTheme="minorHAnsi" w:hAnsiTheme="minorHAnsi"/>
          <w:sz w:val="20"/>
          <w:szCs w:val="24"/>
          <w:vertAlign w:val="superscript"/>
          <w:lang w:val="en-GB"/>
        </w:rPr>
        <w:t>6</w:t>
      </w:r>
      <w:r w:rsidRPr="006A5A26">
        <w:rPr>
          <w:rFonts w:asciiTheme="minorHAnsi" w:hAnsiTheme="minorHAnsi"/>
          <w:sz w:val="20"/>
          <w:szCs w:val="24"/>
          <w:lang w:val="en-GB"/>
        </w:rPr>
        <w:t>Suno Innova Ltd, Unit 6, 109 Cambridge Road Industrial Estate, Cambridge, UK</w:t>
      </w:r>
    </w:p>
    <w:p w14:paraId="7FB5AEBD" w14:textId="77777777" w:rsidR="00A63814" w:rsidRPr="006A5A26" w:rsidRDefault="00A63814" w:rsidP="00AE49E9">
      <w:pPr>
        <w:jc w:val="both"/>
        <w:rPr>
          <w:rFonts w:asciiTheme="minorHAnsi" w:hAnsiTheme="minorHAnsi"/>
          <w:szCs w:val="24"/>
        </w:rPr>
      </w:pPr>
    </w:p>
    <w:p w14:paraId="47899A64" w14:textId="177A4C7B" w:rsidR="00DD0833" w:rsidRPr="006A5A26" w:rsidRDefault="00EB5170" w:rsidP="00AE49E9">
      <w:pPr>
        <w:rPr>
          <w:rFonts w:asciiTheme="minorHAnsi" w:hAnsiTheme="minorHAnsi"/>
          <w:b/>
          <w:szCs w:val="24"/>
        </w:rPr>
      </w:pPr>
      <w:r w:rsidRPr="006A5A26">
        <w:rPr>
          <w:rFonts w:asciiTheme="minorHAnsi" w:hAnsiTheme="minorHAnsi"/>
          <w:b/>
          <w:szCs w:val="24"/>
        </w:rPr>
        <w:t xml:space="preserve">* </w:t>
      </w:r>
      <w:r w:rsidR="000C3EFC" w:rsidRPr="006A5A26">
        <w:rPr>
          <w:rFonts w:asciiTheme="minorHAnsi" w:hAnsiTheme="minorHAnsi"/>
          <w:b/>
          <w:szCs w:val="24"/>
        </w:rPr>
        <w:t>These authors contributed equally to this work.</w:t>
      </w:r>
    </w:p>
    <w:p w14:paraId="657351B3" w14:textId="77777777" w:rsidR="00AE49E9" w:rsidRPr="006A5A26" w:rsidRDefault="00AE49E9" w:rsidP="00AE49E9">
      <w:pPr>
        <w:rPr>
          <w:rFonts w:asciiTheme="minorHAnsi" w:hAnsiTheme="minorHAnsi"/>
          <w:b/>
          <w:szCs w:val="24"/>
          <w:vertAlign w:val="superscript"/>
        </w:rPr>
      </w:pPr>
    </w:p>
    <w:p w14:paraId="7BB64A19" w14:textId="77777777" w:rsidR="00014760" w:rsidRPr="006A5A26" w:rsidRDefault="00014760" w:rsidP="00014760">
      <w:pPr>
        <w:rPr>
          <w:rFonts w:asciiTheme="minorHAnsi" w:hAnsiTheme="minorHAnsi"/>
          <w:b/>
          <w:szCs w:val="24"/>
        </w:rPr>
      </w:pPr>
      <w:r w:rsidRPr="006A5A26">
        <w:rPr>
          <w:rFonts w:asciiTheme="minorHAnsi" w:hAnsiTheme="minorHAnsi"/>
          <w:b/>
          <w:szCs w:val="24"/>
        </w:rPr>
        <w:t>Address for correspondence:</w:t>
      </w:r>
    </w:p>
    <w:p w14:paraId="1B459021" w14:textId="77777777" w:rsidR="00014760" w:rsidRPr="006A5A26" w:rsidRDefault="00014760" w:rsidP="00014760">
      <w:pPr>
        <w:rPr>
          <w:rFonts w:asciiTheme="minorHAnsi" w:hAnsiTheme="minorHAnsi"/>
          <w:szCs w:val="24"/>
        </w:rPr>
      </w:pPr>
      <w:r w:rsidRPr="006A5A26">
        <w:rPr>
          <w:rFonts w:asciiTheme="minorHAnsi" w:hAnsiTheme="minorHAnsi"/>
          <w:szCs w:val="24"/>
        </w:rPr>
        <w:t>Deniz Vatansever, PhD</w:t>
      </w:r>
    </w:p>
    <w:p w14:paraId="56B6FCF5" w14:textId="17125444" w:rsidR="00014760" w:rsidRPr="006A5A26" w:rsidRDefault="00014760" w:rsidP="00014760">
      <w:pPr>
        <w:rPr>
          <w:rFonts w:asciiTheme="minorHAnsi" w:hAnsiTheme="minorHAnsi"/>
          <w:szCs w:val="24"/>
        </w:rPr>
      </w:pPr>
      <w:r w:rsidRPr="006A5A26">
        <w:rPr>
          <w:rFonts w:asciiTheme="minorHAnsi" w:hAnsiTheme="minorHAnsi"/>
          <w:szCs w:val="24"/>
        </w:rPr>
        <w:t>Institute of Science and Technology for Brain-</w:t>
      </w:r>
      <w:r w:rsidR="0033675F">
        <w:rPr>
          <w:rFonts w:asciiTheme="minorHAnsi" w:hAnsiTheme="minorHAnsi"/>
          <w:szCs w:val="24"/>
        </w:rPr>
        <w:t>i</w:t>
      </w:r>
      <w:r w:rsidRPr="006A5A26">
        <w:rPr>
          <w:rFonts w:asciiTheme="minorHAnsi" w:hAnsiTheme="minorHAnsi"/>
          <w:szCs w:val="24"/>
        </w:rPr>
        <w:t>nspired Intelligence,</w:t>
      </w:r>
    </w:p>
    <w:p w14:paraId="45131AF8" w14:textId="77777777" w:rsidR="00014760" w:rsidRPr="006A5A26" w:rsidRDefault="00014760" w:rsidP="00014760">
      <w:pPr>
        <w:rPr>
          <w:rFonts w:asciiTheme="minorHAnsi" w:hAnsiTheme="minorHAnsi"/>
          <w:szCs w:val="24"/>
        </w:rPr>
      </w:pPr>
      <w:r w:rsidRPr="006A5A26">
        <w:rPr>
          <w:rFonts w:asciiTheme="minorHAnsi" w:hAnsiTheme="minorHAnsi"/>
          <w:szCs w:val="24"/>
        </w:rPr>
        <w:t>Fudan University</w:t>
      </w:r>
    </w:p>
    <w:p w14:paraId="08FE7F61" w14:textId="77777777" w:rsidR="00014760" w:rsidRPr="006A5A26" w:rsidRDefault="00014760" w:rsidP="00014760">
      <w:pPr>
        <w:rPr>
          <w:rFonts w:asciiTheme="minorHAnsi" w:hAnsiTheme="minorHAnsi"/>
          <w:szCs w:val="24"/>
        </w:rPr>
      </w:pPr>
      <w:r w:rsidRPr="006A5A26">
        <w:rPr>
          <w:rFonts w:asciiTheme="minorHAnsi" w:hAnsiTheme="minorHAnsi"/>
          <w:szCs w:val="24"/>
        </w:rPr>
        <w:t xml:space="preserve">Shanghai, PR China 200433 </w:t>
      </w:r>
    </w:p>
    <w:p w14:paraId="22505E34" w14:textId="26695334" w:rsidR="00014760" w:rsidRPr="006A5A26" w:rsidRDefault="00014760" w:rsidP="00014760">
      <w:pPr>
        <w:rPr>
          <w:rFonts w:asciiTheme="minorHAnsi" w:hAnsiTheme="minorHAnsi"/>
          <w:szCs w:val="24"/>
        </w:rPr>
      </w:pPr>
      <w:r w:rsidRPr="006A5A26">
        <w:rPr>
          <w:rFonts w:asciiTheme="minorHAnsi" w:hAnsiTheme="minorHAnsi"/>
          <w:szCs w:val="24"/>
        </w:rPr>
        <w:t>Email: deniz@fudan.edu.cn</w:t>
      </w:r>
    </w:p>
    <w:sdt>
      <w:sdtPr>
        <w:rPr>
          <w:rFonts w:asciiTheme="minorHAnsi" w:hAnsiTheme="minorHAnsi"/>
          <w:b w:val="0"/>
          <w:bCs w:val="0"/>
          <w:kern w:val="0"/>
          <w:sz w:val="24"/>
          <w:szCs w:val="24"/>
        </w:rPr>
        <w:id w:val="1379244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957EED1" w14:textId="77777777" w:rsidR="00DD0833" w:rsidRPr="00CB3AF9" w:rsidRDefault="00DD0833" w:rsidP="00AE49E9">
          <w:pPr>
            <w:pStyle w:val="TOCHeading"/>
            <w:rPr>
              <w:rFonts w:asciiTheme="minorHAnsi" w:hAnsiTheme="minorHAnsi" w:cstheme="minorHAnsi"/>
              <w:sz w:val="24"/>
              <w:szCs w:val="24"/>
            </w:rPr>
          </w:pPr>
          <w:r w:rsidRPr="00CB3AF9">
            <w:rPr>
              <w:rFonts w:asciiTheme="minorHAnsi" w:hAnsiTheme="minorHAnsi" w:cstheme="minorHAnsi"/>
              <w:sz w:val="24"/>
              <w:szCs w:val="24"/>
            </w:rPr>
            <w:t>Table of Contents</w:t>
          </w:r>
        </w:p>
        <w:p w14:paraId="0CEFCA42" w14:textId="7DBCAA1B" w:rsidR="00CB3AF9" w:rsidRPr="00CB3AF9" w:rsidRDefault="00DD083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HAnsi"/>
              <w:noProof/>
              <w:szCs w:val="24"/>
              <w:lang w:eastAsia="zh-CN"/>
            </w:rPr>
          </w:pPr>
          <w:r w:rsidRPr="00CB3AF9">
            <w:rPr>
              <w:rFonts w:asciiTheme="minorHAnsi" w:hAnsiTheme="minorHAnsi" w:cstheme="minorHAnsi"/>
              <w:szCs w:val="24"/>
            </w:rPr>
            <w:fldChar w:fldCharType="begin"/>
          </w:r>
          <w:r w:rsidRPr="00CB3AF9">
            <w:rPr>
              <w:rFonts w:asciiTheme="minorHAnsi" w:hAnsiTheme="minorHAnsi" w:cstheme="minorHAnsi"/>
              <w:szCs w:val="24"/>
            </w:rPr>
            <w:instrText xml:space="preserve"> TOC \o "1-3" \h \z \u </w:instrText>
          </w:r>
          <w:r w:rsidRPr="00CB3AF9">
            <w:rPr>
              <w:rFonts w:asciiTheme="minorHAnsi" w:hAnsiTheme="minorHAnsi" w:cstheme="minorHAnsi"/>
              <w:szCs w:val="24"/>
            </w:rPr>
            <w:fldChar w:fldCharType="separate"/>
          </w:r>
          <w:hyperlink w:anchor="_Toc19027151" w:history="1">
            <w:r w:rsidR="00CB3AF9" w:rsidRPr="00CB3AF9">
              <w:rPr>
                <w:rStyle w:val="Hyperlink"/>
                <w:rFonts w:asciiTheme="minorHAnsi" w:hAnsiTheme="minorHAnsi" w:cstheme="minorHAnsi"/>
                <w:noProof/>
                <w:lang w:val="en-GB"/>
              </w:rPr>
              <w:t>Supplementary Results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instrText xml:space="preserve"> PAGEREF _Toc19027151 \h </w:instrTex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1DD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62EEE49" w14:textId="4F232C6D" w:rsidR="00CB3AF9" w:rsidRPr="00CB3AF9" w:rsidRDefault="005B306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HAnsi"/>
              <w:noProof/>
              <w:szCs w:val="24"/>
              <w:lang w:eastAsia="zh-CN"/>
            </w:rPr>
          </w:pPr>
          <w:hyperlink w:anchor="_Toc19027152" w:history="1">
            <w:r w:rsidR="00CB3AF9" w:rsidRPr="00CB3AF9">
              <w:rPr>
                <w:rStyle w:val="Hyperlink"/>
                <w:rFonts w:asciiTheme="minorHAnsi" w:hAnsiTheme="minorHAnsi" w:cstheme="minorHAnsi"/>
                <w:noProof/>
                <w:lang w:val="en-GB"/>
              </w:rPr>
              <w:t>Demographic Assessment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instrText xml:space="preserve"> PAGEREF _Toc19027152 \h </w:instrTex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1DD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785C15" w14:textId="368667F9" w:rsidR="00CB3AF9" w:rsidRPr="00CB3AF9" w:rsidRDefault="005B306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HAnsi"/>
              <w:noProof/>
              <w:szCs w:val="24"/>
              <w:lang w:eastAsia="zh-CN"/>
            </w:rPr>
          </w:pPr>
          <w:hyperlink w:anchor="_Toc19027153" w:history="1">
            <w:r w:rsidR="00CB3AF9" w:rsidRPr="00CB3AF9">
              <w:rPr>
                <w:rStyle w:val="Hyperlink"/>
                <w:rFonts w:asciiTheme="minorHAnsi" w:hAnsiTheme="minorHAnsi" w:cstheme="minorHAnsi"/>
                <w:noProof/>
                <w:lang w:val="en-GB"/>
              </w:rPr>
              <w:t>Clinical Assessment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instrText xml:space="preserve"> PAGEREF _Toc19027153 \h </w:instrTex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1DD6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716B3E" w14:textId="51DA2DE0" w:rsidR="00CB3AF9" w:rsidRPr="00CB3AF9" w:rsidRDefault="005B306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HAnsi"/>
              <w:noProof/>
              <w:szCs w:val="24"/>
              <w:lang w:eastAsia="zh-CN"/>
            </w:rPr>
          </w:pPr>
          <w:hyperlink w:anchor="_Toc19027154" w:history="1">
            <w:r w:rsidR="00CB3AF9" w:rsidRPr="00CB3AF9">
              <w:rPr>
                <w:rStyle w:val="Hyperlink"/>
                <w:rFonts w:asciiTheme="minorHAnsi" w:hAnsiTheme="minorHAnsi" w:cstheme="minorHAnsi"/>
                <w:noProof/>
                <w:lang w:val="en-GB"/>
              </w:rPr>
              <w:t>Association of Brain Connectivity, Cognition and ADHD Symptomatology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instrText xml:space="preserve"> PAGEREF _Toc19027154 \h </w:instrTex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1DD6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72C0CA8" w14:textId="4962E344" w:rsidR="00CB3AF9" w:rsidRPr="00CB3AF9" w:rsidRDefault="005B306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HAnsi"/>
              <w:noProof/>
              <w:szCs w:val="24"/>
              <w:lang w:eastAsia="zh-CN"/>
            </w:rPr>
          </w:pPr>
          <w:hyperlink w:anchor="_Toc19027155" w:history="1">
            <w:r w:rsidR="00CB3AF9" w:rsidRPr="00CB3AF9">
              <w:rPr>
                <w:rStyle w:val="Hyperlink"/>
                <w:rFonts w:asciiTheme="minorHAnsi" w:hAnsiTheme="minorHAnsi" w:cstheme="minorHAnsi"/>
                <w:noProof/>
                <w:lang w:val="en-GB"/>
              </w:rPr>
              <w:t>References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instrText xml:space="preserve"> PAGEREF _Toc19027155 \h </w:instrTex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61DD6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B3AF9" w:rsidRPr="00CB3A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6C3CE88" w14:textId="1457F21C" w:rsidR="002C030F" w:rsidRPr="006A5A26" w:rsidRDefault="00DD0833" w:rsidP="00AE49E9">
          <w:pPr>
            <w:rPr>
              <w:rFonts w:asciiTheme="minorHAnsi" w:hAnsiTheme="minorHAnsi"/>
              <w:noProof/>
              <w:szCs w:val="24"/>
            </w:rPr>
          </w:pPr>
          <w:r w:rsidRPr="00CB3AF9">
            <w:rPr>
              <w:rFonts w:asciiTheme="minorHAnsi" w:hAnsiTheme="minorHAnsi" w:cstheme="minorHAnsi"/>
              <w:b/>
              <w:bCs/>
              <w:noProof/>
              <w:szCs w:val="24"/>
            </w:rPr>
            <w:fldChar w:fldCharType="end"/>
          </w:r>
        </w:p>
      </w:sdtContent>
    </w:sdt>
    <w:p w14:paraId="5D3803E5" w14:textId="77777777" w:rsidR="00C0026A" w:rsidRPr="006A5A26" w:rsidRDefault="00C0026A" w:rsidP="00AE49E9">
      <w:pPr>
        <w:rPr>
          <w:rFonts w:asciiTheme="minorHAnsi" w:hAnsiTheme="minorHAnsi"/>
          <w:szCs w:val="24"/>
        </w:rPr>
      </w:pPr>
    </w:p>
    <w:p w14:paraId="59494D3F" w14:textId="77777777" w:rsidR="00065EBD" w:rsidRPr="006A5A26" w:rsidRDefault="00065EBD" w:rsidP="00262D72">
      <w:pPr>
        <w:ind w:left="720"/>
        <w:rPr>
          <w:rFonts w:asciiTheme="minorHAnsi" w:hAnsiTheme="minorHAnsi"/>
          <w:szCs w:val="24"/>
        </w:rPr>
      </w:pPr>
    </w:p>
    <w:p w14:paraId="6C254047" w14:textId="77777777" w:rsidR="00015F74" w:rsidRPr="006A5A26" w:rsidRDefault="00015F74" w:rsidP="00262D72">
      <w:pPr>
        <w:ind w:left="720"/>
        <w:rPr>
          <w:rFonts w:asciiTheme="minorHAnsi" w:hAnsiTheme="minorHAnsi"/>
          <w:szCs w:val="24"/>
        </w:rPr>
      </w:pPr>
      <w:r w:rsidRPr="006A5A26">
        <w:rPr>
          <w:rFonts w:asciiTheme="minorHAnsi" w:hAnsiTheme="minorHAnsi"/>
          <w:szCs w:val="24"/>
        </w:rPr>
        <w:br/>
      </w:r>
    </w:p>
    <w:p w14:paraId="4191CB44" w14:textId="7711AB5C" w:rsidR="007F428A" w:rsidRPr="006A5A26" w:rsidRDefault="00015F74" w:rsidP="00300CBF">
      <w:pPr>
        <w:pStyle w:val="SMHeading"/>
        <w:rPr>
          <w:rFonts w:asciiTheme="minorHAnsi" w:hAnsiTheme="minorHAnsi"/>
          <w:u w:val="single"/>
        </w:rPr>
      </w:pPr>
      <w:r w:rsidRPr="006A5A26">
        <w:rPr>
          <w:rFonts w:asciiTheme="minorHAnsi" w:hAnsiTheme="minorHAnsi"/>
        </w:rPr>
        <w:br w:type="page"/>
      </w:r>
      <w:bookmarkStart w:id="0" w:name="Tables"/>
      <w:bookmarkStart w:id="1" w:name="MaterialsMethods"/>
      <w:bookmarkEnd w:id="0"/>
      <w:bookmarkEnd w:id="1"/>
    </w:p>
    <w:p w14:paraId="74015454" w14:textId="18D133D3" w:rsidR="008A0EC5" w:rsidRPr="006A5A26" w:rsidRDefault="007D3B40" w:rsidP="00300CBF">
      <w:pPr>
        <w:pStyle w:val="SMHeading"/>
        <w:rPr>
          <w:rFonts w:asciiTheme="minorHAnsi" w:hAnsiTheme="minorHAnsi"/>
          <w:sz w:val="28"/>
          <w:lang w:val="en-GB"/>
        </w:rPr>
      </w:pPr>
      <w:bookmarkStart w:id="2" w:name="_Toc19027151"/>
      <w:r w:rsidRPr="006A5A26">
        <w:rPr>
          <w:rFonts w:asciiTheme="minorHAnsi" w:hAnsiTheme="minorHAnsi"/>
          <w:sz w:val="28"/>
          <w:lang w:val="en-GB"/>
        </w:rPr>
        <w:lastRenderedPageBreak/>
        <w:t xml:space="preserve">Supplementary </w:t>
      </w:r>
      <w:r w:rsidR="007F428A" w:rsidRPr="006A5A26">
        <w:rPr>
          <w:rFonts w:asciiTheme="minorHAnsi" w:hAnsiTheme="minorHAnsi"/>
          <w:sz w:val="28"/>
          <w:lang w:val="en-GB"/>
        </w:rPr>
        <w:t>Results</w:t>
      </w:r>
      <w:bookmarkEnd w:id="2"/>
    </w:p>
    <w:p w14:paraId="720D0AC1" w14:textId="7A6679E4" w:rsidR="008A0EC5" w:rsidRPr="006A5A26" w:rsidRDefault="00C101F4" w:rsidP="00300CBF">
      <w:pPr>
        <w:pStyle w:val="SMHeading"/>
        <w:rPr>
          <w:rFonts w:asciiTheme="minorHAnsi" w:hAnsiTheme="minorHAnsi"/>
          <w:lang w:val="en-GB"/>
        </w:rPr>
      </w:pPr>
      <w:bookmarkStart w:id="3" w:name="_Toc19027152"/>
      <w:r w:rsidRPr="006A5A26">
        <w:rPr>
          <w:rFonts w:asciiTheme="minorHAnsi" w:hAnsiTheme="minorHAnsi"/>
          <w:lang w:val="en-GB"/>
        </w:rPr>
        <w:t xml:space="preserve">Demographic </w:t>
      </w:r>
      <w:r w:rsidR="00C12FE8" w:rsidRPr="006A5A26">
        <w:rPr>
          <w:rFonts w:asciiTheme="minorHAnsi" w:hAnsiTheme="minorHAnsi"/>
          <w:lang w:val="en-GB"/>
        </w:rPr>
        <w:t>Assessment</w:t>
      </w:r>
      <w:bookmarkEnd w:id="3"/>
    </w:p>
    <w:p w14:paraId="3F75198E" w14:textId="626EBFA6" w:rsidR="0055587E" w:rsidRDefault="00133BD3" w:rsidP="009C66BA">
      <w:pPr>
        <w:pStyle w:val="SMText"/>
        <w:ind w:firstLine="0"/>
        <w:jc w:val="both"/>
        <w:rPr>
          <w:rFonts w:asciiTheme="minorHAnsi" w:hAnsiTheme="minorHAnsi"/>
          <w:szCs w:val="24"/>
          <w:lang w:val="en-GB"/>
        </w:rPr>
      </w:pPr>
      <w:r w:rsidRPr="006A5A26">
        <w:rPr>
          <w:rFonts w:asciiTheme="minorHAnsi" w:hAnsiTheme="minorHAnsi"/>
          <w:szCs w:val="24"/>
          <w:lang w:val="en-GB"/>
        </w:rPr>
        <w:t>M</w:t>
      </w:r>
      <w:r w:rsidR="00B911FD" w:rsidRPr="006A5A26">
        <w:rPr>
          <w:rFonts w:asciiTheme="minorHAnsi" w:hAnsiTheme="minorHAnsi"/>
          <w:szCs w:val="24"/>
          <w:lang w:val="en-GB"/>
        </w:rPr>
        <w:t xml:space="preserve">ultivariate and univariate ANOVAs as well as post-hoc t-tests were used to ensure matching in age, gender and NART full IQ scores across the three groups </w:t>
      </w:r>
      <w:r w:rsidR="001B46F6" w:rsidRPr="006A5A26">
        <w:rPr>
          <w:rFonts w:asciiTheme="minorHAnsi" w:hAnsiTheme="minorHAnsi"/>
          <w:szCs w:val="24"/>
          <w:lang w:val="en-GB"/>
        </w:rPr>
        <w:t>(</w:t>
      </w:r>
      <w:r w:rsidR="00090F0C">
        <w:rPr>
          <w:rFonts w:asciiTheme="minorHAnsi" w:hAnsiTheme="minorHAnsi"/>
          <w:szCs w:val="24"/>
          <w:lang w:val="en-GB"/>
        </w:rPr>
        <w:t xml:space="preserve">i.e. </w:t>
      </w:r>
      <w:r w:rsidR="001B46F6" w:rsidRPr="006A5A26">
        <w:rPr>
          <w:rFonts w:asciiTheme="minorHAnsi" w:hAnsiTheme="minorHAnsi"/>
          <w:szCs w:val="24"/>
          <w:lang w:val="en-GB"/>
        </w:rPr>
        <w:t xml:space="preserve">ADHD probands, </w:t>
      </w:r>
      <w:r w:rsidR="00861DD6">
        <w:rPr>
          <w:rFonts w:asciiTheme="minorHAnsi" w:hAnsiTheme="minorHAnsi"/>
          <w:szCs w:val="24"/>
          <w:lang w:val="en-GB"/>
        </w:rPr>
        <w:t xml:space="preserve">their </w:t>
      </w:r>
      <w:r w:rsidR="001B46F6" w:rsidRPr="006A5A26">
        <w:rPr>
          <w:rFonts w:asciiTheme="minorHAnsi" w:hAnsiTheme="minorHAnsi"/>
          <w:szCs w:val="24"/>
          <w:lang w:val="en-GB"/>
        </w:rPr>
        <w:t xml:space="preserve">first-degree relatives and </w:t>
      </w:r>
      <w:r w:rsidR="007F428A" w:rsidRPr="006A5A26">
        <w:rPr>
          <w:rFonts w:asciiTheme="minorHAnsi" w:hAnsiTheme="minorHAnsi"/>
          <w:szCs w:val="24"/>
          <w:lang w:val="en-GB"/>
        </w:rPr>
        <w:t xml:space="preserve">typically developing </w:t>
      </w:r>
      <w:r w:rsidR="001B46F6" w:rsidRPr="006A5A26">
        <w:rPr>
          <w:rFonts w:asciiTheme="minorHAnsi" w:hAnsiTheme="minorHAnsi"/>
          <w:szCs w:val="24"/>
          <w:lang w:val="en-GB"/>
        </w:rPr>
        <w:t>controls) and to identify potential confounds that could be used as covariate</w:t>
      </w:r>
      <w:r w:rsidR="00154C2D">
        <w:rPr>
          <w:rFonts w:asciiTheme="minorHAnsi" w:hAnsiTheme="minorHAnsi"/>
          <w:szCs w:val="24"/>
          <w:lang w:val="en-GB"/>
        </w:rPr>
        <w:t>s</w:t>
      </w:r>
      <w:r w:rsidR="001B46F6" w:rsidRPr="006A5A26">
        <w:rPr>
          <w:rFonts w:asciiTheme="minorHAnsi" w:hAnsiTheme="minorHAnsi"/>
          <w:szCs w:val="24"/>
          <w:lang w:val="en-GB"/>
        </w:rPr>
        <w:t xml:space="preserve"> of no interest in the subsequent analyses</w:t>
      </w:r>
      <w:r w:rsidR="00B911FD" w:rsidRPr="006A5A26">
        <w:rPr>
          <w:rFonts w:asciiTheme="minorHAnsi" w:hAnsiTheme="minorHAnsi"/>
          <w:szCs w:val="24"/>
          <w:lang w:val="en-GB"/>
        </w:rPr>
        <w:t xml:space="preserve">. </w:t>
      </w:r>
      <w:r w:rsidR="008A0EC5" w:rsidRPr="006A5A26">
        <w:rPr>
          <w:rFonts w:asciiTheme="minorHAnsi" w:hAnsiTheme="minorHAnsi"/>
          <w:szCs w:val="24"/>
          <w:lang w:val="en-GB"/>
        </w:rPr>
        <w:t xml:space="preserve">Table </w:t>
      </w:r>
      <w:r w:rsidR="00090F0C">
        <w:rPr>
          <w:rFonts w:asciiTheme="minorHAnsi" w:hAnsiTheme="minorHAnsi"/>
          <w:szCs w:val="24"/>
          <w:lang w:val="en-GB"/>
        </w:rPr>
        <w:t>S</w:t>
      </w:r>
      <w:r w:rsidR="008A0EC5" w:rsidRPr="006A5A26">
        <w:rPr>
          <w:rFonts w:asciiTheme="minorHAnsi" w:hAnsiTheme="minorHAnsi"/>
          <w:szCs w:val="24"/>
          <w:lang w:val="en-GB"/>
        </w:rPr>
        <w:t xml:space="preserve">1 summarises the </w:t>
      </w:r>
      <w:r w:rsidR="00B911FD" w:rsidRPr="006A5A26">
        <w:rPr>
          <w:rFonts w:asciiTheme="minorHAnsi" w:hAnsiTheme="minorHAnsi"/>
          <w:szCs w:val="24"/>
          <w:lang w:val="en-GB"/>
        </w:rPr>
        <w:t>demographic information and the accompanying statistical test results.</w:t>
      </w:r>
      <w:r w:rsidR="00E75781" w:rsidRPr="006A5A26">
        <w:rPr>
          <w:rFonts w:asciiTheme="minorHAnsi" w:hAnsiTheme="minorHAnsi"/>
          <w:szCs w:val="24"/>
          <w:lang w:val="en-GB"/>
        </w:rPr>
        <w:t xml:space="preserve"> Multivariate ANOVA Wilk Lambda test indicated a significant difference in the dependent variables across groups (</w:t>
      </w:r>
      <w:proofErr w:type="gramStart"/>
      <w:r w:rsidR="00E75781" w:rsidRPr="00154C2D">
        <w:rPr>
          <w:rFonts w:asciiTheme="minorHAnsi" w:hAnsiTheme="minorHAnsi"/>
          <w:i/>
          <w:iCs/>
          <w:szCs w:val="24"/>
          <w:lang w:val="en-GB"/>
        </w:rPr>
        <w:t>F</w:t>
      </w:r>
      <w:r w:rsidR="00E75781" w:rsidRPr="00154C2D">
        <w:rPr>
          <w:rFonts w:asciiTheme="minorHAnsi" w:hAnsiTheme="minorHAnsi"/>
          <w:i/>
          <w:iCs/>
          <w:szCs w:val="24"/>
          <w:vertAlign w:val="subscript"/>
          <w:lang w:val="en-GB"/>
        </w:rPr>
        <w:t>(</w:t>
      </w:r>
      <w:proofErr w:type="gramEnd"/>
      <w:r w:rsidR="00E75781" w:rsidRPr="00154C2D">
        <w:rPr>
          <w:rFonts w:asciiTheme="minorHAnsi" w:hAnsiTheme="minorHAnsi"/>
          <w:i/>
          <w:iCs/>
          <w:szCs w:val="24"/>
          <w:vertAlign w:val="subscript"/>
          <w:lang w:val="en-GB"/>
        </w:rPr>
        <w:t>6,110)</w:t>
      </w:r>
      <w:r w:rsidR="00E75781" w:rsidRPr="006A5A26">
        <w:rPr>
          <w:rFonts w:asciiTheme="minorHAnsi" w:hAnsiTheme="minorHAnsi"/>
          <w:szCs w:val="24"/>
          <w:vertAlign w:val="subscript"/>
          <w:lang w:val="en-GB"/>
        </w:rPr>
        <w:t xml:space="preserve"> </w:t>
      </w:r>
      <w:r w:rsidR="00E75781" w:rsidRPr="006A5A26">
        <w:rPr>
          <w:rFonts w:asciiTheme="minorHAnsi" w:hAnsiTheme="minorHAnsi"/>
          <w:szCs w:val="24"/>
          <w:lang w:val="en-GB"/>
        </w:rPr>
        <w:t xml:space="preserve">= 3.137, </w:t>
      </w:r>
      <w:r w:rsidR="00E75781" w:rsidRPr="006A5A26">
        <w:rPr>
          <w:rFonts w:asciiTheme="minorHAnsi" w:hAnsiTheme="minorHAnsi"/>
          <w:i/>
          <w:szCs w:val="24"/>
          <w:lang w:val="en-GB"/>
        </w:rPr>
        <w:t>p</w:t>
      </w:r>
      <w:r w:rsidR="00E75781" w:rsidRPr="006A5A26">
        <w:rPr>
          <w:rFonts w:asciiTheme="minorHAnsi" w:hAnsiTheme="minorHAnsi"/>
          <w:szCs w:val="24"/>
          <w:lang w:val="en-GB"/>
        </w:rPr>
        <w:t xml:space="preserve"> = 0.007). Univariate ANOVAs across these measures suggested that </w:t>
      </w:r>
      <w:r w:rsidR="001B46F6" w:rsidRPr="006A5A26">
        <w:rPr>
          <w:rFonts w:asciiTheme="minorHAnsi" w:hAnsiTheme="minorHAnsi"/>
          <w:szCs w:val="24"/>
          <w:lang w:val="en-GB"/>
        </w:rPr>
        <w:t xml:space="preserve">age and gender were matched between groups, and that </w:t>
      </w:r>
      <w:r w:rsidR="00E75781" w:rsidRPr="006A5A26">
        <w:rPr>
          <w:rFonts w:asciiTheme="minorHAnsi" w:hAnsiTheme="minorHAnsi"/>
          <w:szCs w:val="24"/>
          <w:lang w:val="en-GB"/>
        </w:rPr>
        <w:t>the disparity arose mainly from NART full IQ scores (</w:t>
      </w:r>
      <w:proofErr w:type="gramStart"/>
      <w:r w:rsidR="00E75781" w:rsidRPr="00090F0C">
        <w:rPr>
          <w:rFonts w:asciiTheme="minorHAnsi" w:hAnsiTheme="minorHAnsi"/>
          <w:i/>
          <w:iCs/>
          <w:szCs w:val="24"/>
          <w:lang w:val="en-GB"/>
        </w:rPr>
        <w:t>F</w:t>
      </w:r>
      <w:r w:rsidR="001B46F6" w:rsidRPr="00090F0C">
        <w:rPr>
          <w:rFonts w:asciiTheme="minorHAnsi" w:hAnsiTheme="minorHAnsi"/>
          <w:i/>
          <w:iCs/>
          <w:szCs w:val="24"/>
          <w:vertAlign w:val="subscript"/>
          <w:lang w:val="en-GB"/>
        </w:rPr>
        <w:t>(</w:t>
      </w:r>
      <w:proofErr w:type="gramEnd"/>
      <w:r w:rsidR="001B46F6" w:rsidRPr="00090F0C">
        <w:rPr>
          <w:rFonts w:asciiTheme="minorHAnsi" w:hAnsiTheme="minorHAnsi"/>
          <w:i/>
          <w:iCs/>
          <w:szCs w:val="24"/>
          <w:vertAlign w:val="subscript"/>
          <w:lang w:val="en-GB"/>
        </w:rPr>
        <w:t>2,57)</w:t>
      </w:r>
      <w:r w:rsidR="001B46F6" w:rsidRPr="006A5A26">
        <w:rPr>
          <w:rFonts w:asciiTheme="minorHAnsi" w:hAnsiTheme="minorHAnsi"/>
          <w:szCs w:val="24"/>
          <w:vertAlign w:val="subscript"/>
          <w:lang w:val="en-GB"/>
        </w:rPr>
        <w:t xml:space="preserve"> </w:t>
      </w:r>
      <w:r w:rsidR="001B46F6" w:rsidRPr="006A5A26">
        <w:rPr>
          <w:rFonts w:asciiTheme="minorHAnsi" w:hAnsiTheme="minorHAnsi"/>
          <w:szCs w:val="24"/>
          <w:lang w:val="en-GB"/>
        </w:rPr>
        <w:t xml:space="preserve">= </w:t>
      </w:r>
      <w:r w:rsidR="00E75781" w:rsidRPr="006A5A26">
        <w:rPr>
          <w:rFonts w:asciiTheme="minorHAnsi" w:hAnsiTheme="minorHAnsi"/>
          <w:szCs w:val="24"/>
          <w:lang w:val="en-GB"/>
        </w:rPr>
        <w:t xml:space="preserve">3.679, </w:t>
      </w:r>
      <w:r w:rsidR="00E75781" w:rsidRPr="006A5A26">
        <w:rPr>
          <w:rFonts w:asciiTheme="minorHAnsi" w:hAnsiTheme="minorHAnsi"/>
          <w:i/>
          <w:szCs w:val="24"/>
          <w:lang w:val="en-GB"/>
        </w:rPr>
        <w:t xml:space="preserve">p </w:t>
      </w:r>
      <w:r w:rsidR="00E75781" w:rsidRPr="006A5A26">
        <w:rPr>
          <w:rFonts w:asciiTheme="minorHAnsi" w:hAnsiTheme="minorHAnsi"/>
          <w:szCs w:val="24"/>
          <w:lang w:val="en-GB"/>
        </w:rPr>
        <w:t>= 0.031</w:t>
      </w:r>
      <w:r w:rsidR="00090F0C">
        <w:rPr>
          <w:rFonts w:asciiTheme="minorHAnsi" w:hAnsiTheme="minorHAnsi"/>
          <w:szCs w:val="24"/>
          <w:lang w:val="en-GB"/>
        </w:rPr>
        <w:t xml:space="preserve">, </w:t>
      </w:r>
      <w:r w:rsidR="00090F0C" w:rsidRPr="00090F0C">
        <w:rPr>
          <w:rFonts w:asciiTheme="minorHAnsi" w:hAnsiTheme="minorHAnsi"/>
          <w:i/>
          <w:iCs/>
          <w:szCs w:val="24"/>
          <w:lang w:val="en-GB"/>
        </w:rPr>
        <w:t>partial η</w:t>
      </w:r>
      <w:r w:rsidR="00090F0C" w:rsidRPr="00090F0C">
        <w:rPr>
          <w:rFonts w:asciiTheme="minorHAnsi" w:hAnsiTheme="minorHAnsi"/>
          <w:i/>
          <w:iCs/>
          <w:szCs w:val="24"/>
          <w:vertAlign w:val="superscript"/>
          <w:lang w:val="en-GB"/>
        </w:rPr>
        <w:t>2</w:t>
      </w:r>
      <w:r w:rsidR="00090F0C" w:rsidRPr="00090F0C">
        <w:rPr>
          <w:rFonts w:asciiTheme="minorHAnsi" w:hAnsiTheme="minorHAnsi"/>
          <w:szCs w:val="24"/>
          <w:lang w:val="en-GB"/>
        </w:rPr>
        <w:t xml:space="preserve"> = 0.</w:t>
      </w:r>
      <w:r w:rsidR="00090F0C">
        <w:rPr>
          <w:rFonts w:asciiTheme="minorHAnsi" w:hAnsiTheme="minorHAnsi"/>
          <w:szCs w:val="24"/>
          <w:lang w:val="en-GB"/>
        </w:rPr>
        <w:t>114</w:t>
      </w:r>
      <w:r w:rsidR="00E75781" w:rsidRPr="006A5A26">
        <w:rPr>
          <w:rFonts w:asciiTheme="minorHAnsi" w:hAnsiTheme="minorHAnsi"/>
          <w:szCs w:val="24"/>
          <w:lang w:val="en-GB"/>
        </w:rPr>
        <w:t>)</w:t>
      </w:r>
      <w:r w:rsidR="001B46F6" w:rsidRPr="006A5A26">
        <w:rPr>
          <w:rFonts w:asciiTheme="minorHAnsi" w:hAnsiTheme="minorHAnsi"/>
          <w:szCs w:val="24"/>
          <w:lang w:val="en-GB"/>
        </w:rPr>
        <w:t>. Post-hoc t-tests indicated that the</w:t>
      </w:r>
      <w:r w:rsidR="00E75781" w:rsidRPr="006A5A26">
        <w:rPr>
          <w:rFonts w:asciiTheme="minorHAnsi" w:hAnsiTheme="minorHAnsi"/>
          <w:szCs w:val="24"/>
          <w:lang w:val="en-GB"/>
        </w:rPr>
        <w:t xml:space="preserve"> ADHD group performed significantly worse than the </w:t>
      </w:r>
      <w:r w:rsidR="00154C2D">
        <w:rPr>
          <w:rFonts w:asciiTheme="minorHAnsi" w:hAnsiTheme="minorHAnsi"/>
          <w:szCs w:val="24"/>
          <w:lang w:val="en-GB"/>
        </w:rPr>
        <w:t xml:space="preserve">typically developing </w:t>
      </w:r>
      <w:r w:rsidR="00E75781" w:rsidRPr="006A5A26">
        <w:rPr>
          <w:rFonts w:asciiTheme="minorHAnsi" w:hAnsiTheme="minorHAnsi"/>
          <w:szCs w:val="24"/>
          <w:lang w:val="en-GB"/>
        </w:rPr>
        <w:t xml:space="preserve">control group </w:t>
      </w:r>
      <w:r w:rsidR="003B30B8" w:rsidRPr="003B30B8">
        <w:rPr>
          <w:rFonts w:asciiTheme="minorHAnsi" w:hAnsiTheme="minorHAnsi"/>
          <w:szCs w:val="24"/>
          <w:lang w:val="en-GB"/>
        </w:rPr>
        <w:t>(</w:t>
      </w:r>
      <w:proofErr w:type="gramStart"/>
      <w:r w:rsidR="003B30B8" w:rsidRPr="003B30B8">
        <w:rPr>
          <w:rFonts w:asciiTheme="minorHAnsi" w:hAnsiTheme="minorHAnsi"/>
          <w:i/>
          <w:iCs/>
          <w:szCs w:val="24"/>
          <w:lang w:val="en-GB"/>
        </w:rPr>
        <w:t>t</w:t>
      </w:r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(</w:t>
      </w:r>
      <w:proofErr w:type="gramEnd"/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5</w:t>
      </w:r>
      <w:r w:rsidR="003B30B8">
        <w:rPr>
          <w:rFonts w:asciiTheme="minorHAnsi" w:hAnsiTheme="minorHAnsi"/>
          <w:i/>
          <w:iCs/>
          <w:szCs w:val="24"/>
          <w:vertAlign w:val="subscript"/>
          <w:lang w:val="en-GB"/>
        </w:rPr>
        <w:t>7</w:t>
      </w:r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)</w:t>
      </w:r>
      <w:r w:rsidR="003B30B8" w:rsidRPr="003B30B8">
        <w:rPr>
          <w:rFonts w:asciiTheme="minorHAnsi" w:hAnsiTheme="minorHAnsi"/>
          <w:szCs w:val="24"/>
          <w:lang w:val="en-GB"/>
        </w:rPr>
        <w:t xml:space="preserve"> = </w:t>
      </w:r>
      <w:r w:rsidR="003B30B8">
        <w:rPr>
          <w:rFonts w:asciiTheme="minorHAnsi" w:hAnsiTheme="minorHAnsi"/>
          <w:szCs w:val="24"/>
          <w:lang w:val="en-GB"/>
        </w:rPr>
        <w:t>-2</w:t>
      </w:r>
      <w:r w:rsidR="003B30B8" w:rsidRPr="003B30B8">
        <w:rPr>
          <w:rFonts w:asciiTheme="minorHAnsi" w:hAnsiTheme="minorHAnsi"/>
          <w:szCs w:val="24"/>
          <w:lang w:val="en-GB"/>
        </w:rPr>
        <w:t>.</w:t>
      </w:r>
      <w:r w:rsidR="003B30B8">
        <w:rPr>
          <w:rFonts w:asciiTheme="minorHAnsi" w:hAnsiTheme="minorHAnsi"/>
          <w:szCs w:val="24"/>
          <w:lang w:val="en-GB"/>
        </w:rPr>
        <w:t>652</w:t>
      </w:r>
      <w:r w:rsidR="003B30B8" w:rsidRPr="003B30B8">
        <w:rPr>
          <w:rFonts w:asciiTheme="minorHAnsi" w:hAnsiTheme="minorHAnsi"/>
          <w:szCs w:val="24"/>
          <w:lang w:val="en-GB"/>
        </w:rPr>
        <w:t>, 95% CI [</w:t>
      </w:r>
      <w:r w:rsidR="003B30B8">
        <w:rPr>
          <w:rFonts w:asciiTheme="minorHAnsi" w:hAnsiTheme="minorHAnsi"/>
          <w:szCs w:val="24"/>
          <w:lang w:val="en-GB"/>
        </w:rPr>
        <w:t>-7</w:t>
      </w:r>
      <w:r w:rsidR="003B30B8" w:rsidRPr="003B30B8">
        <w:rPr>
          <w:rFonts w:asciiTheme="minorHAnsi" w:hAnsiTheme="minorHAnsi"/>
          <w:szCs w:val="24"/>
          <w:lang w:val="en-GB"/>
        </w:rPr>
        <w:t>.</w:t>
      </w:r>
      <w:r w:rsidR="003B30B8">
        <w:rPr>
          <w:rFonts w:asciiTheme="minorHAnsi" w:hAnsiTheme="minorHAnsi"/>
          <w:szCs w:val="24"/>
          <w:lang w:val="en-GB"/>
        </w:rPr>
        <w:t>429</w:t>
      </w:r>
      <w:r w:rsidR="003B30B8" w:rsidRPr="003B30B8">
        <w:rPr>
          <w:rFonts w:asciiTheme="minorHAnsi" w:hAnsiTheme="minorHAnsi"/>
          <w:szCs w:val="24"/>
          <w:lang w:val="en-GB"/>
        </w:rPr>
        <w:t xml:space="preserve">, </w:t>
      </w:r>
      <w:r w:rsidR="003B30B8">
        <w:rPr>
          <w:rFonts w:asciiTheme="minorHAnsi" w:hAnsiTheme="minorHAnsi"/>
          <w:szCs w:val="24"/>
          <w:lang w:val="en-GB"/>
        </w:rPr>
        <w:t>-1</w:t>
      </w:r>
      <w:r w:rsidR="003B30B8" w:rsidRPr="003B30B8">
        <w:rPr>
          <w:rFonts w:asciiTheme="minorHAnsi" w:hAnsiTheme="minorHAnsi"/>
          <w:szCs w:val="24"/>
          <w:lang w:val="en-GB"/>
        </w:rPr>
        <w:t>.</w:t>
      </w:r>
      <w:r w:rsidR="003B30B8">
        <w:rPr>
          <w:rFonts w:asciiTheme="minorHAnsi" w:hAnsiTheme="minorHAnsi"/>
          <w:szCs w:val="24"/>
          <w:lang w:val="en-GB"/>
        </w:rPr>
        <w:t>037</w:t>
      </w:r>
      <w:r w:rsidR="003B30B8" w:rsidRPr="003B30B8">
        <w:rPr>
          <w:rFonts w:asciiTheme="minorHAnsi" w:hAnsiTheme="minorHAnsi"/>
          <w:szCs w:val="24"/>
          <w:lang w:val="en-GB"/>
        </w:rPr>
        <w:t xml:space="preserve">], </w:t>
      </w:r>
      <w:r w:rsidR="003B30B8" w:rsidRPr="003B30B8">
        <w:rPr>
          <w:rFonts w:asciiTheme="minorHAnsi" w:hAnsiTheme="minorHAnsi"/>
          <w:i/>
          <w:iCs/>
          <w:szCs w:val="24"/>
          <w:lang w:val="en-GB"/>
        </w:rPr>
        <w:t>p</w:t>
      </w:r>
      <w:r w:rsidR="003B30B8" w:rsidRPr="003B30B8">
        <w:rPr>
          <w:rFonts w:asciiTheme="minorHAnsi" w:hAnsiTheme="minorHAnsi"/>
          <w:szCs w:val="24"/>
          <w:lang w:val="en-GB"/>
        </w:rPr>
        <w:t xml:space="preserve"> </w:t>
      </w:r>
      <w:r w:rsidR="003B30B8">
        <w:rPr>
          <w:rFonts w:asciiTheme="minorHAnsi" w:hAnsiTheme="minorHAnsi"/>
          <w:szCs w:val="24"/>
          <w:lang w:val="en-GB"/>
        </w:rPr>
        <w:t>=</w:t>
      </w:r>
      <w:r w:rsidR="003B30B8" w:rsidRPr="003B30B8">
        <w:rPr>
          <w:rFonts w:asciiTheme="minorHAnsi" w:hAnsiTheme="minorHAnsi"/>
          <w:szCs w:val="24"/>
          <w:lang w:val="en-GB"/>
        </w:rPr>
        <w:t xml:space="preserve"> .0</w:t>
      </w:r>
      <w:r w:rsidR="003B30B8">
        <w:rPr>
          <w:rFonts w:asciiTheme="minorHAnsi" w:hAnsiTheme="minorHAnsi"/>
          <w:szCs w:val="24"/>
          <w:lang w:val="en-GB"/>
        </w:rPr>
        <w:t>10</w:t>
      </w:r>
      <w:r w:rsidR="003B30B8" w:rsidRPr="003B30B8">
        <w:rPr>
          <w:rFonts w:asciiTheme="minorHAnsi" w:hAnsiTheme="minorHAnsi"/>
          <w:szCs w:val="24"/>
          <w:lang w:val="en-GB"/>
        </w:rPr>
        <w:t xml:space="preserve">, </w:t>
      </w:r>
      <w:r w:rsidR="003B30B8" w:rsidRPr="003B30B8">
        <w:rPr>
          <w:rFonts w:asciiTheme="minorHAnsi" w:hAnsiTheme="minorHAnsi"/>
          <w:i/>
          <w:iCs/>
          <w:szCs w:val="24"/>
          <w:lang w:val="en-GB"/>
        </w:rPr>
        <w:t>partial η</w:t>
      </w:r>
      <w:r w:rsidR="003B30B8" w:rsidRPr="003B30B8">
        <w:rPr>
          <w:rFonts w:asciiTheme="minorHAnsi" w:hAnsiTheme="minorHAnsi"/>
          <w:i/>
          <w:iCs/>
          <w:szCs w:val="24"/>
          <w:vertAlign w:val="superscript"/>
          <w:lang w:val="en-GB"/>
        </w:rPr>
        <w:t>2</w:t>
      </w:r>
      <w:r w:rsidR="003B30B8" w:rsidRPr="003B30B8">
        <w:rPr>
          <w:rFonts w:asciiTheme="minorHAnsi" w:hAnsiTheme="minorHAnsi"/>
          <w:szCs w:val="24"/>
          <w:lang w:val="en-GB"/>
        </w:rPr>
        <w:t xml:space="preserve"> = 0.</w:t>
      </w:r>
      <w:r w:rsidR="003B30B8">
        <w:rPr>
          <w:rFonts w:asciiTheme="minorHAnsi" w:hAnsiTheme="minorHAnsi"/>
          <w:szCs w:val="24"/>
          <w:lang w:val="en-GB"/>
        </w:rPr>
        <w:t>110</w:t>
      </w:r>
      <w:r w:rsidR="003B30B8" w:rsidRPr="003B30B8">
        <w:rPr>
          <w:rFonts w:asciiTheme="minorHAnsi" w:hAnsiTheme="minorHAnsi"/>
          <w:szCs w:val="24"/>
          <w:lang w:val="en-GB"/>
        </w:rPr>
        <w:t>)</w:t>
      </w:r>
      <w:r w:rsidR="00E75781" w:rsidRPr="006A5A26">
        <w:rPr>
          <w:rFonts w:asciiTheme="minorHAnsi" w:hAnsiTheme="minorHAnsi"/>
          <w:szCs w:val="24"/>
          <w:lang w:val="en-GB"/>
        </w:rPr>
        <w:t>. Since NART full IQ score</w:t>
      </w:r>
      <w:r w:rsidR="00154C2D">
        <w:rPr>
          <w:rFonts w:asciiTheme="minorHAnsi" w:hAnsiTheme="minorHAnsi"/>
          <w:szCs w:val="24"/>
          <w:lang w:val="en-GB"/>
        </w:rPr>
        <w:t>s</w:t>
      </w:r>
      <w:r w:rsidR="00E75781" w:rsidRPr="006A5A26">
        <w:rPr>
          <w:rFonts w:asciiTheme="minorHAnsi" w:hAnsiTheme="minorHAnsi"/>
          <w:szCs w:val="24"/>
          <w:lang w:val="en-GB"/>
        </w:rPr>
        <w:t xml:space="preserve"> w</w:t>
      </w:r>
      <w:r w:rsidR="00154C2D">
        <w:rPr>
          <w:rFonts w:asciiTheme="minorHAnsi" w:hAnsiTheme="minorHAnsi"/>
          <w:szCs w:val="24"/>
          <w:lang w:val="en-GB"/>
        </w:rPr>
        <w:t>ere</w:t>
      </w:r>
      <w:r w:rsidR="00E75781" w:rsidRPr="006A5A26">
        <w:rPr>
          <w:rFonts w:asciiTheme="minorHAnsi" w:hAnsiTheme="minorHAnsi"/>
          <w:szCs w:val="24"/>
          <w:lang w:val="en-GB"/>
        </w:rPr>
        <w:t xml:space="preserve"> significantly correlated with age (</w:t>
      </w:r>
      <w:proofErr w:type="spellStart"/>
      <w:r w:rsidR="00E75781" w:rsidRPr="006A5A26">
        <w:rPr>
          <w:rFonts w:asciiTheme="minorHAnsi" w:hAnsiTheme="minorHAnsi"/>
          <w:szCs w:val="24"/>
          <w:lang w:val="en-GB"/>
        </w:rPr>
        <w:t>r</w:t>
      </w:r>
      <w:r w:rsidR="00E75781" w:rsidRPr="006A5A26">
        <w:rPr>
          <w:rFonts w:asciiTheme="minorHAnsi" w:hAnsiTheme="minorHAnsi"/>
          <w:szCs w:val="24"/>
          <w:vertAlign w:val="subscript"/>
          <w:lang w:val="en-GB"/>
        </w:rPr>
        <w:t>s</w:t>
      </w:r>
      <w:proofErr w:type="spellEnd"/>
      <w:r w:rsidR="00E75781" w:rsidRPr="006A5A26">
        <w:rPr>
          <w:rFonts w:asciiTheme="minorHAnsi" w:hAnsiTheme="minorHAnsi"/>
          <w:szCs w:val="24"/>
          <w:lang w:val="en-GB"/>
        </w:rPr>
        <w:t xml:space="preserve"> = 0.363, </w:t>
      </w:r>
      <w:r w:rsidR="00E75781" w:rsidRPr="003B30B8">
        <w:rPr>
          <w:rFonts w:asciiTheme="minorHAnsi" w:hAnsiTheme="minorHAnsi"/>
          <w:i/>
          <w:iCs/>
          <w:szCs w:val="24"/>
          <w:lang w:val="en-GB"/>
        </w:rPr>
        <w:t>p</w:t>
      </w:r>
      <w:r w:rsidR="00E75781" w:rsidRPr="006A5A26">
        <w:rPr>
          <w:rFonts w:asciiTheme="minorHAnsi" w:hAnsiTheme="minorHAnsi"/>
          <w:szCs w:val="24"/>
          <w:lang w:val="en-GB"/>
        </w:rPr>
        <w:t xml:space="preserve"> = 0.004)</w:t>
      </w:r>
      <w:r w:rsidR="001B46F6" w:rsidRPr="006A5A26">
        <w:rPr>
          <w:rFonts w:asciiTheme="minorHAnsi" w:hAnsiTheme="minorHAnsi"/>
          <w:szCs w:val="24"/>
          <w:lang w:val="en-GB"/>
        </w:rPr>
        <w:t>, we also ran an additional univariate AN</w:t>
      </w:r>
      <w:r w:rsidR="003B30B8">
        <w:rPr>
          <w:rFonts w:asciiTheme="minorHAnsi" w:hAnsiTheme="minorHAnsi"/>
          <w:szCs w:val="24"/>
          <w:lang w:val="en-GB"/>
        </w:rPr>
        <w:t>C</w:t>
      </w:r>
      <w:r w:rsidR="001B46F6" w:rsidRPr="006A5A26">
        <w:rPr>
          <w:rFonts w:asciiTheme="minorHAnsi" w:hAnsiTheme="minorHAnsi"/>
          <w:szCs w:val="24"/>
          <w:lang w:val="en-GB"/>
        </w:rPr>
        <w:t xml:space="preserve">OVA correcting for age and gender. The results of this test also displayed a significant difference </w:t>
      </w:r>
      <w:r w:rsidR="003B30B8" w:rsidRPr="003B30B8">
        <w:rPr>
          <w:rFonts w:asciiTheme="minorHAnsi" w:hAnsiTheme="minorHAnsi"/>
          <w:szCs w:val="24"/>
          <w:lang w:val="en-GB"/>
        </w:rPr>
        <w:t>(</w:t>
      </w:r>
      <w:proofErr w:type="gramStart"/>
      <w:r w:rsidR="003B30B8" w:rsidRPr="003B30B8">
        <w:rPr>
          <w:rFonts w:asciiTheme="minorHAnsi" w:hAnsiTheme="minorHAnsi"/>
          <w:i/>
          <w:iCs/>
          <w:szCs w:val="24"/>
          <w:lang w:val="en-GB"/>
        </w:rPr>
        <w:t>F</w:t>
      </w:r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(</w:t>
      </w:r>
      <w:proofErr w:type="gramEnd"/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2,5</w:t>
      </w:r>
      <w:r w:rsidR="003B30B8">
        <w:rPr>
          <w:rFonts w:asciiTheme="minorHAnsi" w:hAnsiTheme="minorHAnsi"/>
          <w:i/>
          <w:iCs/>
          <w:szCs w:val="24"/>
          <w:vertAlign w:val="subscript"/>
          <w:lang w:val="en-GB"/>
        </w:rPr>
        <w:t>5</w:t>
      </w:r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)</w:t>
      </w:r>
      <w:r w:rsidR="003B30B8" w:rsidRPr="003B30B8">
        <w:rPr>
          <w:rFonts w:asciiTheme="minorHAnsi" w:hAnsiTheme="minorHAnsi"/>
          <w:szCs w:val="24"/>
          <w:vertAlign w:val="subscript"/>
          <w:lang w:val="en-GB"/>
        </w:rPr>
        <w:t xml:space="preserve"> </w:t>
      </w:r>
      <w:r w:rsidR="003B30B8" w:rsidRPr="003B30B8">
        <w:rPr>
          <w:rFonts w:asciiTheme="minorHAnsi" w:hAnsiTheme="minorHAnsi"/>
          <w:szCs w:val="24"/>
          <w:lang w:val="en-GB"/>
        </w:rPr>
        <w:t xml:space="preserve">= </w:t>
      </w:r>
      <w:r w:rsidR="003B30B8">
        <w:rPr>
          <w:rFonts w:asciiTheme="minorHAnsi" w:hAnsiTheme="minorHAnsi"/>
          <w:szCs w:val="24"/>
          <w:lang w:val="en-GB"/>
        </w:rPr>
        <w:t>4</w:t>
      </w:r>
      <w:r w:rsidR="003B30B8" w:rsidRPr="003B30B8">
        <w:rPr>
          <w:rFonts w:asciiTheme="minorHAnsi" w:hAnsiTheme="minorHAnsi"/>
          <w:szCs w:val="24"/>
          <w:lang w:val="en-GB"/>
        </w:rPr>
        <w:t>.</w:t>
      </w:r>
      <w:r w:rsidR="003B30B8">
        <w:rPr>
          <w:rFonts w:asciiTheme="minorHAnsi" w:hAnsiTheme="minorHAnsi"/>
          <w:szCs w:val="24"/>
          <w:lang w:val="en-GB"/>
        </w:rPr>
        <w:t>284</w:t>
      </w:r>
      <w:r w:rsidR="003B30B8" w:rsidRPr="003B30B8">
        <w:rPr>
          <w:rFonts w:asciiTheme="minorHAnsi" w:hAnsiTheme="minorHAnsi"/>
          <w:szCs w:val="24"/>
          <w:lang w:val="en-GB"/>
        </w:rPr>
        <w:t xml:space="preserve">, </w:t>
      </w:r>
      <w:r w:rsidR="003B30B8" w:rsidRPr="003B30B8">
        <w:rPr>
          <w:rFonts w:asciiTheme="minorHAnsi" w:hAnsiTheme="minorHAnsi"/>
          <w:i/>
          <w:szCs w:val="24"/>
          <w:lang w:val="en-GB"/>
        </w:rPr>
        <w:t xml:space="preserve">p </w:t>
      </w:r>
      <w:r w:rsidR="003B30B8" w:rsidRPr="003B30B8">
        <w:rPr>
          <w:rFonts w:asciiTheme="minorHAnsi" w:hAnsiTheme="minorHAnsi"/>
          <w:szCs w:val="24"/>
          <w:lang w:val="en-GB"/>
        </w:rPr>
        <w:t>= 0.0</w:t>
      </w:r>
      <w:r w:rsidR="003B30B8">
        <w:rPr>
          <w:rFonts w:asciiTheme="minorHAnsi" w:hAnsiTheme="minorHAnsi"/>
          <w:szCs w:val="24"/>
          <w:lang w:val="en-GB"/>
        </w:rPr>
        <w:t>19</w:t>
      </w:r>
      <w:r w:rsidR="003B30B8" w:rsidRPr="003B30B8">
        <w:rPr>
          <w:rFonts w:asciiTheme="minorHAnsi" w:hAnsiTheme="minorHAnsi"/>
          <w:szCs w:val="24"/>
          <w:lang w:val="en-GB"/>
        </w:rPr>
        <w:t xml:space="preserve">, </w:t>
      </w:r>
      <w:r w:rsidR="003B30B8" w:rsidRPr="003B30B8">
        <w:rPr>
          <w:rFonts w:asciiTheme="minorHAnsi" w:hAnsiTheme="minorHAnsi"/>
          <w:i/>
          <w:iCs/>
          <w:szCs w:val="24"/>
          <w:lang w:val="en-GB"/>
        </w:rPr>
        <w:t>partial η</w:t>
      </w:r>
      <w:r w:rsidR="003B30B8" w:rsidRPr="003B30B8">
        <w:rPr>
          <w:rFonts w:asciiTheme="minorHAnsi" w:hAnsiTheme="minorHAnsi"/>
          <w:i/>
          <w:iCs/>
          <w:szCs w:val="24"/>
          <w:vertAlign w:val="superscript"/>
          <w:lang w:val="en-GB"/>
        </w:rPr>
        <w:t>2</w:t>
      </w:r>
      <w:r w:rsidR="003B30B8" w:rsidRPr="003B30B8">
        <w:rPr>
          <w:rFonts w:asciiTheme="minorHAnsi" w:hAnsiTheme="minorHAnsi"/>
          <w:szCs w:val="24"/>
          <w:lang w:val="en-GB"/>
        </w:rPr>
        <w:t xml:space="preserve"> = 0.1</w:t>
      </w:r>
      <w:r w:rsidR="003B30B8">
        <w:rPr>
          <w:rFonts w:asciiTheme="minorHAnsi" w:hAnsiTheme="minorHAnsi"/>
          <w:szCs w:val="24"/>
          <w:lang w:val="en-GB"/>
        </w:rPr>
        <w:t>35</w:t>
      </w:r>
      <w:r w:rsidR="003B30B8" w:rsidRPr="003B30B8">
        <w:rPr>
          <w:rFonts w:asciiTheme="minorHAnsi" w:hAnsiTheme="minorHAnsi"/>
          <w:szCs w:val="24"/>
          <w:lang w:val="en-GB"/>
        </w:rPr>
        <w:t>)</w:t>
      </w:r>
      <w:r w:rsidR="001B46F6" w:rsidRPr="006A5A26">
        <w:rPr>
          <w:rFonts w:asciiTheme="minorHAnsi" w:hAnsiTheme="minorHAnsi"/>
          <w:szCs w:val="24"/>
          <w:lang w:val="en-GB"/>
        </w:rPr>
        <w:t xml:space="preserve">, specifically between the ADHD and control groups </w:t>
      </w:r>
      <w:r w:rsidR="003B30B8" w:rsidRPr="003B30B8">
        <w:rPr>
          <w:rFonts w:asciiTheme="minorHAnsi" w:hAnsiTheme="minorHAnsi"/>
          <w:szCs w:val="24"/>
          <w:lang w:val="en-GB"/>
        </w:rPr>
        <w:t>(</w:t>
      </w:r>
      <w:r w:rsidR="003B30B8" w:rsidRPr="003B30B8">
        <w:rPr>
          <w:rFonts w:asciiTheme="minorHAnsi" w:hAnsiTheme="minorHAnsi"/>
          <w:i/>
          <w:iCs/>
          <w:szCs w:val="24"/>
          <w:lang w:val="en-GB"/>
        </w:rPr>
        <w:t>t</w:t>
      </w:r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(5</w:t>
      </w:r>
      <w:r w:rsidR="003B30B8">
        <w:rPr>
          <w:rFonts w:asciiTheme="minorHAnsi" w:hAnsiTheme="minorHAnsi"/>
          <w:i/>
          <w:iCs/>
          <w:szCs w:val="24"/>
          <w:vertAlign w:val="subscript"/>
          <w:lang w:val="en-GB"/>
        </w:rPr>
        <w:t>5</w:t>
      </w:r>
      <w:r w:rsidR="003B30B8" w:rsidRPr="003B30B8">
        <w:rPr>
          <w:rFonts w:asciiTheme="minorHAnsi" w:hAnsiTheme="minorHAnsi"/>
          <w:i/>
          <w:iCs/>
          <w:szCs w:val="24"/>
          <w:vertAlign w:val="subscript"/>
          <w:lang w:val="en-GB"/>
        </w:rPr>
        <w:t>)</w:t>
      </w:r>
      <w:r w:rsidR="003B30B8" w:rsidRPr="003B30B8">
        <w:rPr>
          <w:rFonts w:asciiTheme="minorHAnsi" w:hAnsiTheme="minorHAnsi"/>
          <w:szCs w:val="24"/>
          <w:lang w:val="en-GB"/>
        </w:rPr>
        <w:t xml:space="preserve"> = </w:t>
      </w:r>
      <w:r w:rsidR="003B30B8">
        <w:rPr>
          <w:rFonts w:asciiTheme="minorHAnsi" w:hAnsiTheme="minorHAnsi"/>
          <w:szCs w:val="24"/>
          <w:lang w:val="en-GB"/>
        </w:rPr>
        <w:t>-2</w:t>
      </w:r>
      <w:r w:rsidR="003B30B8" w:rsidRPr="003B30B8">
        <w:rPr>
          <w:rFonts w:asciiTheme="minorHAnsi" w:hAnsiTheme="minorHAnsi"/>
          <w:szCs w:val="24"/>
          <w:lang w:val="en-GB"/>
        </w:rPr>
        <w:t>.</w:t>
      </w:r>
      <w:r w:rsidR="003B30B8">
        <w:rPr>
          <w:rFonts w:asciiTheme="minorHAnsi" w:hAnsiTheme="minorHAnsi"/>
          <w:szCs w:val="24"/>
          <w:lang w:val="en-GB"/>
        </w:rPr>
        <w:t>696</w:t>
      </w:r>
      <w:r w:rsidR="003B30B8" w:rsidRPr="003B30B8">
        <w:rPr>
          <w:rFonts w:asciiTheme="minorHAnsi" w:hAnsiTheme="minorHAnsi"/>
          <w:szCs w:val="24"/>
          <w:lang w:val="en-GB"/>
        </w:rPr>
        <w:t>, 95% CI [</w:t>
      </w:r>
      <w:r w:rsidR="003B30B8">
        <w:rPr>
          <w:rFonts w:asciiTheme="minorHAnsi" w:hAnsiTheme="minorHAnsi"/>
          <w:szCs w:val="24"/>
          <w:lang w:val="en-GB"/>
        </w:rPr>
        <w:t>-7</w:t>
      </w:r>
      <w:r w:rsidR="003B30B8" w:rsidRPr="003B30B8">
        <w:rPr>
          <w:rFonts w:asciiTheme="minorHAnsi" w:hAnsiTheme="minorHAnsi"/>
          <w:szCs w:val="24"/>
          <w:lang w:val="en-GB"/>
        </w:rPr>
        <w:t>.</w:t>
      </w:r>
      <w:r w:rsidR="003B30B8">
        <w:rPr>
          <w:rFonts w:asciiTheme="minorHAnsi" w:hAnsiTheme="minorHAnsi"/>
          <w:szCs w:val="24"/>
          <w:lang w:val="en-GB"/>
        </w:rPr>
        <w:t>465</w:t>
      </w:r>
      <w:r w:rsidR="003B30B8" w:rsidRPr="003B30B8">
        <w:rPr>
          <w:rFonts w:asciiTheme="minorHAnsi" w:hAnsiTheme="minorHAnsi"/>
          <w:szCs w:val="24"/>
          <w:lang w:val="en-GB"/>
        </w:rPr>
        <w:t xml:space="preserve">, </w:t>
      </w:r>
      <w:r w:rsidR="003B30B8">
        <w:rPr>
          <w:rFonts w:asciiTheme="minorHAnsi" w:hAnsiTheme="minorHAnsi"/>
          <w:szCs w:val="24"/>
          <w:lang w:val="en-GB"/>
        </w:rPr>
        <w:t>-1</w:t>
      </w:r>
      <w:r w:rsidR="003B30B8" w:rsidRPr="003B30B8">
        <w:rPr>
          <w:rFonts w:asciiTheme="minorHAnsi" w:hAnsiTheme="minorHAnsi"/>
          <w:szCs w:val="24"/>
          <w:lang w:val="en-GB"/>
        </w:rPr>
        <w:t>.</w:t>
      </w:r>
      <w:r w:rsidR="003B30B8">
        <w:rPr>
          <w:rFonts w:asciiTheme="minorHAnsi" w:hAnsiTheme="minorHAnsi"/>
          <w:szCs w:val="24"/>
          <w:lang w:val="en-GB"/>
        </w:rPr>
        <w:t>099</w:t>
      </w:r>
      <w:r w:rsidR="003B30B8" w:rsidRPr="003B30B8">
        <w:rPr>
          <w:rFonts w:asciiTheme="minorHAnsi" w:hAnsiTheme="minorHAnsi"/>
          <w:szCs w:val="24"/>
          <w:lang w:val="en-GB"/>
        </w:rPr>
        <w:t xml:space="preserve">], </w:t>
      </w:r>
      <w:r w:rsidR="003B30B8" w:rsidRPr="003B30B8">
        <w:rPr>
          <w:rFonts w:asciiTheme="minorHAnsi" w:hAnsiTheme="minorHAnsi"/>
          <w:i/>
          <w:iCs/>
          <w:szCs w:val="24"/>
          <w:lang w:val="en-GB"/>
        </w:rPr>
        <w:t>p</w:t>
      </w:r>
      <w:r w:rsidR="003B30B8" w:rsidRPr="003B30B8">
        <w:rPr>
          <w:rFonts w:asciiTheme="minorHAnsi" w:hAnsiTheme="minorHAnsi"/>
          <w:szCs w:val="24"/>
          <w:lang w:val="en-GB"/>
        </w:rPr>
        <w:t xml:space="preserve"> </w:t>
      </w:r>
      <w:r w:rsidR="003B30B8">
        <w:rPr>
          <w:rFonts w:asciiTheme="minorHAnsi" w:hAnsiTheme="minorHAnsi"/>
          <w:szCs w:val="24"/>
          <w:lang w:val="en-GB"/>
        </w:rPr>
        <w:t>=</w:t>
      </w:r>
      <w:r w:rsidR="003B30B8" w:rsidRPr="003B30B8">
        <w:rPr>
          <w:rFonts w:asciiTheme="minorHAnsi" w:hAnsiTheme="minorHAnsi"/>
          <w:szCs w:val="24"/>
          <w:lang w:val="en-GB"/>
        </w:rPr>
        <w:t xml:space="preserve"> .0</w:t>
      </w:r>
      <w:r w:rsidR="003B30B8">
        <w:rPr>
          <w:rFonts w:asciiTheme="minorHAnsi" w:hAnsiTheme="minorHAnsi"/>
          <w:szCs w:val="24"/>
          <w:lang w:val="en-GB"/>
        </w:rPr>
        <w:t>09</w:t>
      </w:r>
      <w:r w:rsidR="003B30B8" w:rsidRPr="003B30B8">
        <w:rPr>
          <w:rFonts w:asciiTheme="minorHAnsi" w:hAnsiTheme="minorHAnsi"/>
          <w:szCs w:val="24"/>
          <w:lang w:val="en-GB"/>
        </w:rPr>
        <w:t xml:space="preserve">, </w:t>
      </w:r>
      <w:r w:rsidR="003B30B8" w:rsidRPr="003B30B8">
        <w:rPr>
          <w:rFonts w:asciiTheme="minorHAnsi" w:hAnsiTheme="minorHAnsi"/>
          <w:i/>
          <w:iCs/>
          <w:szCs w:val="24"/>
          <w:lang w:val="en-GB"/>
        </w:rPr>
        <w:t>partial η</w:t>
      </w:r>
      <w:r w:rsidR="003B30B8" w:rsidRPr="003B30B8">
        <w:rPr>
          <w:rFonts w:asciiTheme="minorHAnsi" w:hAnsiTheme="minorHAnsi"/>
          <w:i/>
          <w:iCs/>
          <w:szCs w:val="24"/>
          <w:vertAlign w:val="superscript"/>
          <w:lang w:val="en-GB"/>
        </w:rPr>
        <w:t>2</w:t>
      </w:r>
      <w:r w:rsidR="003B30B8" w:rsidRPr="003B30B8">
        <w:rPr>
          <w:rFonts w:asciiTheme="minorHAnsi" w:hAnsiTheme="minorHAnsi"/>
          <w:szCs w:val="24"/>
          <w:lang w:val="en-GB"/>
        </w:rPr>
        <w:t xml:space="preserve"> = 0.</w:t>
      </w:r>
      <w:r w:rsidR="003B30B8">
        <w:rPr>
          <w:rFonts w:asciiTheme="minorHAnsi" w:hAnsiTheme="minorHAnsi"/>
          <w:szCs w:val="24"/>
          <w:lang w:val="en-GB"/>
        </w:rPr>
        <w:t>117</w:t>
      </w:r>
      <w:r w:rsidR="003B30B8" w:rsidRPr="003B30B8">
        <w:rPr>
          <w:rFonts w:asciiTheme="minorHAnsi" w:hAnsiTheme="minorHAnsi"/>
          <w:szCs w:val="24"/>
          <w:lang w:val="en-GB"/>
        </w:rPr>
        <w:t>)</w:t>
      </w:r>
      <w:r w:rsidR="001B46F6" w:rsidRPr="006A5A26">
        <w:rPr>
          <w:rFonts w:asciiTheme="minorHAnsi" w:hAnsiTheme="minorHAnsi"/>
          <w:szCs w:val="24"/>
          <w:lang w:val="en-GB"/>
        </w:rPr>
        <w:t xml:space="preserve">. </w:t>
      </w:r>
      <w:r w:rsidR="00584B57" w:rsidRPr="006A5A26">
        <w:rPr>
          <w:rFonts w:asciiTheme="minorHAnsi" w:hAnsiTheme="minorHAnsi"/>
          <w:szCs w:val="24"/>
          <w:lang w:val="en-GB"/>
        </w:rPr>
        <w:t>In order to ensure that we removed the potential effects of this demographic informatio</w:t>
      </w:r>
      <w:r w:rsidR="008B5BF7" w:rsidRPr="006A5A26">
        <w:rPr>
          <w:rFonts w:asciiTheme="minorHAnsi" w:hAnsiTheme="minorHAnsi"/>
          <w:szCs w:val="24"/>
          <w:lang w:val="en-GB"/>
        </w:rPr>
        <w:t>n</w:t>
      </w:r>
      <w:r w:rsidR="00584B57" w:rsidRPr="006A5A26">
        <w:rPr>
          <w:rFonts w:asciiTheme="minorHAnsi" w:hAnsiTheme="minorHAnsi"/>
          <w:szCs w:val="24"/>
          <w:lang w:val="en-GB"/>
        </w:rPr>
        <w:t xml:space="preserve">, </w:t>
      </w:r>
      <w:r w:rsidR="001B46F6" w:rsidRPr="006A5A26">
        <w:rPr>
          <w:rFonts w:asciiTheme="minorHAnsi" w:hAnsiTheme="minorHAnsi"/>
          <w:szCs w:val="24"/>
          <w:lang w:val="en-GB"/>
        </w:rPr>
        <w:t xml:space="preserve">age, gender and NART full IQ scores were </w:t>
      </w:r>
      <w:r w:rsidR="00AE5F35" w:rsidRPr="006A5A26">
        <w:rPr>
          <w:rFonts w:asciiTheme="minorHAnsi" w:hAnsiTheme="minorHAnsi"/>
          <w:szCs w:val="24"/>
          <w:lang w:val="en-GB"/>
        </w:rPr>
        <w:t xml:space="preserve">all </w:t>
      </w:r>
      <w:r w:rsidR="001B46F6" w:rsidRPr="006A5A26">
        <w:rPr>
          <w:rFonts w:asciiTheme="minorHAnsi" w:hAnsiTheme="minorHAnsi"/>
          <w:szCs w:val="24"/>
          <w:lang w:val="en-GB"/>
        </w:rPr>
        <w:t>used as covariates in the subsequent analyses</w:t>
      </w:r>
      <w:r w:rsidR="00584B57" w:rsidRPr="006A5A26">
        <w:rPr>
          <w:rFonts w:asciiTheme="minorHAnsi" w:hAnsiTheme="minorHAnsi"/>
          <w:szCs w:val="24"/>
          <w:lang w:val="en-GB"/>
        </w:rPr>
        <w:t>.</w:t>
      </w:r>
      <w:r w:rsidR="009C66BA">
        <w:rPr>
          <w:rFonts w:asciiTheme="minorHAnsi" w:hAnsiTheme="minorHAnsi"/>
          <w:szCs w:val="24"/>
          <w:lang w:val="en-GB"/>
        </w:rPr>
        <w:t xml:space="preserve"> </w:t>
      </w:r>
    </w:p>
    <w:p w14:paraId="750562CF" w14:textId="77777777" w:rsidR="0055587E" w:rsidRDefault="0055587E" w:rsidP="009C66BA">
      <w:pPr>
        <w:pStyle w:val="SMText"/>
        <w:ind w:firstLine="0"/>
        <w:jc w:val="both"/>
        <w:rPr>
          <w:rFonts w:asciiTheme="minorHAnsi" w:hAnsiTheme="minorHAnsi"/>
          <w:szCs w:val="24"/>
          <w:lang w:val="en-GB"/>
        </w:rPr>
      </w:pPr>
    </w:p>
    <w:p w14:paraId="5838D9B4" w14:textId="77777777" w:rsidR="00AE5F35" w:rsidRPr="006A5A26" w:rsidRDefault="00AE5F35" w:rsidP="003E64F5">
      <w:pPr>
        <w:jc w:val="both"/>
        <w:rPr>
          <w:rFonts w:asciiTheme="minorHAnsi" w:hAnsiTheme="minorHAnsi"/>
          <w:szCs w:val="24"/>
        </w:rPr>
      </w:pPr>
    </w:p>
    <w:p w14:paraId="74170E91" w14:textId="7D712408" w:rsidR="001B46F6" w:rsidRPr="006A5A26" w:rsidRDefault="001B46F6" w:rsidP="003E64F5">
      <w:pPr>
        <w:pStyle w:val="Caption"/>
        <w:keepNext/>
        <w:jc w:val="both"/>
        <w:rPr>
          <w:rFonts w:asciiTheme="minorHAnsi" w:hAnsiTheme="minorHAnsi" w:cs="Arial"/>
        </w:rPr>
      </w:pPr>
      <w:r w:rsidRPr="006A5A26">
        <w:rPr>
          <w:rFonts w:asciiTheme="minorHAnsi" w:hAnsiTheme="minorHAnsi" w:cs="Arial"/>
        </w:rPr>
        <w:t xml:space="preserve">Table </w:t>
      </w:r>
      <w:r w:rsidR="007D3B40" w:rsidRPr="006A5A26">
        <w:rPr>
          <w:rFonts w:asciiTheme="minorHAnsi" w:hAnsiTheme="minorHAnsi" w:cs="Arial"/>
        </w:rPr>
        <w:t>S</w:t>
      </w:r>
      <w:r w:rsidR="007C414E" w:rsidRPr="006A5A26">
        <w:rPr>
          <w:rFonts w:asciiTheme="minorHAnsi" w:hAnsiTheme="minorHAnsi" w:cs="Arial"/>
        </w:rPr>
        <w:fldChar w:fldCharType="begin"/>
      </w:r>
      <w:r w:rsidR="007C414E" w:rsidRPr="006A5A26">
        <w:rPr>
          <w:rFonts w:asciiTheme="minorHAnsi" w:hAnsiTheme="minorHAnsi" w:cs="Arial"/>
        </w:rPr>
        <w:instrText xml:space="preserve"> SEQ Table \* ARABIC </w:instrText>
      </w:r>
      <w:r w:rsidR="007C414E" w:rsidRPr="006A5A26">
        <w:rPr>
          <w:rFonts w:asciiTheme="minorHAnsi" w:hAnsiTheme="minorHAnsi" w:cs="Arial"/>
        </w:rPr>
        <w:fldChar w:fldCharType="separate"/>
      </w:r>
      <w:r w:rsidR="003D3343" w:rsidRPr="006A5A26">
        <w:rPr>
          <w:rFonts w:asciiTheme="minorHAnsi" w:hAnsiTheme="minorHAnsi" w:cs="Arial"/>
          <w:noProof/>
        </w:rPr>
        <w:t>1</w:t>
      </w:r>
      <w:r w:rsidR="007C414E" w:rsidRPr="006A5A26">
        <w:rPr>
          <w:rFonts w:asciiTheme="minorHAnsi" w:hAnsiTheme="minorHAnsi" w:cs="Arial"/>
          <w:noProof/>
        </w:rPr>
        <w:fldChar w:fldCharType="end"/>
      </w:r>
      <w:r w:rsidR="005177C4" w:rsidRPr="006A5A26">
        <w:rPr>
          <w:rFonts w:asciiTheme="minorHAnsi" w:hAnsiTheme="minorHAnsi" w:cs="Arial"/>
        </w:rPr>
        <w:t xml:space="preserve">. </w:t>
      </w:r>
      <w:r w:rsidR="00AE5F35" w:rsidRPr="006A5A26">
        <w:rPr>
          <w:rFonts w:asciiTheme="minorHAnsi" w:hAnsiTheme="minorHAnsi" w:cs="Arial"/>
        </w:rPr>
        <w:t>S</w:t>
      </w:r>
      <w:r w:rsidRPr="006A5A26">
        <w:rPr>
          <w:rFonts w:asciiTheme="minorHAnsi" w:hAnsiTheme="minorHAnsi" w:cs="Arial"/>
        </w:rPr>
        <w:t xml:space="preserve">ample </w:t>
      </w:r>
      <w:r w:rsidR="00AE5F35" w:rsidRPr="006A5A26">
        <w:rPr>
          <w:rFonts w:asciiTheme="minorHAnsi" w:hAnsiTheme="minorHAnsi" w:cs="Arial"/>
        </w:rPr>
        <w:t>c</w:t>
      </w:r>
      <w:r w:rsidRPr="006A5A26">
        <w:rPr>
          <w:rFonts w:asciiTheme="minorHAnsi" w:hAnsiTheme="minorHAnsi" w:cs="Arial"/>
        </w:rPr>
        <w:t>haracteristics</w:t>
      </w:r>
      <w:r w:rsidR="00AE5F35" w:rsidRPr="006A5A26">
        <w:rPr>
          <w:rFonts w:asciiTheme="minorHAnsi" w:hAnsiTheme="minorHAnsi" w:cs="Arial"/>
        </w:rPr>
        <w:t xml:space="preserve"> of the main study cohort.</w:t>
      </w:r>
    </w:p>
    <w:p w14:paraId="78804E73" w14:textId="77777777" w:rsidR="00AE5F35" w:rsidRPr="006A5A26" w:rsidRDefault="00AE5F35" w:rsidP="00AE5F35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774"/>
        <w:gridCol w:w="672"/>
        <w:gridCol w:w="774"/>
        <w:gridCol w:w="672"/>
        <w:gridCol w:w="774"/>
        <w:gridCol w:w="571"/>
        <w:gridCol w:w="672"/>
        <w:gridCol w:w="672"/>
      </w:tblGrid>
      <w:tr w:rsidR="00E75781" w:rsidRPr="006A5A26" w14:paraId="12BC4336" w14:textId="55009970" w:rsidTr="00AE5F35">
        <w:tc>
          <w:tcPr>
            <w:tcW w:w="0" w:type="auto"/>
          </w:tcPr>
          <w:p w14:paraId="64C87306" w14:textId="77777777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D3D30" w14:textId="28828C43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ADHD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397C5" w14:textId="0E88F3CB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Relatives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EDFFE" w14:textId="36FD5EBB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B331C" w14:textId="68C3D677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ANOVA</w:t>
            </w:r>
          </w:p>
        </w:tc>
      </w:tr>
      <w:tr w:rsidR="00E75781" w:rsidRPr="006A5A26" w14:paraId="2BE7F970" w14:textId="2FB46F59" w:rsidTr="00AE5F35">
        <w:tc>
          <w:tcPr>
            <w:tcW w:w="0" w:type="auto"/>
            <w:tcBorders>
              <w:bottom w:val="single" w:sz="4" w:space="0" w:color="auto"/>
            </w:tcBorders>
          </w:tcPr>
          <w:p w14:paraId="43897FFB" w14:textId="77777777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FF9F7F" w14:textId="5B6B21A4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968069" w14:textId="37F6852B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C91B9B" w14:textId="075F8E61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34CC84" w14:textId="77E5C4D9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96E188" w14:textId="44BDC014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5708BA" w14:textId="3E7E93DC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F6BE1C" w14:textId="520F37E8" w:rsidR="00E75781" w:rsidRPr="006A5A26" w:rsidRDefault="00E75781" w:rsidP="003E64F5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</w:pPr>
            <w:proofErr w:type="gramStart"/>
            <w:r w:rsidRPr="006A5A26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F</w:t>
            </w:r>
            <w:r w:rsidRPr="006A5A26">
              <w:rPr>
                <w:rFonts w:asciiTheme="minorHAnsi" w:hAnsiTheme="minorHAnsi" w:cs="Arial"/>
                <w:i/>
                <w:sz w:val="20"/>
                <w:szCs w:val="20"/>
                <w:vertAlign w:val="subscript"/>
                <w:lang w:val="en-GB"/>
              </w:rPr>
              <w:t>(</w:t>
            </w:r>
            <w:proofErr w:type="gramEnd"/>
            <w:r w:rsidRPr="006A5A26">
              <w:rPr>
                <w:rFonts w:asciiTheme="minorHAnsi" w:hAnsiTheme="minorHAnsi" w:cs="Arial"/>
                <w:i/>
                <w:sz w:val="20"/>
                <w:szCs w:val="20"/>
                <w:vertAlign w:val="subscript"/>
                <w:lang w:val="en-GB"/>
              </w:rPr>
              <w:t>2,57)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206952" w14:textId="608DF14B" w:rsidR="00E75781" w:rsidRPr="006A5A26" w:rsidRDefault="00E75781" w:rsidP="003E64F5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p</w:t>
            </w:r>
          </w:p>
        </w:tc>
      </w:tr>
      <w:tr w:rsidR="00E75781" w:rsidRPr="006A5A26" w14:paraId="65F8AC5C" w14:textId="4E754D46" w:rsidTr="00AE5F3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58F92D" w14:textId="0D959FF2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C3C17" w14:textId="3127F750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32.20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7A2B3A" w14:textId="6547878F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10.31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D926FC" w14:textId="04286E71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38.85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B9865D" w14:textId="1E219156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15.31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645815" w14:textId="6122445D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32.55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93DD3E" w14:textId="3E2F627D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B9B7588" w14:textId="2CE09FF1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2.245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225225" w14:textId="10CF70DB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0.115</w:t>
            </w:r>
          </w:p>
        </w:tc>
      </w:tr>
      <w:tr w:rsidR="00E75781" w:rsidRPr="006A5A26" w14:paraId="318DBC8B" w14:textId="10B61582" w:rsidTr="00AE49E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F929FB" w14:textId="250F888D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Gender (%</w:t>
            </w:r>
            <w:r w:rsidR="000A415C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females</w:t>
            </w: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CC2C84" w14:textId="47BA576B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D4B5D9" w14:textId="77777777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50FCE8" w14:textId="00B773A9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31729" w14:textId="77777777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9C79A7" w14:textId="18DCDA03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F3DBF4" w14:textId="77777777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49E2C7" w14:textId="6F614D43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2.905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63DB51" w14:textId="01293783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0.063</w:t>
            </w:r>
          </w:p>
        </w:tc>
      </w:tr>
      <w:tr w:rsidR="00E75781" w:rsidRPr="006A5A26" w14:paraId="3D527051" w14:textId="75E18A04" w:rsidTr="00AE49E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E894" w14:textId="45AD5391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NART Full IQ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954590" w14:textId="6BA460BB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115.26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9A904F" w14:textId="0E247611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6.15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9F0F39" w14:textId="4B08877D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116.59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17E674" w14:textId="2142B070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F0EDCC" w14:textId="7E9CF781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119.49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DF761D" w14:textId="66D008A5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3.27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C3098F" w14:textId="082B2311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3.679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78A241" w14:textId="1CABAEF9" w:rsidR="00E75781" w:rsidRPr="006A5A26" w:rsidRDefault="00E75781" w:rsidP="003E64F5">
            <w:pPr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0.031</w:t>
            </w:r>
          </w:p>
        </w:tc>
      </w:tr>
    </w:tbl>
    <w:p w14:paraId="55900472" w14:textId="77777777" w:rsidR="008A0EC5" w:rsidRPr="006A5A26" w:rsidRDefault="008A0EC5" w:rsidP="003E64F5">
      <w:pPr>
        <w:pStyle w:val="SMText"/>
        <w:ind w:firstLine="0"/>
        <w:jc w:val="both"/>
        <w:rPr>
          <w:rFonts w:asciiTheme="minorHAnsi" w:hAnsiTheme="minorHAnsi" w:cs="Arial"/>
          <w:szCs w:val="24"/>
          <w:lang w:val="en-GB"/>
        </w:rPr>
      </w:pPr>
    </w:p>
    <w:p w14:paraId="110779BC" w14:textId="6410E504" w:rsidR="008A0EC5" w:rsidRPr="006A5A26" w:rsidRDefault="00C12FE8" w:rsidP="00300CBF">
      <w:pPr>
        <w:pStyle w:val="SMHeading"/>
        <w:rPr>
          <w:rFonts w:asciiTheme="minorHAnsi" w:hAnsiTheme="minorHAnsi"/>
          <w:lang w:val="en-GB"/>
        </w:rPr>
      </w:pPr>
      <w:bookmarkStart w:id="4" w:name="_Toc19027153"/>
      <w:r w:rsidRPr="006A5A26">
        <w:rPr>
          <w:rFonts w:asciiTheme="minorHAnsi" w:hAnsiTheme="minorHAnsi"/>
          <w:lang w:val="en-GB"/>
        </w:rPr>
        <w:t>Clinical Assessment</w:t>
      </w:r>
      <w:bookmarkEnd w:id="4"/>
    </w:p>
    <w:p w14:paraId="7E93CD4E" w14:textId="72194CE4" w:rsidR="005127F9" w:rsidRDefault="005127F9" w:rsidP="005127F9"/>
    <w:p w14:paraId="72D04C8C" w14:textId="191FF2B8" w:rsidR="005127F9" w:rsidRPr="005127F9" w:rsidRDefault="001C543C" w:rsidP="00861DD6">
      <w:pPr>
        <w:jc w:val="both"/>
        <w:rPr>
          <w:rFonts w:asciiTheme="minorHAnsi" w:hAnsiTheme="minorHAnsi"/>
          <w:szCs w:val="24"/>
          <w:lang w:val="en-GB"/>
        </w:rPr>
      </w:pPr>
      <w:r>
        <w:rPr>
          <w:rFonts w:asciiTheme="minorHAnsi" w:hAnsiTheme="minorHAnsi"/>
          <w:szCs w:val="24"/>
        </w:rPr>
        <w:t xml:space="preserve">In the main study cohort, ADHD symptomatology was assessed using the </w:t>
      </w:r>
      <w:r w:rsidR="005127F9" w:rsidRPr="005127F9">
        <w:rPr>
          <w:rFonts w:asciiTheme="minorHAnsi" w:hAnsiTheme="minorHAnsi"/>
          <w:szCs w:val="24"/>
          <w:lang w:val="en-GB"/>
        </w:rPr>
        <w:t xml:space="preserve">Barkley Adult ADHD Rating Scale </w:t>
      </w:r>
      <w:r w:rsidR="00154C2D">
        <w:rPr>
          <w:rFonts w:asciiTheme="minorHAnsi" w:hAnsiTheme="minorHAnsi"/>
          <w:szCs w:val="24"/>
          <w:lang w:val="en-GB"/>
        </w:rPr>
        <w:t xml:space="preserve">Version </w:t>
      </w:r>
      <w:r w:rsidR="005127F9" w:rsidRPr="005127F9">
        <w:rPr>
          <w:rFonts w:asciiTheme="minorHAnsi" w:hAnsiTheme="minorHAnsi"/>
          <w:szCs w:val="24"/>
          <w:lang w:val="en-GB"/>
        </w:rPr>
        <w:t>IV</w:t>
      </w:r>
      <w:r w:rsidR="0055587E">
        <w:rPr>
          <w:rFonts w:asciiTheme="minorHAnsi" w:hAnsiTheme="minorHAnsi"/>
          <w:szCs w:val="24"/>
          <w:lang w:val="en-GB"/>
        </w:rPr>
        <w:t xml:space="preserve"> (BAARS-IV)</w:t>
      </w:r>
      <w:r>
        <w:rPr>
          <w:rFonts w:asciiTheme="minorHAnsi" w:hAnsiTheme="minorHAnsi"/>
          <w:szCs w:val="24"/>
          <w:lang w:val="en-GB"/>
        </w:rPr>
        <w:t>. BAARS-IV</w:t>
      </w:r>
      <w:r w:rsidR="005127F9" w:rsidRPr="005127F9">
        <w:rPr>
          <w:rFonts w:asciiTheme="minorHAnsi" w:hAnsiTheme="minorHAnsi"/>
          <w:szCs w:val="24"/>
          <w:lang w:val="en-GB"/>
        </w:rPr>
        <w:t xml:space="preserve"> is a screening tool t</w:t>
      </w:r>
      <w:r w:rsidR="00154C2D">
        <w:rPr>
          <w:rFonts w:asciiTheme="minorHAnsi" w:hAnsiTheme="minorHAnsi"/>
          <w:szCs w:val="24"/>
          <w:lang w:val="en-GB"/>
        </w:rPr>
        <w:t>hat examines</w:t>
      </w:r>
      <w:r w:rsidR="005127F9" w:rsidRPr="005127F9">
        <w:rPr>
          <w:rFonts w:asciiTheme="minorHAnsi" w:hAnsiTheme="minorHAnsi"/>
          <w:szCs w:val="24"/>
          <w:lang w:val="en-GB"/>
        </w:rPr>
        <w:t xml:space="preserve"> symptoms and dysfunctions associated with ADHD</w:t>
      </w:r>
      <w:r w:rsidR="00154C2D">
        <w:rPr>
          <w:rFonts w:asciiTheme="minorHAnsi" w:hAnsiTheme="minorHAnsi"/>
          <w:szCs w:val="24"/>
          <w:lang w:val="en-GB"/>
        </w:rPr>
        <w:t xml:space="preserve">, </w:t>
      </w:r>
      <w:r w:rsidR="005127F9" w:rsidRPr="005127F9">
        <w:rPr>
          <w:rFonts w:asciiTheme="minorHAnsi" w:hAnsiTheme="minorHAnsi"/>
          <w:szCs w:val="24"/>
          <w:lang w:val="en-GB"/>
        </w:rPr>
        <w:t xml:space="preserve">based on the </w:t>
      </w:r>
      <w:r w:rsidR="0055587E">
        <w:rPr>
          <w:rFonts w:asciiTheme="minorHAnsi" w:hAnsiTheme="minorHAnsi"/>
          <w:szCs w:val="24"/>
          <w:lang w:val="en-GB"/>
        </w:rPr>
        <w:t>Diagnostic and Statistical Manual of Mental Disorders Version IV (</w:t>
      </w:r>
      <w:r w:rsidR="005127F9" w:rsidRPr="005127F9">
        <w:rPr>
          <w:rFonts w:asciiTheme="minorHAnsi" w:hAnsiTheme="minorHAnsi"/>
          <w:szCs w:val="24"/>
          <w:lang w:val="en-GB"/>
        </w:rPr>
        <w:t>DSM-IV</w:t>
      </w:r>
      <w:r w:rsidR="0055587E">
        <w:rPr>
          <w:rFonts w:asciiTheme="minorHAnsi" w:hAnsiTheme="minorHAnsi"/>
          <w:szCs w:val="24"/>
          <w:lang w:val="en-GB"/>
        </w:rPr>
        <w:t>)</w:t>
      </w:r>
      <w:r w:rsidR="005127F9" w:rsidRPr="005127F9">
        <w:rPr>
          <w:rFonts w:asciiTheme="minorHAnsi" w:hAnsiTheme="minorHAnsi"/>
          <w:szCs w:val="24"/>
          <w:lang w:val="en-GB"/>
        </w:rPr>
        <w:t xml:space="preserve">. The scale includes separate forms for </w:t>
      </w:r>
      <w:r w:rsidR="00154C2D">
        <w:rPr>
          <w:rFonts w:asciiTheme="minorHAnsi" w:hAnsiTheme="minorHAnsi"/>
          <w:szCs w:val="24"/>
          <w:lang w:val="en-GB"/>
        </w:rPr>
        <w:t xml:space="preserve">both </w:t>
      </w:r>
      <w:r w:rsidR="005127F9" w:rsidRPr="005127F9">
        <w:rPr>
          <w:rFonts w:asciiTheme="minorHAnsi" w:hAnsiTheme="minorHAnsi"/>
          <w:szCs w:val="24"/>
          <w:lang w:val="en-GB"/>
        </w:rPr>
        <w:t xml:space="preserve">childhood and current symptoms </w:t>
      </w:r>
      <w:r w:rsidR="0055587E">
        <w:rPr>
          <w:rFonts w:asciiTheme="minorHAnsi" w:hAnsiTheme="minorHAnsi"/>
          <w:szCs w:val="24"/>
          <w:lang w:val="en-GB"/>
        </w:rPr>
        <w:t>(</w:t>
      </w:r>
      <w:r w:rsidR="00154C2D">
        <w:rPr>
          <w:rFonts w:asciiTheme="minorHAnsi" w:hAnsiTheme="minorHAnsi"/>
          <w:szCs w:val="24"/>
          <w:lang w:val="en-GB"/>
        </w:rPr>
        <w:t xml:space="preserve">i.e. </w:t>
      </w:r>
      <w:r w:rsidR="005127F9" w:rsidRPr="005127F9">
        <w:rPr>
          <w:rFonts w:asciiTheme="minorHAnsi" w:hAnsiTheme="minorHAnsi"/>
          <w:szCs w:val="24"/>
          <w:lang w:val="en-GB"/>
        </w:rPr>
        <w:t>within the past 6 months</w:t>
      </w:r>
      <w:r w:rsidR="0055587E">
        <w:rPr>
          <w:rFonts w:asciiTheme="minorHAnsi" w:hAnsiTheme="minorHAnsi"/>
          <w:szCs w:val="24"/>
          <w:lang w:val="en-GB"/>
        </w:rPr>
        <w:t>)</w:t>
      </w:r>
      <w:r w:rsidR="005127F9" w:rsidRPr="005127F9">
        <w:rPr>
          <w:rFonts w:asciiTheme="minorHAnsi" w:hAnsiTheme="minorHAnsi"/>
          <w:szCs w:val="24"/>
          <w:lang w:val="en-GB"/>
        </w:rPr>
        <w:t xml:space="preserve">. The symptoms are rated on a 4-point scale across 18 items </w:t>
      </w:r>
      <w:r w:rsidR="00154C2D">
        <w:rPr>
          <w:rFonts w:asciiTheme="minorHAnsi" w:hAnsiTheme="minorHAnsi"/>
          <w:szCs w:val="24"/>
          <w:lang w:val="en-GB"/>
        </w:rPr>
        <w:t>in which</w:t>
      </w:r>
      <w:r w:rsidR="005127F9" w:rsidRPr="005127F9">
        <w:rPr>
          <w:rFonts w:asciiTheme="minorHAnsi" w:hAnsiTheme="minorHAnsi"/>
          <w:szCs w:val="24"/>
          <w:lang w:val="en-GB"/>
        </w:rPr>
        <w:t xml:space="preserve"> </w:t>
      </w:r>
      <w:r w:rsidR="00154C2D">
        <w:rPr>
          <w:rFonts w:asciiTheme="minorHAnsi" w:hAnsiTheme="minorHAnsi"/>
          <w:szCs w:val="24"/>
          <w:lang w:val="en-GB"/>
        </w:rPr>
        <w:t xml:space="preserve">the ratings of </w:t>
      </w:r>
      <w:r w:rsidR="00861DD6">
        <w:rPr>
          <w:rFonts w:asciiTheme="minorHAnsi" w:hAnsiTheme="minorHAnsi"/>
          <w:szCs w:val="24"/>
          <w:lang w:val="en-GB"/>
        </w:rPr>
        <w:t>“</w:t>
      </w:r>
      <w:r w:rsidR="005127F9" w:rsidRPr="005127F9">
        <w:rPr>
          <w:rFonts w:asciiTheme="minorHAnsi" w:hAnsiTheme="minorHAnsi"/>
          <w:szCs w:val="24"/>
          <w:lang w:val="en-GB"/>
        </w:rPr>
        <w:t xml:space="preserve">Often </w:t>
      </w:r>
      <w:r w:rsidR="00154C2D">
        <w:rPr>
          <w:rFonts w:asciiTheme="minorHAnsi" w:hAnsiTheme="minorHAnsi"/>
          <w:szCs w:val="24"/>
          <w:lang w:val="en-GB"/>
        </w:rPr>
        <w:t>[</w:t>
      </w:r>
      <w:r w:rsidR="005127F9" w:rsidRPr="005127F9">
        <w:rPr>
          <w:rFonts w:asciiTheme="minorHAnsi" w:hAnsiTheme="minorHAnsi"/>
          <w:szCs w:val="24"/>
          <w:lang w:val="en-GB"/>
        </w:rPr>
        <w:t>3</w:t>
      </w:r>
      <w:r w:rsidR="00154C2D">
        <w:rPr>
          <w:rFonts w:asciiTheme="minorHAnsi" w:hAnsiTheme="minorHAnsi"/>
          <w:szCs w:val="24"/>
          <w:lang w:val="en-GB"/>
        </w:rPr>
        <w:t>]</w:t>
      </w:r>
      <w:r w:rsidR="00861DD6">
        <w:rPr>
          <w:rFonts w:asciiTheme="minorHAnsi" w:hAnsiTheme="minorHAnsi"/>
          <w:szCs w:val="24"/>
          <w:lang w:val="en-GB"/>
        </w:rPr>
        <w:t>”</w:t>
      </w:r>
      <w:r w:rsidR="005127F9" w:rsidRPr="005127F9">
        <w:rPr>
          <w:rFonts w:asciiTheme="minorHAnsi" w:hAnsiTheme="minorHAnsi"/>
          <w:szCs w:val="24"/>
          <w:lang w:val="en-GB"/>
        </w:rPr>
        <w:t xml:space="preserve"> and </w:t>
      </w:r>
      <w:r w:rsidR="00861DD6">
        <w:rPr>
          <w:rFonts w:asciiTheme="minorHAnsi" w:hAnsiTheme="minorHAnsi"/>
          <w:szCs w:val="24"/>
          <w:lang w:val="en-GB"/>
        </w:rPr>
        <w:t>“</w:t>
      </w:r>
      <w:r w:rsidR="005127F9" w:rsidRPr="005127F9">
        <w:rPr>
          <w:rFonts w:asciiTheme="minorHAnsi" w:hAnsiTheme="minorHAnsi"/>
          <w:szCs w:val="24"/>
          <w:lang w:val="en-GB"/>
        </w:rPr>
        <w:t xml:space="preserve">Very Often </w:t>
      </w:r>
      <w:r w:rsidR="00154C2D">
        <w:rPr>
          <w:rFonts w:asciiTheme="minorHAnsi" w:hAnsiTheme="minorHAnsi"/>
          <w:szCs w:val="24"/>
          <w:lang w:val="en-GB"/>
        </w:rPr>
        <w:t>[</w:t>
      </w:r>
      <w:r w:rsidR="005127F9" w:rsidRPr="005127F9">
        <w:rPr>
          <w:rFonts w:asciiTheme="minorHAnsi" w:hAnsiTheme="minorHAnsi"/>
          <w:szCs w:val="24"/>
          <w:lang w:val="en-GB"/>
        </w:rPr>
        <w:t>4</w:t>
      </w:r>
      <w:r w:rsidR="00154C2D">
        <w:rPr>
          <w:rFonts w:asciiTheme="minorHAnsi" w:hAnsiTheme="minorHAnsi"/>
          <w:szCs w:val="24"/>
          <w:lang w:val="en-GB"/>
        </w:rPr>
        <w:t>]</w:t>
      </w:r>
      <w:r w:rsidR="00861DD6">
        <w:rPr>
          <w:rFonts w:asciiTheme="minorHAnsi" w:hAnsiTheme="minorHAnsi"/>
          <w:szCs w:val="24"/>
          <w:lang w:val="en-GB"/>
        </w:rPr>
        <w:t>”</w:t>
      </w:r>
      <w:r w:rsidR="005127F9" w:rsidRPr="005127F9">
        <w:rPr>
          <w:rFonts w:asciiTheme="minorHAnsi" w:hAnsiTheme="minorHAnsi"/>
          <w:szCs w:val="24"/>
          <w:lang w:val="en-GB"/>
        </w:rPr>
        <w:t xml:space="preserve"> denot</w:t>
      </w:r>
      <w:r w:rsidR="00154C2D">
        <w:rPr>
          <w:rFonts w:asciiTheme="minorHAnsi" w:hAnsiTheme="minorHAnsi"/>
          <w:szCs w:val="24"/>
          <w:lang w:val="en-GB"/>
        </w:rPr>
        <w:t>e</w:t>
      </w:r>
      <w:r w:rsidR="005127F9" w:rsidRPr="005127F9">
        <w:rPr>
          <w:rFonts w:asciiTheme="minorHAnsi" w:hAnsiTheme="minorHAnsi"/>
          <w:szCs w:val="24"/>
          <w:lang w:val="en-GB"/>
        </w:rPr>
        <w:t xml:space="preserve"> the number of symptoms, while the total scores indicate the total symptom</w:t>
      </w:r>
      <w:r w:rsidR="00EB1E03">
        <w:rPr>
          <w:rFonts w:asciiTheme="minorHAnsi" w:hAnsiTheme="minorHAnsi"/>
          <w:szCs w:val="24"/>
          <w:lang w:val="en-GB"/>
        </w:rPr>
        <w:t xml:space="preserve"> score</w:t>
      </w:r>
      <w:r w:rsidR="005127F9" w:rsidRPr="005127F9">
        <w:rPr>
          <w:rFonts w:asciiTheme="minorHAnsi" w:hAnsiTheme="minorHAnsi"/>
          <w:szCs w:val="24"/>
          <w:lang w:val="en-GB"/>
        </w:rPr>
        <w:t xml:space="preserve"> rating</w:t>
      </w:r>
      <w:r>
        <w:rPr>
          <w:rFonts w:asciiTheme="minorHAnsi" w:hAnsiTheme="minorHAnsi"/>
          <w:szCs w:val="24"/>
          <w:lang w:val="en-GB"/>
        </w:rPr>
        <w:t>s</w:t>
      </w:r>
      <w:r w:rsidR="005127F9" w:rsidRPr="005127F9">
        <w:rPr>
          <w:rFonts w:asciiTheme="minorHAnsi" w:hAnsiTheme="minorHAnsi"/>
          <w:szCs w:val="24"/>
          <w:lang w:val="en-GB"/>
        </w:rPr>
        <w:t xml:space="preserve"> </w:t>
      </w:r>
      <w:r w:rsidR="005127F9" w:rsidRPr="005127F9">
        <w:rPr>
          <w:rFonts w:asciiTheme="minorHAnsi" w:hAnsiTheme="minorHAnsi"/>
          <w:szCs w:val="24"/>
          <w:lang w:val="en-GB"/>
        </w:rPr>
        <w:fldChar w:fldCharType="begin"/>
      </w:r>
      <w:r w:rsidR="005127F9" w:rsidRPr="005127F9">
        <w:rPr>
          <w:rFonts w:asciiTheme="minorHAnsi" w:hAnsiTheme="minorHAnsi"/>
          <w:szCs w:val="24"/>
          <w:lang w:val="en-GB"/>
        </w:rPr>
        <w:instrText xml:space="preserve"> ADDIN EN.CITE &lt;EndNote&gt;&lt;Cite&gt;&lt;Author&gt;Barkley&lt;/Author&gt;&lt;Year&gt;2011&lt;/Year&gt;&lt;RecNum&gt;814&lt;/RecNum&gt;&lt;DisplayText&gt;(Barkley, 2011)&lt;/DisplayText&gt;&lt;record&gt;&lt;rec-number&gt;814&lt;/rec-number&gt;&lt;foreign-keys&gt;&lt;key app="EN" db-id="020e52pzwwaw2fe0fe6v5w9udtr9zsrrrwa5" timestamp="1547095808" guid="83907196-bdee-4c13-8be9-d7dc5918c146"&gt;814&lt;/key&gt;&lt;/foreign-keys&gt;&lt;ref-type name="Book"&gt;6&lt;/ref-type&gt;&lt;contributors&gt;&lt;authors&gt;&lt;author&gt;Barkley, Russell A.&lt;/author&gt;&lt;/authors&gt;&lt;/contributors&gt;&lt;titles&gt;&lt;title&gt;Barkley Adult ADHD Rating Scale-IV (BAARS-IV)&lt;/title&gt;&lt;/titles&gt;&lt;pages&gt;ix, 150 p.&lt;/pages&gt;&lt;keywords&gt;&lt;keyword&gt;Attention-deficit disorder in adults Diagnosis.&lt;/keyword&gt;&lt;keyword&gt;Neuropsychological tests.&lt;/keyword&gt;&lt;keyword&gt;Adult.&lt;/keyword&gt;&lt;keyword&gt;Attention Deficit Disorder with Hyperactivity diagnosis.&lt;/keyword&gt;&lt;keyword&gt;Behavioral Symptoms.&lt;/keyword&gt;&lt;keyword&gt;Psychiatric Status Rating Scales.&lt;/keyword&gt;&lt;keyword&gt;Research Design.&lt;/keyword&gt;&lt;/keywords&gt;&lt;dates&gt;&lt;year&gt;2011&lt;/year&gt;&lt;/dates&gt;&lt;pub-location&gt;New York&lt;/pub-location&gt;&lt;publisher&gt;Guilford Press&lt;/publisher&gt;&lt;isbn&gt;9781609182038 (pbk. alk. paper)&lt;/isbn&gt;&lt;accession-num&gt;16518069&lt;/accession-num&gt;&lt;call-num&gt;RC394.A85 B383 2011&lt;/call-num&gt;&lt;urls&gt;&lt;/urls&gt;&lt;/record&gt;&lt;/Cite&gt;&lt;/EndNote&gt;</w:instrText>
      </w:r>
      <w:r w:rsidR="005127F9" w:rsidRPr="005127F9">
        <w:rPr>
          <w:rFonts w:asciiTheme="minorHAnsi" w:hAnsiTheme="minorHAnsi"/>
          <w:szCs w:val="24"/>
          <w:lang w:val="en-GB"/>
        </w:rPr>
        <w:fldChar w:fldCharType="separate"/>
      </w:r>
      <w:r w:rsidR="005127F9" w:rsidRPr="005127F9">
        <w:rPr>
          <w:rFonts w:asciiTheme="minorHAnsi" w:hAnsiTheme="minorHAnsi"/>
          <w:szCs w:val="24"/>
          <w:lang w:val="en-GB"/>
        </w:rPr>
        <w:t>(</w:t>
      </w:r>
      <w:hyperlink w:anchor="_ENREF_2" w:tooltip="Barkley, 2011 #814" w:history="1">
        <w:r w:rsidR="00293050" w:rsidRPr="005127F9">
          <w:rPr>
            <w:rFonts w:asciiTheme="minorHAnsi" w:hAnsiTheme="minorHAnsi"/>
            <w:szCs w:val="24"/>
            <w:lang w:val="en-GB"/>
          </w:rPr>
          <w:t>Barkley, 2011</w:t>
        </w:r>
      </w:hyperlink>
      <w:r w:rsidR="005127F9" w:rsidRPr="005127F9">
        <w:rPr>
          <w:rFonts w:asciiTheme="minorHAnsi" w:hAnsiTheme="minorHAnsi"/>
          <w:szCs w:val="24"/>
          <w:lang w:val="en-GB"/>
        </w:rPr>
        <w:t>)</w:t>
      </w:r>
      <w:r w:rsidR="005127F9" w:rsidRPr="005127F9">
        <w:rPr>
          <w:rFonts w:asciiTheme="minorHAnsi" w:hAnsiTheme="minorHAnsi"/>
          <w:szCs w:val="24"/>
          <w:lang w:val="en-GB"/>
        </w:rPr>
        <w:fldChar w:fldCharType="end"/>
      </w:r>
      <w:r w:rsidR="005127F9" w:rsidRPr="005127F9">
        <w:rPr>
          <w:rFonts w:asciiTheme="minorHAnsi" w:hAnsiTheme="minorHAnsi"/>
          <w:szCs w:val="24"/>
          <w:lang w:val="en-GB"/>
        </w:rPr>
        <w:t xml:space="preserve">. The self-report </w:t>
      </w:r>
      <w:r w:rsidR="00154C2D">
        <w:rPr>
          <w:rFonts w:asciiTheme="minorHAnsi" w:hAnsiTheme="minorHAnsi"/>
          <w:szCs w:val="24"/>
          <w:lang w:val="en-GB"/>
        </w:rPr>
        <w:t>BAARS</w:t>
      </w:r>
      <w:r w:rsidR="00861DD6">
        <w:rPr>
          <w:rFonts w:asciiTheme="minorHAnsi" w:hAnsiTheme="minorHAnsi"/>
          <w:szCs w:val="24"/>
          <w:lang w:val="en-GB"/>
        </w:rPr>
        <w:t>-IV</w:t>
      </w:r>
      <w:r w:rsidR="00154C2D">
        <w:rPr>
          <w:rFonts w:asciiTheme="minorHAnsi" w:hAnsiTheme="minorHAnsi"/>
          <w:szCs w:val="24"/>
          <w:lang w:val="en-GB"/>
        </w:rPr>
        <w:t xml:space="preserve"> </w:t>
      </w:r>
      <w:r w:rsidR="005127F9" w:rsidRPr="005127F9">
        <w:rPr>
          <w:rFonts w:asciiTheme="minorHAnsi" w:hAnsiTheme="minorHAnsi"/>
          <w:szCs w:val="24"/>
          <w:lang w:val="en-GB"/>
        </w:rPr>
        <w:t xml:space="preserve">current </w:t>
      </w:r>
      <w:r w:rsidR="00EB1E03">
        <w:rPr>
          <w:rFonts w:asciiTheme="minorHAnsi" w:hAnsiTheme="minorHAnsi"/>
          <w:szCs w:val="24"/>
          <w:lang w:val="en-GB"/>
        </w:rPr>
        <w:t xml:space="preserve">total </w:t>
      </w:r>
      <w:r w:rsidR="005127F9" w:rsidRPr="005127F9">
        <w:rPr>
          <w:rFonts w:asciiTheme="minorHAnsi" w:hAnsiTheme="minorHAnsi"/>
          <w:szCs w:val="24"/>
          <w:lang w:val="en-GB"/>
        </w:rPr>
        <w:t>symptom scores were employed in this study.</w:t>
      </w:r>
    </w:p>
    <w:p w14:paraId="3C158767" w14:textId="77777777" w:rsidR="005127F9" w:rsidRPr="005127F9" w:rsidRDefault="005127F9" w:rsidP="005127F9">
      <w:pPr>
        <w:rPr>
          <w:rFonts w:asciiTheme="minorHAnsi" w:hAnsiTheme="minorHAnsi"/>
          <w:szCs w:val="24"/>
          <w:lang w:val="en-GB"/>
        </w:rPr>
      </w:pPr>
    </w:p>
    <w:p w14:paraId="16E161C7" w14:textId="1B28D3DF" w:rsidR="00AE49E9" w:rsidRDefault="00AE49E9" w:rsidP="003E64F5">
      <w:pPr>
        <w:pStyle w:val="SMText"/>
        <w:ind w:firstLine="0"/>
        <w:jc w:val="both"/>
        <w:rPr>
          <w:rFonts w:asciiTheme="minorHAnsi" w:hAnsiTheme="minorHAnsi"/>
          <w:szCs w:val="24"/>
          <w:lang w:val="en-GB"/>
        </w:rPr>
      </w:pPr>
      <w:r w:rsidRPr="006A5A26">
        <w:rPr>
          <w:rFonts w:asciiTheme="minorHAnsi" w:hAnsiTheme="minorHAnsi"/>
          <w:szCs w:val="24"/>
          <w:lang w:val="en-GB"/>
        </w:rPr>
        <w:lastRenderedPageBreak/>
        <w:t xml:space="preserve">Table </w:t>
      </w:r>
      <w:r w:rsidR="001C543C">
        <w:rPr>
          <w:rFonts w:asciiTheme="minorHAnsi" w:hAnsiTheme="minorHAnsi"/>
          <w:szCs w:val="24"/>
          <w:lang w:val="en-GB"/>
        </w:rPr>
        <w:t>S</w:t>
      </w:r>
      <w:r w:rsidRPr="006A5A26">
        <w:rPr>
          <w:rFonts w:asciiTheme="minorHAnsi" w:hAnsiTheme="minorHAnsi"/>
          <w:szCs w:val="24"/>
          <w:lang w:val="en-GB"/>
        </w:rPr>
        <w:t>2 summarises the differences in BAARS</w:t>
      </w:r>
      <w:r w:rsidR="00861DD6">
        <w:rPr>
          <w:rFonts w:asciiTheme="minorHAnsi" w:hAnsiTheme="minorHAnsi"/>
          <w:szCs w:val="24"/>
          <w:lang w:val="en-GB"/>
        </w:rPr>
        <w:t>-IV</w:t>
      </w:r>
      <w:r w:rsidRPr="006A5A26">
        <w:rPr>
          <w:rFonts w:asciiTheme="minorHAnsi" w:hAnsiTheme="minorHAnsi"/>
          <w:szCs w:val="24"/>
          <w:lang w:val="en-GB"/>
        </w:rPr>
        <w:t xml:space="preserve"> clinical symptom</w:t>
      </w:r>
      <w:r w:rsidR="001C543C">
        <w:rPr>
          <w:rFonts w:asciiTheme="minorHAnsi" w:hAnsiTheme="minorHAnsi"/>
          <w:szCs w:val="24"/>
          <w:lang w:val="en-GB"/>
        </w:rPr>
        <w:t xml:space="preserve"> scores</w:t>
      </w:r>
      <w:r w:rsidRPr="006A5A26">
        <w:rPr>
          <w:rFonts w:asciiTheme="minorHAnsi" w:hAnsiTheme="minorHAnsi"/>
          <w:szCs w:val="24"/>
          <w:lang w:val="en-GB"/>
        </w:rPr>
        <w:t xml:space="preserve"> across groups that was significant at the multivariate level using Wilk Lambda test (</w:t>
      </w:r>
      <w:proofErr w:type="gramStart"/>
      <w:r w:rsidRPr="0055587E">
        <w:rPr>
          <w:rFonts w:asciiTheme="minorHAnsi" w:hAnsiTheme="minorHAnsi"/>
          <w:i/>
          <w:iCs/>
          <w:szCs w:val="24"/>
          <w:lang w:val="en-GB"/>
        </w:rPr>
        <w:t>F</w:t>
      </w:r>
      <w:r w:rsidRPr="0055587E">
        <w:rPr>
          <w:rFonts w:asciiTheme="minorHAnsi" w:hAnsiTheme="minorHAnsi"/>
          <w:i/>
          <w:iCs/>
          <w:szCs w:val="24"/>
          <w:vertAlign w:val="subscript"/>
          <w:lang w:val="en-GB"/>
        </w:rPr>
        <w:t>(</w:t>
      </w:r>
      <w:proofErr w:type="gramEnd"/>
      <w:r w:rsidRPr="0055587E">
        <w:rPr>
          <w:rFonts w:asciiTheme="minorHAnsi" w:hAnsiTheme="minorHAnsi"/>
          <w:i/>
          <w:iCs/>
          <w:szCs w:val="24"/>
          <w:vertAlign w:val="subscript"/>
          <w:lang w:val="en-GB"/>
        </w:rPr>
        <w:t>4,106)</w:t>
      </w:r>
      <w:r w:rsidRPr="006A5A26">
        <w:rPr>
          <w:rFonts w:asciiTheme="minorHAnsi" w:hAnsiTheme="minorHAnsi"/>
          <w:szCs w:val="24"/>
          <w:vertAlign w:val="subscript"/>
          <w:lang w:val="en-GB"/>
        </w:rPr>
        <w:t xml:space="preserve"> </w:t>
      </w:r>
      <w:r w:rsidRPr="006A5A26">
        <w:rPr>
          <w:rFonts w:asciiTheme="minorHAnsi" w:hAnsiTheme="minorHAnsi"/>
          <w:szCs w:val="24"/>
          <w:lang w:val="en-GB"/>
        </w:rPr>
        <w:t xml:space="preserve">= 22.459, </w:t>
      </w:r>
      <w:r w:rsidRPr="006A5A26">
        <w:rPr>
          <w:rFonts w:asciiTheme="minorHAnsi" w:hAnsiTheme="minorHAnsi"/>
          <w:i/>
          <w:szCs w:val="24"/>
          <w:lang w:val="en-GB"/>
        </w:rPr>
        <w:t>p</w:t>
      </w:r>
      <w:r w:rsidRPr="006A5A26">
        <w:rPr>
          <w:rFonts w:asciiTheme="minorHAnsi" w:hAnsiTheme="minorHAnsi"/>
          <w:szCs w:val="24"/>
          <w:lang w:val="en-GB"/>
        </w:rPr>
        <w:t xml:space="preserve"> &lt; 0.001). Univariate AN</w:t>
      </w:r>
      <w:r w:rsidR="00154C2D">
        <w:rPr>
          <w:rFonts w:asciiTheme="minorHAnsi" w:hAnsiTheme="minorHAnsi"/>
          <w:szCs w:val="24"/>
          <w:lang w:val="en-GB"/>
        </w:rPr>
        <w:t>C</w:t>
      </w:r>
      <w:r w:rsidRPr="006A5A26">
        <w:rPr>
          <w:rFonts w:asciiTheme="minorHAnsi" w:hAnsiTheme="minorHAnsi"/>
          <w:szCs w:val="24"/>
          <w:lang w:val="en-GB"/>
        </w:rPr>
        <w:t>OVAs and post-hoc t-tests revealed that for all measures, the ADHD probands differed significantly from both their first-degree relatives (</w:t>
      </w:r>
      <w:r w:rsidRPr="006A5A26">
        <w:rPr>
          <w:rFonts w:asciiTheme="minorHAnsi" w:hAnsiTheme="minorHAnsi"/>
          <w:i/>
          <w:szCs w:val="24"/>
          <w:lang w:val="en-GB"/>
        </w:rPr>
        <w:t>p</w:t>
      </w:r>
      <w:r w:rsidRPr="006A5A26">
        <w:rPr>
          <w:rFonts w:asciiTheme="minorHAnsi" w:hAnsiTheme="minorHAnsi"/>
          <w:szCs w:val="24"/>
          <w:lang w:val="en-GB"/>
        </w:rPr>
        <w:t xml:space="preserve"> &lt; 0.001) and healthy controls (</w:t>
      </w:r>
      <w:r w:rsidRPr="006A5A26">
        <w:rPr>
          <w:rFonts w:asciiTheme="minorHAnsi" w:hAnsiTheme="minorHAnsi"/>
          <w:i/>
          <w:szCs w:val="24"/>
          <w:lang w:val="en-GB"/>
        </w:rPr>
        <w:t>p</w:t>
      </w:r>
      <w:r w:rsidRPr="006A5A26">
        <w:rPr>
          <w:rFonts w:asciiTheme="minorHAnsi" w:hAnsiTheme="minorHAnsi"/>
          <w:szCs w:val="24"/>
          <w:lang w:val="en-GB"/>
        </w:rPr>
        <w:t xml:space="preserve"> &lt; 0.001); however, the latter two groups did not show a significant difference (</w:t>
      </w:r>
      <w:r w:rsidRPr="006A5A26">
        <w:rPr>
          <w:rFonts w:asciiTheme="minorHAnsi" w:hAnsiTheme="minorHAnsi"/>
          <w:i/>
          <w:szCs w:val="24"/>
          <w:lang w:val="en-GB"/>
        </w:rPr>
        <w:t>p</w:t>
      </w:r>
      <w:r w:rsidRPr="006A5A26">
        <w:rPr>
          <w:rFonts w:asciiTheme="minorHAnsi" w:hAnsiTheme="minorHAnsi"/>
          <w:szCs w:val="24"/>
          <w:lang w:val="en-GB"/>
        </w:rPr>
        <w:t xml:space="preserve"> &gt; 0.05). Given their high correlation with each other, the BAARS</w:t>
      </w:r>
      <w:r w:rsidR="00861DD6">
        <w:rPr>
          <w:rFonts w:asciiTheme="minorHAnsi" w:hAnsiTheme="minorHAnsi"/>
          <w:szCs w:val="24"/>
          <w:lang w:val="en-GB"/>
        </w:rPr>
        <w:t>-IV</w:t>
      </w:r>
      <w:r w:rsidRPr="006A5A26">
        <w:rPr>
          <w:rFonts w:asciiTheme="minorHAnsi" w:hAnsiTheme="minorHAnsi"/>
          <w:szCs w:val="24"/>
          <w:lang w:val="en-GB"/>
        </w:rPr>
        <w:t xml:space="preserve"> current total score was used as the assessment of choice for the subsequent analyses as opposed to the inattentive and hyper</w:t>
      </w:r>
      <w:r w:rsidR="00BF5EA2">
        <w:rPr>
          <w:rFonts w:asciiTheme="minorHAnsi" w:hAnsiTheme="minorHAnsi"/>
          <w:szCs w:val="24"/>
          <w:lang w:val="en-GB"/>
        </w:rPr>
        <w:t>-</w:t>
      </w:r>
      <w:r w:rsidRPr="006A5A26">
        <w:rPr>
          <w:rFonts w:asciiTheme="minorHAnsi" w:hAnsiTheme="minorHAnsi"/>
          <w:szCs w:val="24"/>
          <w:lang w:val="en-GB"/>
        </w:rPr>
        <w:t>impulsive sub</w:t>
      </w:r>
      <w:r w:rsidR="007444C1">
        <w:rPr>
          <w:rFonts w:asciiTheme="minorHAnsi" w:hAnsiTheme="minorHAnsi"/>
          <w:szCs w:val="24"/>
          <w:lang w:val="en-GB"/>
        </w:rPr>
        <w:t>-</w:t>
      </w:r>
      <w:r w:rsidRPr="006A5A26">
        <w:rPr>
          <w:rFonts w:asciiTheme="minorHAnsi" w:hAnsiTheme="minorHAnsi"/>
          <w:szCs w:val="24"/>
          <w:lang w:val="en-GB"/>
        </w:rPr>
        <w:t>scales. All AN</w:t>
      </w:r>
      <w:r w:rsidR="00154C2D">
        <w:rPr>
          <w:rFonts w:asciiTheme="minorHAnsi" w:hAnsiTheme="minorHAnsi"/>
          <w:szCs w:val="24"/>
          <w:lang w:val="en-GB"/>
        </w:rPr>
        <w:t>C</w:t>
      </w:r>
      <w:r w:rsidRPr="006A5A26">
        <w:rPr>
          <w:rFonts w:asciiTheme="minorHAnsi" w:hAnsiTheme="minorHAnsi"/>
          <w:szCs w:val="24"/>
          <w:lang w:val="en-GB"/>
        </w:rPr>
        <w:t xml:space="preserve">OVAs were corrected for age, gender and NART full IQ score and the post-hoc t-tests were multiple comparison corrected using the Bonferroni method. </w:t>
      </w:r>
    </w:p>
    <w:p w14:paraId="34BF4730" w14:textId="77777777" w:rsidR="005127F9" w:rsidRPr="006A5A26" w:rsidRDefault="005127F9" w:rsidP="003E64F5">
      <w:pPr>
        <w:pStyle w:val="SMText"/>
        <w:ind w:firstLine="0"/>
        <w:jc w:val="both"/>
        <w:rPr>
          <w:rFonts w:asciiTheme="minorHAnsi" w:hAnsiTheme="minorHAnsi"/>
          <w:szCs w:val="24"/>
          <w:lang w:val="en-GB"/>
        </w:rPr>
      </w:pPr>
    </w:p>
    <w:p w14:paraId="0CE64060" w14:textId="2DF4FFC3" w:rsidR="008E117F" w:rsidRPr="006A5A26" w:rsidRDefault="008E117F" w:rsidP="008E117F">
      <w:pPr>
        <w:pStyle w:val="Caption"/>
        <w:keepNext/>
        <w:rPr>
          <w:rFonts w:asciiTheme="minorHAnsi" w:hAnsiTheme="minorHAnsi" w:cs="Arial"/>
        </w:rPr>
      </w:pPr>
      <w:r w:rsidRPr="006A5A26">
        <w:rPr>
          <w:rFonts w:asciiTheme="minorHAnsi" w:hAnsiTheme="minorHAnsi" w:cs="Arial"/>
        </w:rPr>
        <w:t xml:space="preserve">Table </w:t>
      </w:r>
      <w:r w:rsidR="007D3B40" w:rsidRPr="006A5A26">
        <w:rPr>
          <w:rFonts w:asciiTheme="minorHAnsi" w:hAnsiTheme="minorHAnsi" w:cs="Arial"/>
        </w:rPr>
        <w:t>S</w:t>
      </w:r>
      <w:r w:rsidR="007C414E" w:rsidRPr="006A5A26">
        <w:rPr>
          <w:rFonts w:asciiTheme="minorHAnsi" w:hAnsiTheme="minorHAnsi" w:cs="Arial"/>
        </w:rPr>
        <w:fldChar w:fldCharType="begin"/>
      </w:r>
      <w:r w:rsidR="007C414E" w:rsidRPr="006A5A26">
        <w:rPr>
          <w:rFonts w:asciiTheme="minorHAnsi" w:hAnsiTheme="minorHAnsi" w:cs="Arial"/>
        </w:rPr>
        <w:instrText xml:space="preserve"> SEQ Table \* ARABIC </w:instrText>
      </w:r>
      <w:r w:rsidR="007C414E" w:rsidRPr="006A5A26">
        <w:rPr>
          <w:rFonts w:asciiTheme="minorHAnsi" w:hAnsiTheme="minorHAnsi" w:cs="Arial"/>
        </w:rPr>
        <w:fldChar w:fldCharType="separate"/>
      </w:r>
      <w:r w:rsidR="003D3343" w:rsidRPr="006A5A26">
        <w:rPr>
          <w:rFonts w:asciiTheme="minorHAnsi" w:hAnsiTheme="minorHAnsi" w:cs="Arial"/>
          <w:noProof/>
        </w:rPr>
        <w:t>2</w:t>
      </w:r>
      <w:r w:rsidR="007C414E" w:rsidRPr="006A5A26">
        <w:rPr>
          <w:rFonts w:asciiTheme="minorHAnsi" w:hAnsiTheme="minorHAnsi" w:cs="Arial"/>
          <w:noProof/>
        </w:rPr>
        <w:fldChar w:fldCharType="end"/>
      </w:r>
      <w:r w:rsidR="005177C4" w:rsidRPr="006A5A26">
        <w:rPr>
          <w:rFonts w:asciiTheme="minorHAnsi" w:hAnsiTheme="minorHAnsi" w:cs="Arial"/>
          <w:noProof/>
        </w:rPr>
        <w:t>.</w:t>
      </w:r>
      <w:r w:rsidRPr="006A5A26">
        <w:rPr>
          <w:rFonts w:asciiTheme="minorHAnsi" w:hAnsiTheme="minorHAnsi" w:cs="Arial"/>
        </w:rPr>
        <w:t xml:space="preserve"> Clinical </w:t>
      </w:r>
      <w:r w:rsidR="00AE5F35" w:rsidRPr="006A5A26">
        <w:rPr>
          <w:rFonts w:asciiTheme="minorHAnsi" w:hAnsiTheme="minorHAnsi" w:cs="Arial"/>
        </w:rPr>
        <w:t>a</w:t>
      </w:r>
      <w:r w:rsidRPr="006A5A26">
        <w:rPr>
          <w:rFonts w:asciiTheme="minorHAnsi" w:hAnsiTheme="minorHAnsi" w:cs="Arial"/>
        </w:rPr>
        <w:t xml:space="preserve">ssessment </w:t>
      </w:r>
      <w:r w:rsidR="00AE5F35" w:rsidRPr="006A5A26">
        <w:rPr>
          <w:rFonts w:asciiTheme="minorHAnsi" w:hAnsiTheme="minorHAnsi" w:cs="Arial"/>
        </w:rPr>
        <w:t>s</w:t>
      </w:r>
      <w:r w:rsidRPr="006A5A26">
        <w:rPr>
          <w:rFonts w:asciiTheme="minorHAnsi" w:hAnsiTheme="minorHAnsi" w:cs="Arial"/>
        </w:rPr>
        <w:t>cores</w:t>
      </w:r>
      <w:r w:rsidR="00C12FE8" w:rsidRPr="006A5A26">
        <w:rPr>
          <w:rFonts w:asciiTheme="minorHAnsi" w:hAnsiTheme="minorHAnsi" w:cs="Arial"/>
        </w:rPr>
        <w:t xml:space="preserve"> for ADHD symptomatology</w:t>
      </w:r>
      <w:r w:rsidR="00AE5F35" w:rsidRPr="006A5A26">
        <w:rPr>
          <w:rFonts w:asciiTheme="minorHAnsi" w:hAnsiTheme="minorHAnsi" w:cs="Arial"/>
        </w:rPr>
        <w:t xml:space="preserve"> in the main study cohort.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688"/>
        <w:gridCol w:w="672"/>
        <w:gridCol w:w="688"/>
        <w:gridCol w:w="571"/>
        <w:gridCol w:w="688"/>
        <w:gridCol w:w="571"/>
        <w:gridCol w:w="774"/>
        <w:gridCol w:w="772"/>
      </w:tblGrid>
      <w:tr w:rsidR="00AE5F35" w:rsidRPr="006A5A26" w14:paraId="1CBF92CB" w14:textId="77777777" w:rsidTr="00AE5F35">
        <w:tc>
          <w:tcPr>
            <w:tcW w:w="0" w:type="auto"/>
            <w:tcBorders>
              <w:top w:val="nil"/>
              <w:bottom w:val="nil"/>
            </w:tcBorders>
          </w:tcPr>
          <w:p w14:paraId="4976FDA9" w14:textId="77777777" w:rsidR="00AE5F35" w:rsidRPr="006A5A26" w:rsidRDefault="00AE5F35" w:rsidP="005177C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114F8" w14:textId="00F4480C" w:rsidR="00AE5F35" w:rsidRPr="006A5A26" w:rsidRDefault="00AE5F35" w:rsidP="005177C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ADHD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5C5F17" w14:textId="33A2E4DC" w:rsidR="00AE5F35" w:rsidRPr="006A5A26" w:rsidRDefault="00AE5F35" w:rsidP="005177C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Relatives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DBDE" w14:textId="60E64EAD" w:rsidR="00AE5F35" w:rsidRPr="006A5A26" w:rsidRDefault="00AE5F35" w:rsidP="005177C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82E29" w14:textId="1D9F0F65" w:rsidR="00AE5F35" w:rsidRPr="006A5A26" w:rsidRDefault="00AE5F35" w:rsidP="005177C4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ANOVA</w:t>
            </w:r>
          </w:p>
        </w:tc>
      </w:tr>
      <w:tr w:rsidR="00AE5F35" w:rsidRPr="006A5A26" w14:paraId="796AF408" w14:textId="77777777" w:rsidTr="00AE5F35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2A54349" w14:textId="77777777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131538" w14:textId="7811C397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21ED0C" w14:textId="5C898073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8FA7D2" w14:textId="22119AB7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26018D" w14:textId="18691747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164507" w14:textId="12AECC7F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631055" w14:textId="56E7E579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767135" w14:textId="73F624C8" w:rsidR="00AE5F35" w:rsidRPr="006A5A26" w:rsidRDefault="00AE5F35" w:rsidP="00AE5F35">
            <w:pPr>
              <w:jc w:val="center"/>
              <w:rPr>
                <w:rFonts w:asciiTheme="minorHAnsi" w:hAnsiTheme="minorHAnsi" w:cs="Arial"/>
                <w:i/>
                <w:sz w:val="20"/>
                <w:lang w:val="en-GB"/>
              </w:rPr>
            </w:pPr>
            <w:proofErr w:type="gramStart"/>
            <w:r w:rsidRPr="006A5A26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F</w:t>
            </w:r>
            <w:r w:rsidRPr="006A5A26">
              <w:rPr>
                <w:rFonts w:asciiTheme="minorHAnsi" w:hAnsiTheme="minorHAnsi" w:cs="Arial"/>
                <w:i/>
                <w:sz w:val="20"/>
                <w:szCs w:val="20"/>
                <w:vertAlign w:val="subscript"/>
                <w:lang w:val="en-GB"/>
              </w:rPr>
              <w:t>(</w:t>
            </w:r>
            <w:proofErr w:type="gramEnd"/>
            <w:r w:rsidRPr="006A5A26">
              <w:rPr>
                <w:rFonts w:asciiTheme="minorHAnsi" w:hAnsiTheme="minorHAnsi" w:cs="Arial"/>
                <w:i/>
                <w:sz w:val="20"/>
                <w:szCs w:val="20"/>
                <w:vertAlign w:val="subscript"/>
                <w:lang w:val="en-GB"/>
              </w:rPr>
              <w:t>2,5</w:t>
            </w:r>
            <w:r w:rsidR="0055587E">
              <w:rPr>
                <w:rFonts w:asciiTheme="minorHAnsi" w:hAnsiTheme="minorHAnsi" w:cs="Arial"/>
                <w:i/>
                <w:sz w:val="20"/>
                <w:szCs w:val="20"/>
                <w:vertAlign w:val="subscript"/>
                <w:lang w:val="en-GB"/>
              </w:rPr>
              <w:t>4</w:t>
            </w:r>
            <w:r w:rsidRPr="006A5A26">
              <w:rPr>
                <w:rFonts w:asciiTheme="minorHAnsi" w:hAnsiTheme="minorHAnsi" w:cs="Arial"/>
                <w:i/>
                <w:sz w:val="20"/>
                <w:szCs w:val="20"/>
                <w:vertAlign w:val="subscript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E1E069" w14:textId="5C1145EA" w:rsidR="00AE5F35" w:rsidRPr="006A5A26" w:rsidRDefault="00AE5F35" w:rsidP="00AE5F35">
            <w:pPr>
              <w:jc w:val="center"/>
              <w:rPr>
                <w:rFonts w:asciiTheme="minorHAnsi" w:hAnsiTheme="minorHAnsi" w:cs="Arial"/>
                <w:i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i/>
                <w:sz w:val="20"/>
                <w:szCs w:val="20"/>
                <w:lang w:val="en-GB"/>
              </w:rPr>
              <w:t>p</w:t>
            </w:r>
          </w:p>
        </w:tc>
      </w:tr>
      <w:tr w:rsidR="00AE5F35" w:rsidRPr="006A5A26" w14:paraId="75966029" w14:textId="77777777" w:rsidTr="00AE5F3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6F3C8D" w14:textId="10D956BF" w:rsidR="00AE5F35" w:rsidRPr="006A5A26" w:rsidRDefault="00AE5F35" w:rsidP="00AE5F35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szCs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Current Total </w:t>
            </w:r>
            <w:r w:rsidR="001C543C">
              <w:rPr>
                <w:rFonts w:asciiTheme="minorHAnsi" w:hAnsiTheme="minorHAnsi" w:cs="Arial"/>
                <w:sz w:val="20"/>
                <w:szCs w:val="20"/>
                <w:lang w:val="en-GB"/>
              </w:rPr>
              <w:t>Score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2E003" w14:textId="3F1503A4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36.15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8B76C" w14:textId="4C910C82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12.39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16608" w14:textId="6D9D2324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3F26F" w14:textId="405A1CBB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7.38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868A3" w14:textId="7AD7449E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306AA" w14:textId="0357B9FA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4.29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36C3E" w14:textId="649F3F28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62.328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C611D" w14:textId="03FDE9BB" w:rsidR="00AE5F35" w:rsidRPr="006A5A26" w:rsidRDefault="00980888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&lt;</w:t>
            </w:r>
            <w:r w:rsidR="00AE5F35"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1</w:t>
            </w:r>
          </w:p>
        </w:tc>
      </w:tr>
      <w:tr w:rsidR="00AE5F35" w:rsidRPr="006A5A26" w14:paraId="26B46AC4" w14:textId="77777777" w:rsidTr="00F7682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F401CD" w14:textId="50C5738B" w:rsidR="00AE5F35" w:rsidRPr="006A5A26" w:rsidRDefault="00AE5F35" w:rsidP="00AE5F35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szCs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Current Inattentive</w:t>
            </w:r>
            <w:r w:rsidR="001C543C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Score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5E785" w14:textId="562B7900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17.75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FAF2F" w14:textId="5F7934C8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5.96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B07E0E" w14:textId="1755DF0A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4.75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0D313" w14:textId="22E08D19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3.89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E60A3" w14:textId="405AE882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2.70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E13CC" w14:textId="7CE3E010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2.77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A56FE" w14:textId="4C46C988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59.347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83EF6" w14:textId="7DCA6296" w:rsidR="00AE5F35" w:rsidRPr="006A5A26" w:rsidRDefault="00980888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&lt;</w:t>
            </w:r>
            <w:r w:rsidR="00AE5F35"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1</w:t>
            </w:r>
          </w:p>
        </w:tc>
      </w:tr>
      <w:tr w:rsidR="00AE5F35" w:rsidRPr="006A5A26" w14:paraId="61103EA1" w14:textId="77777777" w:rsidTr="00F7682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2709D5E" w14:textId="28A667E6" w:rsidR="00AE5F35" w:rsidRPr="006A5A26" w:rsidRDefault="00AE5F35" w:rsidP="00AE5F35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szCs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Current Hyperactive/Impulsive</w:t>
            </w:r>
            <w:r w:rsidR="001C543C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Score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219E1" w14:textId="4D17C39E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18.40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7BAF6" w14:textId="72E19D62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6.98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C2A43" w14:textId="7319F86E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E1D56" w14:textId="6831467D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4.13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853A6" w14:textId="128977B4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ADADE5" w14:textId="089559B6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F4F292" w14:textId="028FFACE" w:rsidR="00AE5F35" w:rsidRPr="006A5A26" w:rsidRDefault="00AE5F35" w:rsidP="00AE5F35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50.200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AB6B6" w14:textId="171446C2" w:rsidR="00AE5F35" w:rsidRPr="006A5A26" w:rsidRDefault="00980888" w:rsidP="00AE5F35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&lt;</w:t>
            </w:r>
            <w:r w:rsidR="00AE5F35" w:rsidRPr="006A5A26">
              <w:rPr>
                <w:rFonts w:asciiTheme="minorHAnsi" w:hAnsiTheme="minorHAnsi" w:cs="Arial"/>
                <w:sz w:val="20"/>
                <w:szCs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1</w:t>
            </w:r>
          </w:p>
        </w:tc>
      </w:tr>
    </w:tbl>
    <w:p w14:paraId="7B16767E" w14:textId="77777777" w:rsidR="00C12FE8" w:rsidRPr="006A5A26" w:rsidRDefault="00C12FE8" w:rsidP="003D3343">
      <w:pPr>
        <w:pStyle w:val="SMSubheading"/>
        <w:rPr>
          <w:rFonts w:asciiTheme="minorHAnsi" w:hAnsiTheme="minorHAnsi"/>
          <w:szCs w:val="24"/>
          <w:u w:val="single"/>
          <w:lang w:val="en-GB"/>
        </w:rPr>
      </w:pPr>
    </w:p>
    <w:p w14:paraId="20C4A7F4" w14:textId="0854E2F0" w:rsidR="00300CBF" w:rsidRPr="00293050" w:rsidRDefault="001C543C" w:rsidP="00861DD6">
      <w:pPr>
        <w:jc w:val="both"/>
        <w:rPr>
          <w:rFonts w:asciiTheme="minorHAnsi" w:hAnsiTheme="minorHAnsi"/>
          <w:szCs w:val="24"/>
          <w:lang w:val="en-GB"/>
        </w:rPr>
      </w:pPr>
      <w:r>
        <w:rPr>
          <w:rFonts w:asciiTheme="minorHAnsi" w:hAnsiTheme="minorHAnsi"/>
          <w:szCs w:val="24"/>
          <w:lang w:val="en-GB"/>
        </w:rPr>
        <w:t xml:space="preserve">In the Human Connectome Project (HCP) sample, the </w:t>
      </w:r>
      <w:r w:rsidR="005127F9" w:rsidRPr="005127F9">
        <w:rPr>
          <w:rFonts w:asciiTheme="minorHAnsi" w:hAnsiTheme="minorHAnsi"/>
          <w:szCs w:val="24"/>
          <w:lang w:val="en-GB"/>
        </w:rPr>
        <w:t xml:space="preserve">Achenbach Adult Self-Report </w:t>
      </w:r>
      <w:r>
        <w:rPr>
          <w:rFonts w:asciiTheme="minorHAnsi" w:hAnsiTheme="minorHAnsi"/>
          <w:szCs w:val="24"/>
          <w:lang w:val="en-GB"/>
        </w:rPr>
        <w:t xml:space="preserve">(ASR) was used to examine ADHD symptomatology. ASR </w:t>
      </w:r>
      <w:r w:rsidR="005127F9" w:rsidRPr="005127F9">
        <w:rPr>
          <w:rFonts w:asciiTheme="minorHAnsi" w:hAnsiTheme="minorHAnsi"/>
          <w:szCs w:val="24"/>
          <w:lang w:val="en-GB"/>
        </w:rPr>
        <w:t xml:space="preserve">is a questionnaire </w:t>
      </w:r>
      <w:r w:rsidR="00154C2D">
        <w:rPr>
          <w:rFonts w:asciiTheme="minorHAnsi" w:hAnsiTheme="minorHAnsi"/>
          <w:szCs w:val="24"/>
          <w:lang w:val="en-GB"/>
        </w:rPr>
        <w:t xml:space="preserve">that </w:t>
      </w:r>
      <w:r w:rsidR="005127F9" w:rsidRPr="005127F9">
        <w:rPr>
          <w:rFonts w:asciiTheme="minorHAnsi" w:hAnsiTheme="minorHAnsi"/>
          <w:szCs w:val="24"/>
          <w:lang w:val="en-GB"/>
        </w:rPr>
        <w:t>ai</w:t>
      </w:r>
      <w:r w:rsidR="00154C2D">
        <w:rPr>
          <w:rFonts w:asciiTheme="minorHAnsi" w:hAnsiTheme="minorHAnsi"/>
          <w:szCs w:val="24"/>
          <w:lang w:val="en-GB"/>
        </w:rPr>
        <w:t>ms</w:t>
      </w:r>
      <w:r w:rsidR="005127F9" w:rsidRPr="005127F9">
        <w:rPr>
          <w:rFonts w:asciiTheme="minorHAnsi" w:hAnsiTheme="minorHAnsi"/>
          <w:szCs w:val="24"/>
          <w:lang w:val="en-GB"/>
        </w:rPr>
        <w:t xml:space="preserve"> to assess aspects of adaptive psychological functioning and mental health problems </w:t>
      </w:r>
      <w:r w:rsidR="005127F9" w:rsidRPr="005127F9">
        <w:rPr>
          <w:rFonts w:asciiTheme="minorHAnsi" w:hAnsiTheme="minorHAnsi"/>
          <w:szCs w:val="24"/>
          <w:lang w:val="en-GB"/>
        </w:rPr>
        <w:fldChar w:fldCharType="begin"/>
      </w:r>
      <w:r w:rsidR="005127F9" w:rsidRPr="005127F9">
        <w:rPr>
          <w:rFonts w:asciiTheme="minorHAnsi" w:hAnsiTheme="minorHAnsi"/>
          <w:szCs w:val="24"/>
          <w:lang w:val="en-GB"/>
        </w:rPr>
        <w:instrText xml:space="preserve"> ADDIN EN.CITE &lt;EndNote&gt;&lt;Cite&gt;&lt;Author&gt;Achenbach&lt;/Author&gt;&lt;Year&gt;2003&lt;/Year&gt;&lt;RecNum&gt;865&lt;/RecNum&gt;&lt;DisplayText&gt;(Achenbach and Rescorla, 2003)&lt;/DisplayText&gt;&lt;record&gt;&lt;rec-number&gt;865&lt;/rec-number&gt;&lt;foreign-keys&gt;&lt;key app="EN" db-id="020e52pzwwaw2fe0fe6v5w9udtr9zsrrrwa5" timestamp="1547095810" guid="167316bc-318c-46c5-90ec-f3cc81d0da2a"&gt;865&lt;/key&gt;&lt;/foreign-keys&gt;&lt;ref-type name="Book"&gt;6&lt;/ref-type&gt;&lt;contributors&gt;&lt;authors&gt;&lt;author&gt;Achenbach, Thomas M.&lt;/author&gt;&lt;author&gt;Rescorla, Leslie&lt;/author&gt;&lt;/authors&gt;&lt;/contributors&gt;&lt;titles&gt;&lt;title&gt;Manual for the ASEBA adult forms &amp;amp; profiles : for ages 18-59 : adult self-report, adult behavior checklist&lt;/title&gt;&lt;/titles&gt;&lt;pages&gt;xii, 216 p.&lt;/pages&gt;&lt;keywords&gt;&lt;keyword&gt;Behavioral assessment Handbooks, manuals, etc.&lt;/keyword&gt;&lt;keyword&gt;Mental illness Diagnosis Handbooks, manuals, etc.&lt;/keyword&gt;&lt;/keywords&gt;&lt;dates&gt;&lt;year&gt;2003&lt;/year&gt;&lt;/dates&gt;&lt;pub-location&gt;Burlington, VT&lt;/pub-location&gt;&lt;publisher&gt;ASEBA&lt;/publisher&gt;&lt;isbn&gt;0938565869&lt;/isbn&gt;&lt;accession-num&gt;13032749&lt;/accession-num&gt;&lt;call-num&gt;BF176.5 .A24 2003&lt;/call-num&gt;&lt;urls&gt;&lt;/urls&gt;&lt;/record&gt;&lt;/Cite&gt;&lt;/EndNote&gt;</w:instrText>
      </w:r>
      <w:r w:rsidR="005127F9" w:rsidRPr="005127F9">
        <w:rPr>
          <w:rFonts w:asciiTheme="minorHAnsi" w:hAnsiTheme="minorHAnsi"/>
          <w:szCs w:val="24"/>
          <w:lang w:val="en-GB"/>
        </w:rPr>
        <w:fldChar w:fldCharType="separate"/>
      </w:r>
      <w:r w:rsidR="005127F9" w:rsidRPr="005127F9">
        <w:rPr>
          <w:rFonts w:asciiTheme="minorHAnsi" w:hAnsiTheme="minorHAnsi"/>
          <w:szCs w:val="24"/>
          <w:lang w:val="en-GB"/>
        </w:rPr>
        <w:t>(</w:t>
      </w:r>
      <w:hyperlink w:anchor="_ENREF_1" w:tooltip="Achenbach, 2003 #865" w:history="1">
        <w:r w:rsidR="00293050" w:rsidRPr="005127F9">
          <w:rPr>
            <w:rFonts w:asciiTheme="minorHAnsi" w:hAnsiTheme="minorHAnsi"/>
            <w:szCs w:val="24"/>
            <w:lang w:val="en-GB"/>
          </w:rPr>
          <w:t>Achenbach and Rescorla, 2003</w:t>
        </w:r>
      </w:hyperlink>
      <w:r w:rsidR="005127F9" w:rsidRPr="005127F9">
        <w:rPr>
          <w:rFonts w:asciiTheme="minorHAnsi" w:hAnsiTheme="minorHAnsi"/>
          <w:szCs w:val="24"/>
          <w:lang w:val="en-GB"/>
        </w:rPr>
        <w:t>)</w:t>
      </w:r>
      <w:r w:rsidR="005127F9" w:rsidRPr="005127F9">
        <w:rPr>
          <w:rFonts w:asciiTheme="minorHAnsi" w:hAnsiTheme="minorHAnsi"/>
          <w:szCs w:val="24"/>
          <w:lang w:val="en-GB"/>
        </w:rPr>
        <w:fldChar w:fldCharType="end"/>
      </w:r>
      <w:r w:rsidR="005127F9" w:rsidRPr="005127F9">
        <w:rPr>
          <w:rFonts w:asciiTheme="minorHAnsi" w:hAnsiTheme="minorHAnsi"/>
          <w:szCs w:val="24"/>
          <w:lang w:val="en-GB"/>
        </w:rPr>
        <w:t>. A total of 126 items are rated on a 3-point scale</w:t>
      </w:r>
      <w:r w:rsidR="00154C2D">
        <w:rPr>
          <w:rFonts w:asciiTheme="minorHAnsi" w:hAnsiTheme="minorHAnsi"/>
          <w:szCs w:val="24"/>
          <w:lang w:val="en-GB"/>
        </w:rPr>
        <w:t xml:space="preserve"> in which</w:t>
      </w:r>
      <w:r w:rsidR="005127F9" w:rsidRPr="005127F9">
        <w:rPr>
          <w:rFonts w:asciiTheme="minorHAnsi" w:hAnsiTheme="minorHAnsi"/>
          <w:szCs w:val="24"/>
          <w:lang w:val="en-GB"/>
        </w:rPr>
        <w:t xml:space="preserve"> 13 of the items form part of the DSM-Oriented sub</w:t>
      </w:r>
      <w:r w:rsidR="007444C1">
        <w:rPr>
          <w:rFonts w:asciiTheme="minorHAnsi" w:hAnsiTheme="minorHAnsi"/>
          <w:szCs w:val="24"/>
          <w:lang w:val="en-GB"/>
        </w:rPr>
        <w:t>-</w:t>
      </w:r>
      <w:r w:rsidR="005127F9" w:rsidRPr="005127F9">
        <w:rPr>
          <w:rFonts w:asciiTheme="minorHAnsi" w:hAnsiTheme="minorHAnsi"/>
          <w:szCs w:val="24"/>
          <w:lang w:val="en-GB"/>
        </w:rPr>
        <w:t>scale of attention-deficit and hyperactivity</w:t>
      </w:r>
      <w:r w:rsidR="00154C2D">
        <w:rPr>
          <w:rFonts w:asciiTheme="minorHAnsi" w:hAnsiTheme="minorHAnsi"/>
          <w:szCs w:val="24"/>
          <w:lang w:val="en-GB"/>
        </w:rPr>
        <w:t xml:space="preserve"> (AD/H)</w:t>
      </w:r>
      <w:r w:rsidR="005127F9" w:rsidRPr="005127F9">
        <w:rPr>
          <w:rFonts w:asciiTheme="minorHAnsi" w:hAnsiTheme="minorHAnsi"/>
          <w:szCs w:val="24"/>
          <w:lang w:val="en-GB"/>
        </w:rPr>
        <w:t xml:space="preserve"> problems. The raw </w:t>
      </w:r>
      <w:r w:rsidR="00154C2D">
        <w:rPr>
          <w:rFonts w:asciiTheme="minorHAnsi" w:hAnsiTheme="minorHAnsi"/>
          <w:szCs w:val="24"/>
          <w:lang w:val="en-GB"/>
        </w:rPr>
        <w:t xml:space="preserve">ASR </w:t>
      </w:r>
      <w:r w:rsidR="005127F9" w:rsidRPr="005127F9">
        <w:rPr>
          <w:rFonts w:asciiTheme="minorHAnsi" w:hAnsiTheme="minorHAnsi"/>
          <w:szCs w:val="24"/>
          <w:lang w:val="en-GB"/>
        </w:rPr>
        <w:t xml:space="preserve">total </w:t>
      </w:r>
      <w:r w:rsidR="00BF5EA2">
        <w:rPr>
          <w:rFonts w:asciiTheme="minorHAnsi" w:hAnsiTheme="minorHAnsi"/>
          <w:szCs w:val="24"/>
          <w:lang w:val="en-GB"/>
        </w:rPr>
        <w:t xml:space="preserve">AD/H </w:t>
      </w:r>
      <w:r w:rsidR="005127F9" w:rsidRPr="005127F9">
        <w:rPr>
          <w:rFonts w:asciiTheme="minorHAnsi" w:hAnsiTheme="minorHAnsi"/>
          <w:szCs w:val="24"/>
          <w:lang w:val="en-GB"/>
        </w:rPr>
        <w:t>symptom scores were employed in this study.</w:t>
      </w:r>
      <w:r w:rsidR="00293050">
        <w:rPr>
          <w:rFonts w:asciiTheme="minorHAnsi" w:hAnsiTheme="minorHAnsi"/>
          <w:szCs w:val="24"/>
          <w:lang w:val="en-GB"/>
        </w:rPr>
        <w:t xml:space="preserve"> It is important to note that in order to avoid floor effects in this neurotypical cohort, only the </w:t>
      </w:r>
      <w:r w:rsidR="00861DD6">
        <w:rPr>
          <w:rFonts w:asciiTheme="minorHAnsi" w:hAnsiTheme="minorHAnsi"/>
          <w:szCs w:val="24"/>
          <w:lang w:val="en-GB"/>
        </w:rPr>
        <w:t xml:space="preserve">data from </w:t>
      </w:r>
      <w:r w:rsidR="00293050">
        <w:rPr>
          <w:rFonts w:asciiTheme="minorHAnsi" w:hAnsiTheme="minorHAnsi"/>
          <w:szCs w:val="24"/>
          <w:lang w:val="en-GB"/>
        </w:rPr>
        <w:t xml:space="preserve">participants above the median ASR DSM-Oriented AD/H score were included in the correlation analysis between brain connectivity and ADHD </w:t>
      </w:r>
      <w:proofErr w:type="spellStart"/>
      <w:r w:rsidR="00293050">
        <w:rPr>
          <w:rFonts w:asciiTheme="minorHAnsi" w:hAnsiTheme="minorHAnsi"/>
          <w:szCs w:val="24"/>
          <w:lang w:val="en-GB"/>
        </w:rPr>
        <w:t>sympto</w:t>
      </w:r>
      <w:r w:rsidR="00861DD6">
        <w:rPr>
          <w:rFonts w:asciiTheme="minorHAnsi" w:hAnsiTheme="minorHAnsi"/>
          <w:szCs w:val="24"/>
          <w:lang w:val="en-GB"/>
        </w:rPr>
        <w:t>-</w:t>
      </w:r>
      <w:r w:rsidR="00293050">
        <w:rPr>
          <w:rFonts w:asciiTheme="minorHAnsi" w:hAnsiTheme="minorHAnsi"/>
          <w:szCs w:val="24"/>
          <w:lang w:val="en-GB"/>
        </w:rPr>
        <w:t>matology</w:t>
      </w:r>
      <w:proofErr w:type="spellEnd"/>
      <w:r w:rsidR="00293050">
        <w:rPr>
          <w:rFonts w:asciiTheme="minorHAnsi" w:hAnsiTheme="minorHAnsi"/>
          <w:szCs w:val="24"/>
          <w:lang w:val="en-GB"/>
        </w:rPr>
        <w:t xml:space="preserve"> </w:t>
      </w:r>
      <w:r w:rsidR="00293050" w:rsidRPr="009C66BA">
        <w:rPr>
          <w:rFonts w:asciiTheme="minorHAnsi" w:hAnsiTheme="minorHAnsi" w:cstheme="minorHAnsi"/>
          <w:bCs/>
          <w:color w:val="222222"/>
          <w:szCs w:val="24"/>
          <w:shd w:val="clear" w:color="auto" w:fill="FFFFFF"/>
          <w:lang w:val="en-GB"/>
        </w:rPr>
        <w:t>(mean age = 29.11, SD = 3.676, female to male ratio = 54/46)</w:t>
      </w:r>
      <w:r w:rsidR="00293050">
        <w:rPr>
          <w:rFonts w:asciiTheme="minorHAnsi" w:hAnsiTheme="minorHAnsi"/>
          <w:szCs w:val="24"/>
          <w:lang w:val="en-GB"/>
        </w:rPr>
        <w:t>.</w:t>
      </w:r>
    </w:p>
    <w:p w14:paraId="3A1D8CD6" w14:textId="19D15D8E" w:rsidR="003D3343" w:rsidRPr="006A5A26" w:rsidRDefault="0055587E" w:rsidP="00300CBF">
      <w:pPr>
        <w:pStyle w:val="SMHeading"/>
        <w:rPr>
          <w:rFonts w:asciiTheme="minorHAnsi" w:hAnsiTheme="minorHAnsi"/>
          <w:lang w:val="en-GB"/>
        </w:rPr>
      </w:pPr>
      <w:bookmarkStart w:id="5" w:name="_Toc19027154"/>
      <w:r>
        <w:rPr>
          <w:rFonts w:asciiTheme="minorHAnsi" w:hAnsiTheme="minorHAnsi"/>
          <w:lang w:val="en-GB"/>
        </w:rPr>
        <w:t xml:space="preserve">Association </w:t>
      </w:r>
      <w:r w:rsidR="00C12FE8" w:rsidRPr="006A5A26">
        <w:rPr>
          <w:rFonts w:asciiTheme="minorHAnsi" w:hAnsiTheme="minorHAnsi"/>
          <w:lang w:val="en-GB"/>
        </w:rPr>
        <w:t xml:space="preserve">of </w:t>
      </w:r>
      <w:r w:rsidR="003D3343" w:rsidRPr="006A5A26">
        <w:rPr>
          <w:rFonts w:asciiTheme="minorHAnsi" w:hAnsiTheme="minorHAnsi"/>
          <w:lang w:val="en-GB"/>
        </w:rPr>
        <w:t>Brain Connectivity</w:t>
      </w:r>
      <w:r w:rsidR="0013745F" w:rsidRPr="006A5A26">
        <w:rPr>
          <w:rFonts w:asciiTheme="minorHAnsi" w:hAnsiTheme="minorHAnsi"/>
          <w:lang w:val="en-GB"/>
        </w:rPr>
        <w:t xml:space="preserve">, Cognition and </w:t>
      </w:r>
      <w:r w:rsidR="00C12FE8" w:rsidRPr="006A5A26">
        <w:rPr>
          <w:rFonts w:asciiTheme="minorHAnsi" w:hAnsiTheme="minorHAnsi"/>
          <w:lang w:val="en-GB"/>
        </w:rPr>
        <w:t xml:space="preserve">ADHD </w:t>
      </w:r>
      <w:r w:rsidR="0013745F" w:rsidRPr="006A5A26">
        <w:rPr>
          <w:rFonts w:asciiTheme="minorHAnsi" w:hAnsiTheme="minorHAnsi"/>
          <w:lang w:val="en-GB"/>
        </w:rPr>
        <w:t>Symptomatology</w:t>
      </w:r>
      <w:bookmarkEnd w:id="5"/>
    </w:p>
    <w:p w14:paraId="77C02C5B" w14:textId="3B92CB42" w:rsidR="00227B11" w:rsidRPr="006A5A26" w:rsidRDefault="003D3343" w:rsidP="003E64F5">
      <w:pPr>
        <w:pStyle w:val="SMText"/>
        <w:ind w:firstLine="0"/>
        <w:jc w:val="both"/>
        <w:rPr>
          <w:rFonts w:asciiTheme="minorHAnsi" w:hAnsiTheme="minorHAnsi"/>
          <w:szCs w:val="24"/>
        </w:rPr>
      </w:pPr>
      <w:r w:rsidRPr="006A5A26">
        <w:rPr>
          <w:rFonts w:asciiTheme="minorHAnsi" w:hAnsiTheme="minorHAnsi"/>
          <w:szCs w:val="24"/>
        </w:rPr>
        <w:t xml:space="preserve">The </w:t>
      </w:r>
      <w:r w:rsidR="00BF5EA2">
        <w:rPr>
          <w:rFonts w:asciiTheme="minorHAnsi" w:hAnsiTheme="minorHAnsi"/>
          <w:szCs w:val="24"/>
        </w:rPr>
        <w:t xml:space="preserve">employed </w:t>
      </w:r>
      <w:r w:rsidRPr="006A5A26">
        <w:rPr>
          <w:rFonts w:asciiTheme="minorHAnsi" w:hAnsiTheme="minorHAnsi"/>
          <w:szCs w:val="24"/>
        </w:rPr>
        <w:t xml:space="preserve">brain </w:t>
      </w:r>
      <w:r w:rsidR="00C81419" w:rsidRPr="006A5A26">
        <w:rPr>
          <w:rFonts w:asciiTheme="minorHAnsi" w:hAnsiTheme="minorHAnsi"/>
          <w:szCs w:val="24"/>
        </w:rPr>
        <w:t>connectivity</w:t>
      </w:r>
      <w:r w:rsidR="0013745F" w:rsidRPr="006A5A26">
        <w:rPr>
          <w:rFonts w:asciiTheme="minorHAnsi" w:hAnsiTheme="minorHAnsi"/>
          <w:szCs w:val="24"/>
        </w:rPr>
        <w:t xml:space="preserve">, cognition and </w:t>
      </w:r>
      <w:r w:rsidR="00AE5F35" w:rsidRPr="006A5A26">
        <w:rPr>
          <w:rFonts w:asciiTheme="minorHAnsi" w:hAnsiTheme="minorHAnsi"/>
          <w:szCs w:val="24"/>
        </w:rPr>
        <w:t xml:space="preserve">ADHD </w:t>
      </w:r>
      <w:r w:rsidR="0013745F" w:rsidRPr="006A5A26">
        <w:rPr>
          <w:rFonts w:asciiTheme="minorHAnsi" w:hAnsiTheme="minorHAnsi"/>
          <w:szCs w:val="24"/>
        </w:rPr>
        <w:t>symptomatology</w:t>
      </w:r>
      <w:r w:rsidR="00C81419" w:rsidRPr="006A5A26">
        <w:rPr>
          <w:rFonts w:asciiTheme="minorHAnsi" w:hAnsiTheme="minorHAnsi"/>
          <w:szCs w:val="24"/>
        </w:rPr>
        <w:t xml:space="preserve"> </w:t>
      </w:r>
      <w:r w:rsidRPr="006A5A26">
        <w:rPr>
          <w:rFonts w:asciiTheme="minorHAnsi" w:hAnsiTheme="minorHAnsi"/>
          <w:szCs w:val="24"/>
        </w:rPr>
        <w:t>measurements all showed significant links across the three groups. Participa</w:t>
      </w:r>
      <w:r w:rsidR="008B5BF7" w:rsidRPr="006A5A26">
        <w:rPr>
          <w:rFonts w:asciiTheme="minorHAnsi" w:hAnsiTheme="minorHAnsi"/>
          <w:szCs w:val="24"/>
        </w:rPr>
        <w:t xml:space="preserve">nts who scored higher on </w:t>
      </w:r>
      <w:r w:rsidR="00861DD6" w:rsidRPr="006A5A26">
        <w:rPr>
          <w:rFonts w:asciiTheme="minorHAnsi" w:hAnsiTheme="minorHAnsi"/>
          <w:szCs w:val="24"/>
        </w:rPr>
        <w:t>BAARS</w:t>
      </w:r>
      <w:r w:rsidR="00861DD6">
        <w:rPr>
          <w:rFonts w:asciiTheme="minorHAnsi" w:hAnsiTheme="minorHAnsi"/>
          <w:szCs w:val="24"/>
        </w:rPr>
        <w:t>-IV</w:t>
      </w:r>
      <w:r w:rsidR="00861DD6" w:rsidRPr="006A5A26">
        <w:rPr>
          <w:rFonts w:asciiTheme="minorHAnsi" w:hAnsiTheme="minorHAnsi"/>
          <w:szCs w:val="24"/>
        </w:rPr>
        <w:t xml:space="preserve"> </w:t>
      </w:r>
      <w:r w:rsidR="008B5BF7" w:rsidRPr="006A5A26">
        <w:rPr>
          <w:rFonts w:asciiTheme="minorHAnsi" w:hAnsiTheme="minorHAnsi"/>
          <w:szCs w:val="24"/>
        </w:rPr>
        <w:t>current total s</w:t>
      </w:r>
      <w:r w:rsidRPr="006A5A26">
        <w:rPr>
          <w:rFonts w:asciiTheme="minorHAnsi" w:hAnsiTheme="minorHAnsi"/>
          <w:szCs w:val="24"/>
        </w:rPr>
        <w:t>ymptom</w:t>
      </w:r>
      <w:r w:rsidR="001C543C">
        <w:rPr>
          <w:rFonts w:asciiTheme="minorHAnsi" w:hAnsiTheme="minorHAnsi"/>
          <w:szCs w:val="24"/>
        </w:rPr>
        <w:t xml:space="preserve"> scores</w:t>
      </w:r>
      <w:r w:rsidRPr="006A5A26">
        <w:rPr>
          <w:rFonts w:asciiTheme="minorHAnsi" w:hAnsiTheme="minorHAnsi"/>
          <w:szCs w:val="24"/>
        </w:rPr>
        <w:t xml:space="preserve"> showed reduced DMN anti-correlation and a smaller number of total hits on </w:t>
      </w:r>
      <w:r w:rsidR="00EB1E03">
        <w:rPr>
          <w:rFonts w:asciiTheme="minorHAnsi" w:hAnsiTheme="minorHAnsi"/>
          <w:szCs w:val="24"/>
        </w:rPr>
        <w:t xml:space="preserve">the </w:t>
      </w:r>
      <w:r w:rsidRPr="006A5A26">
        <w:rPr>
          <w:rFonts w:asciiTheme="minorHAnsi" w:hAnsiTheme="minorHAnsi"/>
          <w:szCs w:val="24"/>
        </w:rPr>
        <w:t>RVP sustained attention task, which in turn was linked to reduced DMN anti-correlation.</w:t>
      </w:r>
      <w:r w:rsidR="00A3129F" w:rsidRPr="006A5A26">
        <w:rPr>
          <w:rFonts w:asciiTheme="minorHAnsi" w:hAnsiTheme="minorHAnsi"/>
          <w:szCs w:val="24"/>
        </w:rPr>
        <w:t xml:space="preserve"> Th</w:t>
      </w:r>
      <w:r w:rsidR="008B5BF7" w:rsidRPr="006A5A26">
        <w:rPr>
          <w:rFonts w:asciiTheme="minorHAnsi" w:hAnsiTheme="minorHAnsi"/>
          <w:szCs w:val="24"/>
        </w:rPr>
        <w:t>e BAARS</w:t>
      </w:r>
      <w:r w:rsidR="00861DD6">
        <w:rPr>
          <w:rFonts w:asciiTheme="minorHAnsi" w:hAnsiTheme="minorHAnsi"/>
          <w:szCs w:val="24"/>
        </w:rPr>
        <w:t>-IV</w:t>
      </w:r>
      <w:r w:rsidR="008B5BF7" w:rsidRPr="006A5A26">
        <w:rPr>
          <w:rFonts w:asciiTheme="minorHAnsi" w:hAnsiTheme="minorHAnsi"/>
          <w:szCs w:val="24"/>
        </w:rPr>
        <w:t xml:space="preserve"> current total symptoms and the RVP total h</w:t>
      </w:r>
      <w:r w:rsidR="00A3129F" w:rsidRPr="006A5A26">
        <w:rPr>
          <w:rFonts w:asciiTheme="minorHAnsi" w:hAnsiTheme="minorHAnsi"/>
          <w:szCs w:val="24"/>
        </w:rPr>
        <w:t>its were not normally distributed (Q-Q Plots and Shapiro-Wilk Test &lt; 0.05), and thus non</w:t>
      </w:r>
      <w:r w:rsidR="009C66BA">
        <w:rPr>
          <w:rFonts w:asciiTheme="minorHAnsi" w:hAnsiTheme="minorHAnsi"/>
          <w:szCs w:val="24"/>
        </w:rPr>
        <w:t>-</w:t>
      </w:r>
      <w:r w:rsidR="00A3129F" w:rsidRPr="006A5A26">
        <w:rPr>
          <w:rFonts w:asciiTheme="minorHAnsi" w:hAnsiTheme="minorHAnsi"/>
          <w:szCs w:val="24"/>
        </w:rPr>
        <w:t xml:space="preserve">parametric </w:t>
      </w:r>
      <w:r w:rsidR="00EB1E03">
        <w:rPr>
          <w:rFonts w:asciiTheme="minorHAnsi" w:hAnsiTheme="minorHAnsi"/>
          <w:szCs w:val="24"/>
        </w:rPr>
        <w:t xml:space="preserve">partial </w:t>
      </w:r>
      <w:r w:rsidR="00A3129F" w:rsidRPr="006A5A26">
        <w:rPr>
          <w:rFonts w:asciiTheme="minorHAnsi" w:hAnsiTheme="minorHAnsi"/>
          <w:szCs w:val="24"/>
        </w:rPr>
        <w:t>Spearman’s</w:t>
      </w:r>
      <w:r w:rsidR="00C12FE8" w:rsidRPr="006A5A26">
        <w:rPr>
          <w:rFonts w:asciiTheme="minorHAnsi" w:hAnsiTheme="minorHAnsi"/>
          <w:szCs w:val="24"/>
        </w:rPr>
        <w:t xml:space="preserve"> </w:t>
      </w:r>
      <w:r w:rsidR="00A3129F" w:rsidRPr="006A5A26">
        <w:rPr>
          <w:rFonts w:asciiTheme="minorHAnsi" w:hAnsiTheme="minorHAnsi"/>
          <w:szCs w:val="24"/>
        </w:rPr>
        <w:t>correlation coefficient (</w:t>
      </w:r>
      <w:proofErr w:type="spellStart"/>
      <w:r w:rsidR="00A3129F" w:rsidRPr="007444C1">
        <w:rPr>
          <w:rFonts w:asciiTheme="minorHAnsi" w:hAnsiTheme="minorHAnsi"/>
          <w:i/>
          <w:iCs/>
          <w:szCs w:val="24"/>
        </w:rPr>
        <w:t>r</w:t>
      </w:r>
      <w:r w:rsidR="00A3129F" w:rsidRPr="007444C1">
        <w:rPr>
          <w:rFonts w:asciiTheme="minorHAnsi" w:hAnsiTheme="minorHAnsi"/>
          <w:i/>
          <w:iCs/>
          <w:szCs w:val="24"/>
          <w:vertAlign w:val="subscript"/>
        </w:rPr>
        <w:t>s</w:t>
      </w:r>
      <w:proofErr w:type="spellEnd"/>
      <w:r w:rsidR="00A3129F" w:rsidRPr="006A5A26">
        <w:rPr>
          <w:rFonts w:asciiTheme="minorHAnsi" w:hAnsiTheme="minorHAnsi"/>
          <w:szCs w:val="24"/>
        </w:rPr>
        <w:t>) was reported in the main manuscript</w:t>
      </w:r>
      <w:r w:rsidR="00EB1E03">
        <w:rPr>
          <w:rFonts w:asciiTheme="minorHAnsi" w:hAnsiTheme="minorHAnsi"/>
          <w:szCs w:val="24"/>
        </w:rPr>
        <w:t>, correcting for age, gender, NART full IQ score and mean framewise displace</w:t>
      </w:r>
      <w:r w:rsidR="00861DD6">
        <w:rPr>
          <w:rFonts w:asciiTheme="minorHAnsi" w:hAnsiTheme="minorHAnsi"/>
          <w:szCs w:val="24"/>
        </w:rPr>
        <w:t>-</w:t>
      </w:r>
      <w:proofErr w:type="spellStart"/>
      <w:r w:rsidR="00EB1E03">
        <w:rPr>
          <w:rFonts w:asciiTheme="minorHAnsi" w:hAnsiTheme="minorHAnsi"/>
          <w:szCs w:val="24"/>
        </w:rPr>
        <w:t>ment</w:t>
      </w:r>
      <w:proofErr w:type="spellEnd"/>
      <w:r w:rsidR="00EB1E03">
        <w:rPr>
          <w:rFonts w:asciiTheme="minorHAnsi" w:hAnsiTheme="minorHAnsi"/>
          <w:szCs w:val="24"/>
        </w:rPr>
        <w:t xml:space="preserve"> (Table S3)</w:t>
      </w:r>
      <w:r w:rsidR="00A3129F" w:rsidRPr="006A5A26">
        <w:rPr>
          <w:rFonts w:asciiTheme="minorHAnsi" w:hAnsiTheme="minorHAnsi"/>
          <w:szCs w:val="24"/>
        </w:rPr>
        <w:t xml:space="preserve">. The significance </w:t>
      </w:r>
      <w:r w:rsidR="00BF5EA2">
        <w:rPr>
          <w:rFonts w:asciiTheme="minorHAnsi" w:hAnsiTheme="minorHAnsi"/>
          <w:szCs w:val="24"/>
        </w:rPr>
        <w:t xml:space="preserve">level </w:t>
      </w:r>
      <w:r w:rsidR="00A3129F" w:rsidRPr="006A5A26">
        <w:rPr>
          <w:rFonts w:asciiTheme="minorHAnsi" w:hAnsiTheme="minorHAnsi"/>
          <w:szCs w:val="24"/>
        </w:rPr>
        <w:t xml:space="preserve">of the </w:t>
      </w:r>
      <w:r w:rsidR="00BF5EA2">
        <w:rPr>
          <w:rFonts w:asciiTheme="minorHAnsi" w:hAnsiTheme="minorHAnsi"/>
          <w:szCs w:val="24"/>
        </w:rPr>
        <w:t xml:space="preserve">observed </w:t>
      </w:r>
      <w:r w:rsidR="00A3129F" w:rsidRPr="006A5A26">
        <w:rPr>
          <w:rFonts w:asciiTheme="minorHAnsi" w:hAnsiTheme="minorHAnsi"/>
          <w:szCs w:val="24"/>
        </w:rPr>
        <w:t>cor</w:t>
      </w:r>
      <w:bookmarkStart w:id="6" w:name="_GoBack"/>
      <w:bookmarkEnd w:id="6"/>
      <w:r w:rsidR="00A3129F" w:rsidRPr="006A5A26">
        <w:rPr>
          <w:rFonts w:asciiTheme="minorHAnsi" w:hAnsiTheme="minorHAnsi"/>
          <w:szCs w:val="24"/>
        </w:rPr>
        <w:t xml:space="preserve">relations survived multiple comparisons using Bonferroni correction. </w:t>
      </w:r>
      <w:r w:rsidR="00C20B55" w:rsidRPr="006A5A26">
        <w:rPr>
          <w:rFonts w:asciiTheme="minorHAnsi" w:hAnsiTheme="minorHAnsi"/>
          <w:szCs w:val="24"/>
        </w:rPr>
        <w:t>The same analysis was also carried out for the BAARS</w:t>
      </w:r>
      <w:r w:rsidR="00861DD6">
        <w:rPr>
          <w:rFonts w:asciiTheme="minorHAnsi" w:hAnsiTheme="minorHAnsi"/>
          <w:szCs w:val="24"/>
        </w:rPr>
        <w:t>-IV</w:t>
      </w:r>
      <w:r w:rsidR="00C20B55" w:rsidRPr="006A5A26">
        <w:rPr>
          <w:rFonts w:asciiTheme="minorHAnsi" w:hAnsiTheme="minorHAnsi"/>
          <w:szCs w:val="24"/>
        </w:rPr>
        <w:t xml:space="preserve"> current inattentive and </w:t>
      </w:r>
      <w:r w:rsidR="00EB1E03">
        <w:rPr>
          <w:rFonts w:asciiTheme="minorHAnsi" w:hAnsiTheme="minorHAnsi"/>
          <w:szCs w:val="24"/>
        </w:rPr>
        <w:t xml:space="preserve">current </w:t>
      </w:r>
      <w:r w:rsidR="00C20B55" w:rsidRPr="006A5A26">
        <w:rPr>
          <w:rFonts w:asciiTheme="minorHAnsi" w:hAnsiTheme="minorHAnsi"/>
          <w:szCs w:val="24"/>
        </w:rPr>
        <w:t>hyper-impulsive symptom sub</w:t>
      </w:r>
      <w:r w:rsidR="007444C1">
        <w:rPr>
          <w:rFonts w:asciiTheme="minorHAnsi" w:hAnsiTheme="minorHAnsi"/>
          <w:szCs w:val="24"/>
        </w:rPr>
        <w:t>-</w:t>
      </w:r>
      <w:r w:rsidR="00C20B55" w:rsidRPr="006A5A26">
        <w:rPr>
          <w:rFonts w:asciiTheme="minorHAnsi" w:hAnsiTheme="minorHAnsi"/>
          <w:szCs w:val="24"/>
        </w:rPr>
        <w:t>scales, which revealed comparable results (Tables S</w:t>
      </w:r>
      <w:r w:rsidR="00EB1E03">
        <w:rPr>
          <w:rFonts w:asciiTheme="minorHAnsi" w:hAnsiTheme="minorHAnsi"/>
          <w:szCs w:val="24"/>
        </w:rPr>
        <w:t>4</w:t>
      </w:r>
      <w:r w:rsidR="00C20B55" w:rsidRPr="006A5A26">
        <w:rPr>
          <w:rFonts w:asciiTheme="minorHAnsi" w:hAnsiTheme="minorHAnsi"/>
          <w:szCs w:val="24"/>
        </w:rPr>
        <w:t>-S</w:t>
      </w:r>
      <w:r w:rsidR="00EB1E03">
        <w:rPr>
          <w:rFonts w:asciiTheme="minorHAnsi" w:hAnsiTheme="minorHAnsi"/>
          <w:szCs w:val="24"/>
        </w:rPr>
        <w:t>5</w:t>
      </w:r>
      <w:r w:rsidR="00C20B55" w:rsidRPr="006A5A26">
        <w:rPr>
          <w:rFonts w:asciiTheme="minorHAnsi" w:hAnsiTheme="minorHAnsi"/>
          <w:szCs w:val="24"/>
        </w:rPr>
        <w:t>).</w:t>
      </w:r>
    </w:p>
    <w:p w14:paraId="5EEF21C1" w14:textId="314A55DB" w:rsidR="00C03A5A" w:rsidRPr="006A5A26" w:rsidRDefault="003D3343" w:rsidP="00F76827">
      <w:pPr>
        <w:pStyle w:val="Caption"/>
        <w:keepNext/>
        <w:rPr>
          <w:rFonts w:asciiTheme="minorHAnsi" w:hAnsiTheme="minorHAnsi" w:cs="Arial"/>
        </w:rPr>
      </w:pPr>
      <w:r w:rsidRPr="006A5A26">
        <w:rPr>
          <w:rFonts w:asciiTheme="minorHAnsi" w:hAnsiTheme="minorHAnsi" w:cs="Arial"/>
        </w:rPr>
        <w:lastRenderedPageBreak/>
        <w:t xml:space="preserve">Table </w:t>
      </w:r>
      <w:r w:rsidR="00300CBF" w:rsidRPr="006A5A26">
        <w:rPr>
          <w:rFonts w:asciiTheme="minorHAnsi" w:hAnsiTheme="minorHAnsi" w:cs="Arial"/>
        </w:rPr>
        <w:t>S</w:t>
      </w:r>
      <w:r w:rsidR="00EB1E03">
        <w:rPr>
          <w:rFonts w:asciiTheme="minorHAnsi" w:hAnsiTheme="minorHAnsi" w:cs="Arial"/>
        </w:rPr>
        <w:t>3</w:t>
      </w:r>
      <w:r w:rsidR="00896EBB" w:rsidRPr="006A5A26">
        <w:rPr>
          <w:rFonts w:asciiTheme="minorHAnsi" w:hAnsiTheme="minorHAnsi" w:cs="Arial"/>
          <w:noProof/>
        </w:rPr>
        <w:t>.</w:t>
      </w:r>
      <w:r w:rsidRPr="006A5A26">
        <w:rPr>
          <w:rFonts w:asciiTheme="minorHAnsi" w:hAnsiTheme="minorHAnsi" w:cs="Arial"/>
        </w:rPr>
        <w:t xml:space="preserve"> </w:t>
      </w:r>
      <w:r w:rsidR="002D758C">
        <w:rPr>
          <w:rFonts w:asciiTheme="minorHAnsi" w:hAnsiTheme="minorHAnsi" w:cs="Arial"/>
        </w:rPr>
        <w:t>Non-parametric p</w:t>
      </w:r>
      <w:r w:rsidRPr="006A5A26">
        <w:rPr>
          <w:rFonts w:asciiTheme="minorHAnsi" w:hAnsiTheme="minorHAnsi" w:cs="Arial"/>
        </w:rPr>
        <w:t xml:space="preserve">artial </w:t>
      </w:r>
      <w:r w:rsidR="002D758C">
        <w:rPr>
          <w:rFonts w:asciiTheme="minorHAnsi" w:hAnsiTheme="minorHAnsi" w:cs="Arial"/>
        </w:rPr>
        <w:t xml:space="preserve">Spearman’s </w:t>
      </w:r>
      <w:r w:rsidRPr="006A5A26">
        <w:rPr>
          <w:rFonts w:asciiTheme="minorHAnsi" w:hAnsiTheme="minorHAnsi" w:cs="Arial"/>
        </w:rPr>
        <w:t xml:space="preserve">correlations of </w:t>
      </w:r>
      <w:r w:rsidR="00C81419" w:rsidRPr="006A5A26">
        <w:rPr>
          <w:rFonts w:asciiTheme="minorHAnsi" w:hAnsiTheme="minorHAnsi" w:cs="Arial"/>
        </w:rPr>
        <w:t>ADHD symptom</w:t>
      </w:r>
      <w:r w:rsidR="00EB1E03">
        <w:rPr>
          <w:rFonts w:asciiTheme="minorHAnsi" w:hAnsiTheme="minorHAnsi" w:cs="Arial"/>
        </w:rPr>
        <w:t>atology</w:t>
      </w:r>
      <w:r w:rsidR="00C03A5A" w:rsidRPr="006A5A26">
        <w:rPr>
          <w:rFonts w:asciiTheme="minorHAnsi" w:hAnsiTheme="minorHAnsi" w:cs="Arial"/>
        </w:rPr>
        <w:t xml:space="preserve"> (BAARS</w:t>
      </w:r>
      <w:r w:rsidR="00861DD6">
        <w:rPr>
          <w:rFonts w:asciiTheme="minorHAnsi" w:hAnsiTheme="minorHAnsi" w:cs="Arial"/>
        </w:rPr>
        <w:t>-IV</w:t>
      </w:r>
      <w:r w:rsidR="00C03A5A" w:rsidRPr="006A5A26">
        <w:rPr>
          <w:rFonts w:asciiTheme="minorHAnsi" w:hAnsiTheme="minorHAnsi" w:cs="Arial"/>
        </w:rPr>
        <w:t xml:space="preserve"> Current Total Symptoms)</w:t>
      </w:r>
      <w:r w:rsidR="00C81419" w:rsidRPr="006A5A26">
        <w:rPr>
          <w:rFonts w:asciiTheme="minorHAnsi" w:hAnsiTheme="minorHAnsi" w:cs="Arial"/>
        </w:rPr>
        <w:t xml:space="preserve">, </w:t>
      </w:r>
      <w:r w:rsidRPr="006A5A26">
        <w:rPr>
          <w:rFonts w:asciiTheme="minorHAnsi" w:hAnsiTheme="minorHAnsi" w:cs="Arial"/>
        </w:rPr>
        <w:t>cognitive assessment and resting state brain connectivity</w:t>
      </w:r>
      <w:r w:rsidR="00EB1E03">
        <w:rPr>
          <w:rFonts w:asciiTheme="minorHAnsi" w:hAnsiTheme="minorHAnsi" w:cs="Arial"/>
        </w:rPr>
        <w:t xml:space="preserve"> (PCC/PCUN to right MFG)</w:t>
      </w:r>
      <w:r w:rsidRPr="006A5A26">
        <w:rPr>
          <w:rFonts w:asciiTheme="minorHAnsi" w:hAnsiTheme="minorHAnsi" w:cs="Arial"/>
        </w:rPr>
        <w:t xml:space="preserve">, correcting for </w:t>
      </w:r>
      <w:r w:rsidR="001519F8" w:rsidRPr="001519F8">
        <w:rPr>
          <w:rFonts w:asciiTheme="minorHAnsi" w:hAnsiTheme="minorHAnsi" w:cs="Arial"/>
        </w:rPr>
        <w:t>age, gender, NART full IQ score</w:t>
      </w:r>
      <w:r w:rsidR="004F007D">
        <w:rPr>
          <w:rFonts w:asciiTheme="minorHAnsi" w:hAnsiTheme="minorHAnsi" w:cs="Arial"/>
        </w:rPr>
        <w:t xml:space="preserve"> and</w:t>
      </w:r>
      <w:r w:rsidR="001519F8" w:rsidRPr="001519F8">
        <w:rPr>
          <w:rFonts w:asciiTheme="minorHAnsi" w:hAnsiTheme="minorHAnsi" w:cs="Arial"/>
        </w:rPr>
        <w:t xml:space="preserve"> mean framewise displacement.</w:t>
      </w:r>
    </w:p>
    <w:p w14:paraId="79BD2046" w14:textId="77777777" w:rsidR="00300CBF" w:rsidRPr="006A5A26" w:rsidRDefault="00300CBF" w:rsidP="00300CBF">
      <w:pPr>
        <w:rPr>
          <w:rFonts w:asciiTheme="minorHAnsi" w:hAnsiTheme="minorHAnsi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42"/>
        <w:gridCol w:w="1263"/>
        <w:gridCol w:w="1973"/>
        <w:gridCol w:w="1859"/>
        <w:gridCol w:w="2010"/>
      </w:tblGrid>
      <w:tr w:rsidR="004F007D" w:rsidRPr="006A5A26" w14:paraId="597CBF07" w14:textId="77777777" w:rsidTr="00C03A5A">
        <w:trPr>
          <w:trHeight w:val="566"/>
        </w:trPr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EB25B64" w14:textId="77777777" w:rsidR="00A3129F" w:rsidRPr="006A5A26" w:rsidRDefault="00A3129F" w:rsidP="00A3129F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B68D2BC" w14:textId="77777777" w:rsidR="00A3129F" w:rsidRPr="006A5A26" w:rsidRDefault="00A3129F" w:rsidP="00A3129F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F69541B" w14:textId="1A3CA4EE" w:rsidR="00A3129F" w:rsidRPr="006A5A26" w:rsidRDefault="00A3129F" w:rsidP="00A3129F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 xml:space="preserve"> Current Total Symptoms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6CC7988" w14:textId="0515BCB4" w:rsidR="00A3129F" w:rsidRPr="006A5A26" w:rsidRDefault="00A3129F" w:rsidP="00A3129F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RVP Total Hits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D5F3B8F" w14:textId="77777777" w:rsidR="00A3129F" w:rsidRPr="006A5A26" w:rsidRDefault="00A3129F" w:rsidP="00A3129F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PCC/PCUN and Right MFG Connectivity</w:t>
            </w:r>
          </w:p>
        </w:tc>
      </w:tr>
      <w:tr w:rsidR="004F007D" w:rsidRPr="006A5A26" w14:paraId="0F6192F7" w14:textId="77777777" w:rsidTr="00A3129F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B966D5" w14:textId="3CF8231E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 xml:space="preserve"> Current Total Symptoms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0AAB372" w14:textId="69D9D195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</w:t>
            </w:r>
            <w:r w:rsidR="00C74D0D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="00C74D0D" w:rsidRPr="006A5A26">
              <w:rPr>
                <w:rFonts w:asciiTheme="minorHAnsi" w:hAnsiTheme="minorHAnsi" w:cs="Arial"/>
                <w:sz w:val="20"/>
                <w:lang w:val="en-GB"/>
              </w:rPr>
              <w:t>Coefficient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FB313DA" w14:textId="4C588250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284059E" w14:textId="732DF486" w:rsidR="002D758C" w:rsidRDefault="002D758C" w:rsidP="002D758C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-</w:t>
            </w:r>
            <w:r w:rsidR="00483D5E"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.45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6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640D5A33" w14:textId="15934784" w:rsidR="009E6F6B" w:rsidRPr="009E6F6B" w:rsidRDefault="009E6F6B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[-.63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6</w:t>
            </w:r>
            <w:r>
              <w:rPr>
                <w:rFonts w:asciiTheme="minorHAnsi" w:hAnsiTheme="minorHAnsi" w:cs="Arial"/>
                <w:sz w:val="20"/>
                <w:lang w:val="en-GB"/>
              </w:rPr>
              <w:t>, -.2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29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95AE795" w14:textId="450A9E82" w:rsidR="002D758C" w:rsidRDefault="00483D5E" w:rsidP="002D758C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.40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2D758C"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6F4A45B8" w14:textId="3D53E091" w:rsidR="009E6F6B" w:rsidRPr="009E6F6B" w:rsidRDefault="009E6F6B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[.16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8</w:t>
            </w:r>
            <w:r>
              <w:rPr>
                <w:rFonts w:asciiTheme="minorHAnsi" w:hAnsiTheme="minorHAnsi" w:cs="Arial"/>
                <w:sz w:val="20"/>
                <w:lang w:val="en-GB"/>
              </w:rPr>
              <w:t>, .59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8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</w:tr>
      <w:tr w:rsidR="004F007D" w:rsidRPr="006A5A26" w14:paraId="75CCED1B" w14:textId="77777777" w:rsidTr="00A3129F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FCF98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9DBC718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F71CB7F" w14:textId="7AAE0E7B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989091" w14:textId="6F718A87" w:rsidR="002D758C" w:rsidRPr="002D758C" w:rsidRDefault="00483D5E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6EEE4D0" w14:textId="71DC5B85" w:rsidR="002D758C" w:rsidRPr="002D758C" w:rsidRDefault="00483D5E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.002</w:t>
            </w:r>
          </w:p>
        </w:tc>
      </w:tr>
      <w:tr w:rsidR="004F007D" w:rsidRPr="006A5A26" w14:paraId="1CED3373" w14:textId="77777777" w:rsidTr="00A3129F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11414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5C1311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145437D0" w14:textId="0C143CF1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7DEDE8B9" w14:textId="29E605D2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E9F5" w14:textId="7B83B5A1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4</w:t>
            </w:r>
          </w:p>
        </w:tc>
      </w:tr>
      <w:tr w:rsidR="004F007D" w:rsidRPr="006A5A26" w14:paraId="715CC565" w14:textId="77777777" w:rsidTr="00A3129F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EAEAE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DB7547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RVP Total Hits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82F0EF7" w14:textId="0C9A0F82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</w:t>
            </w:r>
            <w:r w:rsidR="00C74D0D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="00C74D0D" w:rsidRPr="006A5A26">
              <w:rPr>
                <w:rFonts w:asciiTheme="minorHAnsi" w:hAnsiTheme="minorHAnsi" w:cs="Arial"/>
                <w:sz w:val="20"/>
                <w:lang w:val="en-GB"/>
              </w:rPr>
              <w:t>Coefficient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DFE3175" w14:textId="436FB55F" w:rsidR="002D758C" w:rsidRDefault="002D758C" w:rsidP="002D758C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-</w:t>
            </w:r>
            <w:r w:rsidR="00483D5E"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.45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6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505E0254" w14:textId="14619F8E" w:rsidR="009E6F6B" w:rsidRPr="009E6F6B" w:rsidRDefault="009E6F6B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[-.63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6</w:t>
            </w:r>
            <w:r>
              <w:rPr>
                <w:rFonts w:asciiTheme="minorHAnsi" w:hAnsiTheme="minorHAnsi" w:cs="Arial"/>
                <w:sz w:val="20"/>
                <w:lang w:val="en-GB"/>
              </w:rPr>
              <w:t>, -.2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29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18C403C" w14:textId="4A68E14D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7FEEED3" w14:textId="2F8DD6AD" w:rsidR="002D758C" w:rsidRDefault="002D758C" w:rsidP="002D758C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-</w:t>
            </w:r>
            <w:r w:rsidR="00483D5E"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.3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6</w:t>
            </w: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3C8910F8" w14:textId="2333A661" w:rsidR="009E6F6B" w:rsidRPr="009E6F6B" w:rsidRDefault="009E6F6B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[-.5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6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3</w:t>
            </w:r>
            <w:r>
              <w:rPr>
                <w:rFonts w:asciiTheme="minorHAnsi" w:hAnsiTheme="minorHAnsi" w:cs="Arial"/>
                <w:sz w:val="20"/>
                <w:lang w:val="en-GB"/>
              </w:rPr>
              <w:t>, -.1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17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</w:tr>
      <w:tr w:rsidR="004F007D" w:rsidRPr="006A5A26" w14:paraId="738A2C7D" w14:textId="77777777" w:rsidTr="00A3129F">
        <w:trPr>
          <w:trHeight w:val="420"/>
        </w:trPr>
        <w:tc>
          <w:tcPr>
            <w:tcW w:w="0" w:type="auto"/>
            <w:vMerge/>
            <w:tcBorders>
              <w:top w:val="single" w:sz="4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0F0DA297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92327BD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4B84FEE" w14:textId="515EC2ED" w:rsidR="002D758C" w:rsidRPr="002D758C" w:rsidRDefault="00483D5E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DDF483B" w14:textId="026E8D8B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9E2F97E" w14:textId="2DAFEE89" w:rsidR="002D758C" w:rsidRPr="002D758C" w:rsidRDefault="00483D5E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.00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6</w:t>
            </w:r>
          </w:p>
        </w:tc>
      </w:tr>
      <w:tr w:rsidR="004F007D" w:rsidRPr="006A5A26" w14:paraId="2E8DE674" w14:textId="77777777" w:rsidTr="00A3129F">
        <w:trPr>
          <w:trHeight w:val="420"/>
        </w:trPr>
        <w:tc>
          <w:tcPr>
            <w:tcW w:w="0" w:type="auto"/>
            <w:vMerge/>
            <w:tcBorders>
              <w:top w:val="single" w:sz="4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16D9AFD3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3AE13C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45DF7B63" w14:textId="29CD965C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298D4E79" w14:textId="7F72A69D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832B4" w14:textId="6C77F500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4</w:t>
            </w:r>
          </w:p>
        </w:tc>
      </w:tr>
      <w:tr w:rsidR="004F007D" w:rsidRPr="006A5A26" w14:paraId="0073840E" w14:textId="77777777" w:rsidTr="00A3129F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14CEB96C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PCC/PCUN and Right MFG Connectivity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9AC306F" w14:textId="0EDAD1E5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</w:t>
            </w:r>
            <w:r w:rsidR="00C74D0D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="00C74D0D" w:rsidRPr="006A5A26">
              <w:rPr>
                <w:rFonts w:asciiTheme="minorHAnsi" w:hAnsiTheme="minorHAnsi" w:cs="Arial"/>
                <w:sz w:val="20"/>
                <w:lang w:val="en-GB"/>
              </w:rPr>
              <w:t>Coefficient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7774D0E" w14:textId="3B68F10A" w:rsidR="002D758C" w:rsidRDefault="00483D5E" w:rsidP="002D758C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.40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2D758C"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3DCB081D" w14:textId="08106E50" w:rsidR="009E6F6B" w:rsidRPr="009E6F6B" w:rsidRDefault="009E6F6B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[.16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8</w:t>
            </w:r>
            <w:r>
              <w:rPr>
                <w:rFonts w:asciiTheme="minorHAnsi" w:hAnsiTheme="minorHAnsi" w:cs="Arial"/>
                <w:sz w:val="20"/>
                <w:lang w:val="en-GB"/>
              </w:rPr>
              <w:t>, .59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8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D69032F" w14:textId="43F3D889" w:rsidR="002D758C" w:rsidRDefault="002D758C" w:rsidP="002D758C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-</w:t>
            </w:r>
            <w:r w:rsidR="00483D5E"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.3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6</w:t>
            </w: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310308B1" w14:textId="205AC5C6" w:rsidR="009E6F6B" w:rsidRPr="009E6F6B" w:rsidRDefault="009E6F6B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[-.5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6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3</w:t>
            </w:r>
            <w:r>
              <w:rPr>
                <w:rFonts w:asciiTheme="minorHAnsi" w:hAnsiTheme="minorHAnsi" w:cs="Arial"/>
                <w:sz w:val="20"/>
                <w:lang w:val="en-GB"/>
              </w:rPr>
              <w:t>, -.1</w:t>
            </w:r>
            <w:r w:rsidR="004F007D">
              <w:rPr>
                <w:rFonts w:asciiTheme="minorHAnsi" w:hAnsiTheme="minorHAnsi" w:cs="Arial"/>
                <w:sz w:val="20"/>
                <w:lang w:val="en-GB"/>
              </w:rPr>
              <w:t>17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C714511" w14:textId="10FF8B59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1.000</w:t>
            </w:r>
          </w:p>
        </w:tc>
      </w:tr>
      <w:tr w:rsidR="004F007D" w:rsidRPr="006A5A26" w14:paraId="2D977189" w14:textId="77777777" w:rsidTr="00A3129F">
        <w:trPr>
          <w:trHeight w:val="420"/>
        </w:trPr>
        <w:tc>
          <w:tcPr>
            <w:tcW w:w="0" w:type="auto"/>
            <w:vMerge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A9DCF9F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332EBFE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3943D6D" w14:textId="7CC6D9AE" w:rsidR="002D758C" w:rsidRPr="002D758C" w:rsidRDefault="00483D5E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054362" w14:textId="7399E736" w:rsidR="002D758C" w:rsidRPr="002D758C" w:rsidRDefault="00483D5E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10205"/>
                <w:sz w:val="20"/>
              </w:rPr>
              <w:t>0</w:t>
            </w:r>
            <w:r w:rsidR="002D758C" w:rsidRPr="002D758C">
              <w:rPr>
                <w:rFonts w:asciiTheme="minorHAnsi" w:hAnsiTheme="minorHAnsi" w:cstheme="minorHAnsi"/>
                <w:color w:val="010205"/>
                <w:sz w:val="20"/>
              </w:rPr>
              <w:t>.00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9F6D6B4" w14:textId="6638CB4F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4F007D" w:rsidRPr="006A5A26" w14:paraId="5DFDA5AC" w14:textId="77777777" w:rsidTr="00A3129F">
        <w:trPr>
          <w:trHeight w:val="420"/>
        </w:trPr>
        <w:tc>
          <w:tcPr>
            <w:tcW w:w="0" w:type="auto"/>
            <w:vMerge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5EB6CD0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53BA2B72" w14:textId="77777777" w:rsidR="002D758C" w:rsidRPr="006A5A26" w:rsidRDefault="002D758C" w:rsidP="002D758C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821A3FC" w14:textId="0C718841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D9CBFC8" w14:textId="56AE4BD6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2D758C">
              <w:rPr>
                <w:rFonts w:asciiTheme="minorHAnsi" w:hAnsiTheme="minorHAnsi" w:cstheme="minorHAnsi"/>
                <w:color w:val="010205"/>
                <w:sz w:val="20"/>
              </w:rPr>
              <w:t>5</w:t>
            </w:r>
            <w:r w:rsidR="004F007D">
              <w:rPr>
                <w:rFonts w:asciiTheme="minorHAnsi" w:hAnsiTheme="minorHAnsi" w:cstheme="minorHAnsi"/>
                <w:color w:val="010205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hideMark/>
          </w:tcPr>
          <w:p w14:paraId="71762F33" w14:textId="6C6ED6A9" w:rsidR="002D758C" w:rsidRPr="002D758C" w:rsidRDefault="002D758C" w:rsidP="002D758C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A3129F" w:rsidRPr="006A5A26" w14:paraId="5DEFEDCA" w14:textId="77777777" w:rsidTr="00A3129F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91EC" w14:textId="77777777" w:rsidR="00A3129F" w:rsidRPr="006A5A26" w:rsidRDefault="00A3129F" w:rsidP="00A3129F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**. Correlation is significant at the 0.01 level (2-tailed).</w:t>
            </w:r>
          </w:p>
        </w:tc>
      </w:tr>
      <w:tr w:rsidR="00A3129F" w:rsidRPr="006A5A26" w14:paraId="17716BD9" w14:textId="77777777" w:rsidTr="00A3129F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23D2A" w14:textId="6E3158E1" w:rsidR="00A3129F" w:rsidRPr="006A5A26" w:rsidRDefault="00A3129F" w:rsidP="00A3129F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28E9ECE6" w14:textId="6312F836" w:rsidR="00300CBF" w:rsidRPr="006A5A26" w:rsidRDefault="00613C6D" w:rsidP="00C20B55">
      <w:pPr>
        <w:pStyle w:val="Caption"/>
        <w:keepNext/>
        <w:rPr>
          <w:rFonts w:asciiTheme="minorHAnsi" w:hAnsiTheme="minorHAnsi" w:cs="Arial"/>
        </w:rPr>
      </w:pPr>
      <w:r w:rsidRPr="006A5A26">
        <w:rPr>
          <w:rFonts w:asciiTheme="minorHAnsi" w:hAnsiTheme="minorHAnsi" w:cs="Arial"/>
        </w:rPr>
        <w:t xml:space="preserve">Table </w:t>
      </w:r>
      <w:r w:rsidR="00300CBF" w:rsidRPr="006A5A26">
        <w:rPr>
          <w:rFonts w:asciiTheme="minorHAnsi" w:hAnsiTheme="minorHAnsi" w:cs="Arial"/>
        </w:rPr>
        <w:t>S</w:t>
      </w:r>
      <w:r w:rsidR="00EB1E03">
        <w:rPr>
          <w:rFonts w:asciiTheme="minorHAnsi" w:hAnsiTheme="minorHAnsi" w:cs="Arial"/>
        </w:rPr>
        <w:t>4</w:t>
      </w:r>
      <w:r w:rsidR="00896EBB" w:rsidRPr="006A5A26">
        <w:rPr>
          <w:rFonts w:asciiTheme="minorHAnsi" w:hAnsiTheme="minorHAnsi" w:cs="Arial"/>
          <w:noProof/>
        </w:rPr>
        <w:t>.</w:t>
      </w:r>
      <w:r w:rsidRPr="006A5A26">
        <w:rPr>
          <w:rFonts w:asciiTheme="minorHAnsi" w:hAnsiTheme="minorHAnsi" w:cs="Arial"/>
        </w:rPr>
        <w:t xml:space="preserve"> Non-parametric </w:t>
      </w:r>
      <w:r w:rsidR="00942E01">
        <w:rPr>
          <w:rFonts w:asciiTheme="minorHAnsi" w:hAnsiTheme="minorHAnsi" w:cs="Arial"/>
        </w:rPr>
        <w:t xml:space="preserve">partial </w:t>
      </w:r>
      <w:r w:rsidRPr="006A5A26">
        <w:rPr>
          <w:rFonts w:asciiTheme="minorHAnsi" w:hAnsiTheme="minorHAnsi" w:cs="Arial"/>
        </w:rPr>
        <w:t xml:space="preserve">Spearman’s correlation of ADHD </w:t>
      </w:r>
      <w:r w:rsidR="00EB1E03" w:rsidRPr="006A5A26">
        <w:rPr>
          <w:rFonts w:asciiTheme="minorHAnsi" w:hAnsiTheme="minorHAnsi" w:cs="Arial"/>
        </w:rPr>
        <w:t>symptom</w:t>
      </w:r>
      <w:r w:rsidR="00EB1E03">
        <w:rPr>
          <w:rFonts w:asciiTheme="minorHAnsi" w:hAnsiTheme="minorHAnsi" w:cs="Arial"/>
        </w:rPr>
        <w:t>atology</w:t>
      </w:r>
      <w:r w:rsidRPr="006A5A26">
        <w:rPr>
          <w:rFonts w:asciiTheme="minorHAnsi" w:hAnsiTheme="minorHAnsi" w:cs="Arial"/>
        </w:rPr>
        <w:t xml:space="preserve"> </w:t>
      </w:r>
      <w:r w:rsidR="00025CB4" w:rsidRPr="006A5A26">
        <w:rPr>
          <w:rFonts w:asciiTheme="minorHAnsi" w:hAnsiTheme="minorHAnsi" w:cs="Arial"/>
        </w:rPr>
        <w:t>(BAARS</w:t>
      </w:r>
      <w:r w:rsidR="00861DD6">
        <w:rPr>
          <w:rFonts w:asciiTheme="minorHAnsi" w:hAnsiTheme="minorHAnsi" w:cs="Arial"/>
        </w:rPr>
        <w:t>-IV</w:t>
      </w:r>
      <w:r w:rsidR="00025CB4" w:rsidRPr="006A5A26">
        <w:rPr>
          <w:rFonts w:asciiTheme="minorHAnsi" w:hAnsiTheme="minorHAnsi" w:cs="Arial"/>
        </w:rPr>
        <w:t xml:space="preserve"> Current Inattentive Symptoms)</w:t>
      </w:r>
      <w:r w:rsidRPr="006A5A26">
        <w:rPr>
          <w:rFonts w:asciiTheme="minorHAnsi" w:hAnsiTheme="minorHAnsi" w:cs="Arial"/>
        </w:rPr>
        <w:t>, cognitive assessment and resting state brain connectivity</w:t>
      </w:r>
      <w:r w:rsidR="00EB1E03">
        <w:rPr>
          <w:rFonts w:asciiTheme="minorHAnsi" w:hAnsiTheme="minorHAnsi" w:cs="Arial"/>
        </w:rPr>
        <w:t xml:space="preserve"> (PCC/PCUN to right MFG)</w:t>
      </w:r>
      <w:r w:rsidR="00942E01">
        <w:rPr>
          <w:rFonts w:asciiTheme="minorHAnsi" w:hAnsiTheme="minorHAnsi" w:cs="Arial"/>
        </w:rPr>
        <w:t xml:space="preserve">, </w:t>
      </w:r>
      <w:r w:rsidR="00942E01" w:rsidRPr="006A5A26">
        <w:rPr>
          <w:rFonts w:asciiTheme="minorHAnsi" w:hAnsiTheme="minorHAnsi" w:cs="Arial"/>
        </w:rPr>
        <w:t xml:space="preserve">correcting for </w:t>
      </w:r>
      <w:r w:rsidR="00942E01" w:rsidRPr="001519F8">
        <w:rPr>
          <w:rFonts w:asciiTheme="minorHAnsi" w:hAnsiTheme="minorHAnsi" w:cs="Arial"/>
        </w:rPr>
        <w:t>age, gender, NART full IQ score</w:t>
      </w:r>
      <w:r w:rsidR="00942E01">
        <w:rPr>
          <w:rFonts w:asciiTheme="minorHAnsi" w:hAnsiTheme="minorHAnsi" w:cs="Arial"/>
        </w:rPr>
        <w:t xml:space="preserve"> and</w:t>
      </w:r>
      <w:r w:rsidR="00942E01" w:rsidRPr="001519F8">
        <w:rPr>
          <w:rFonts w:asciiTheme="minorHAnsi" w:hAnsiTheme="minorHAnsi" w:cs="Arial"/>
        </w:rPr>
        <w:t xml:space="preserve"> mean framewise displacement.</w:t>
      </w:r>
    </w:p>
    <w:p w14:paraId="6DF56BE5" w14:textId="77777777" w:rsidR="00C20B55" w:rsidRPr="006A5A26" w:rsidRDefault="00C20B55" w:rsidP="00C20B55">
      <w:pPr>
        <w:rPr>
          <w:rFonts w:asciiTheme="minorHAnsi" w:hAnsiTheme="minorHAnsi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67"/>
        <w:gridCol w:w="1269"/>
        <w:gridCol w:w="2027"/>
        <w:gridCol w:w="1859"/>
        <w:gridCol w:w="1925"/>
      </w:tblGrid>
      <w:tr w:rsidR="00613C6D" w:rsidRPr="006A5A26" w14:paraId="5DCC1079" w14:textId="77777777" w:rsidTr="002511F2">
        <w:trPr>
          <w:trHeight w:val="545"/>
        </w:trPr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E228EBC" w14:textId="77777777" w:rsidR="00613C6D" w:rsidRPr="006A5A26" w:rsidRDefault="00613C6D" w:rsidP="00C03A5A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ECAAC8C" w14:textId="07152AC1" w:rsidR="00613C6D" w:rsidRPr="006A5A26" w:rsidRDefault="00613C6D" w:rsidP="00613C6D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 xml:space="preserve"> Current Inattentive Symptoms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04A4038" w14:textId="77777777" w:rsidR="00613C6D" w:rsidRPr="006A5A26" w:rsidRDefault="00613C6D" w:rsidP="00C03A5A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RVP Total Hits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B8E5127" w14:textId="77777777" w:rsidR="00613C6D" w:rsidRPr="006A5A26" w:rsidRDefault="00613C6D" w:rsidP="00C03A5A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PCC/PCUN and Right MFG Connectivity</w:t>
            </w:r>
          </w:p>
        </w:tc>
      </w:tr>
      <w:tr w:rsidR="00613C6D" w:rsidRPr="006A5A26" w14:paraId="6C484F74" w14:textId="77777777" w:rsidTr="002511F2">
        <w:trPr>
          <w:trHeight w:val="480"/>
        </w:trPr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A0C8DF" w14:textId="55081862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  <w:r w:rsidR="006E6959" w:rsidRPr="006A5A26">
              <w:rPr>
                <w:rFonts w:asciiTheme="minorHAnsi" w:hAnsiTheme="minorHAnsi" w:cs="Arial"/>
                <w:sz w:val="20"/>
                <w:lang w:val="en-GB"/>
              </w:rPr>
              <w:t>Current Inattentive Symptoms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B4707D3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 Coefficient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F040A62" w14:textId="77777777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8AD6ABB" w14:textId="23195EE6" w:rsidR="00613C6D" w:rsidRDefault="00C03A5A" w:rsidP="00896EBB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.4</w:t>
            </w:r>
            <w:r w:rsidR="00EB1E03">
              <w:rPr>
                <w:rFonts w:asciiTheme="minorHAnsi" w:hAnsiTheme="minorHAnsi" w:cs="Arial"/>
                <w:sz w:val="20"/>
                <w:lang w:val="en-GB"/>
              </w:rPr>
              <w:t>46</w:t>
            </w:r>
            <w:r w:rsidR="00613C6D"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590F3E8C" w14:textId="75CC67C7" w:rsidR="00CC3DE6" w:rsidRPr="00CC3DE6" w:rsidRDefault="00CC3DE6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[-.6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29</w:t>
            </w:r>
            <w:r>
              <w:rPr>
                <w:rFonts w:asciiTheme="minorHAnsi" w:hAnsiTheme="minorHAnsi" w:cs="Arial"/>
                <w:sz w:val="20"/>
                <w:lang w:val="en-GB"/>
              </w:rPr>
              <w:t>, -.2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17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C5A8DE5" w14:textId="1F5A705A" w:rsidR="00613C6D" w:rsidRDefault="00483D5E" w:rsidP="00896EBB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="00613C6D" w:rsidRPr="006A5A26">
              <w:rPr>
                <w:rFonts w:asciiTheme="minorHAnsi" w:hAnsiTheme="minorHAnsi" w:cs="Arial"/>
                <w:sz w:val="20"/>
                <w:lang w:val="en-GB"/>
              </w:rPr>
              <w:t>.4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01</w:t>
            </w:r>
            <w:r w:rsidR="00613C6D"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38DF5EE5" w14:textId="1CA416D3" w:rsidR="00CC3DE6" w:rsidRPr="00CC3DE6" w:rsidRDefault="00CC3DE6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[.1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64</w:t>
            </w:r>
            <w:r>
              <w:rPr>
                <w:rFonts w:asciiTheme="minorHAnsi" w:hAnsiTheme="minorHAnsi" w:cs="Arial"/>
                <w:sz w:val="20"/>
                <w:lang w:val="en-GB"/>
              </w:rPr>
              <w:t>, .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594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</w:tr>
      <w:tr w:rsidR="00613C6D" w:rsidRPr="006A5A26" w14:paraId="67CE8626" w14:textId="77777777" w:rsidTr="002511F2">
        <w:trPr>
          <w:trHeight w:val="420"/>
        </w:trPr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D144C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4FA06487" w14:textId="03868D7E" w:rsidR="00613C6D" w:rsidRPr="006A5A26" w:rsidRDefault="002511F2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73D5C5E" w14:textId="5D0D3E14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80D6D5E" w14:textId="68A8EB29" w:rsidR="00613C6D" w:rsidRPr="006A5A26" w:rsidRDefault="00C03A5A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629AC94" w14:textId="2C2542EF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2</w:t>
            </w:r>
          </w:p>
        </w:tc>
      </w:tr>
      <w:tr w:rsidR="00613C6D" w:rsidRPr="006A5A26" w14:paraId="5980A7D6" w14:textId="77777777" w:rsidTr="002511F2">
        <w:trPr>
          <w:trHeight w:val="420"/>
        </w:trPr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D5E95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2260DB" w14:textId="0FEB3C27" w:rsidR="00613C6D" w:rsidRPr="006A5A26" w:rsidRDefault="002511F2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60EA8C98" w14:textId="4E6B792B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212097A9" w14:textId="1029C55A" w:rsidR="00613C6D" w:rsidRPr="006A5A26" w:rsidRDefault="007B0050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EC35" w14:textId="4B0B634A" w:rsidR="00613C6D" w:rsidRPr="006A5A26" w:rsidRDefault="007B0050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</w:tr>
      <w:tr w:rsidR="00613C6D" w:rsidRPr="006A5A26" w14:paraId="42C0F946" w14:textId="77777777" w:rsidTr="002511F2">
        <w:trPr>
          <w:trHeight w:val="480"/>
        </w:trPr>
        <w:tc>
          <w:tcPr>
            <w:tcW w:w="1467" w:type="dxa"/>
            <w:vMerge w:val="restart"/>
            <w:tcBorders>
              <w:top w:val="single" w:sz="4" w:space="0" w:color="AEAEAE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B39CE0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RVP Total Hits</w:t>
            </w:r>
          </w:p>
        </w:tc>
        <w:tc>
          <w:tcPr>
            <w:tcW w:w="1269" w:type="dxa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009618F1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 Coefficient</w:t>
            </w:r>
          </w:p>
        </w:tc>
        <w:tc>
          <w:tcPr>
            <w:tcW w:w="2027" w:type="dxa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0D57FB" w14:textId="6B94FB84" w:rsidR="00613C6D" w:rsidRDefault="00C03A5A" w:rsidP="00896EBB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.4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46</w:t>
            </w:r>
            <w:r w:rsidR="00613C6D"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194787AE" w14:textId="6BF82418" w:rsidR="00CC3DE6" w:rsidRPr="00CC3DE6" w:rsidRDefault="00483D5E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[-.629, -.217]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82CE58B" w14:textId="77777777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9BBA011" w14:textId="4D81FA74" w:rsidR="00613C6D" w:rsidRDefault="00613C6D" w:rsidP="00896EBB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.3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60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1D6EE7D8" w14:textId="480B4256" w:rsidR="00CC3DE6" w:rsidRPr="00CC3DE6" w:rsidRDefault="00CC3DE6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[-.5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63</w:t>
            </w:r>
            <w:r>
              <w:rPr>
                <w:rFonts w:asciiTheme="minorHAnsi" w:hAnsiTheme="minorHAnsi" w:cs="Arial"/>
                <w:sz w:val="20"/>
                <w:lang w:val="en-GB"/>
              </w:rPr>
              <w:t>, -.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117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</w:tr>
      <w:tr w:rsidR="00613C6D" w:rsidRPr="006A5A26" w14:paraId="4A301CD0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0027C7ED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12D8C3E" w14:textId="6C7FF2A7" w:rsidR="00613C6D" w:rsidRPr="006A5A26" w:rsidRDefault="002511F2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69E265" w14:textId="25DCACE5" w:rsidR="00613C6D" w:rsidRPr="006A5A26" w:rsidRDefault="00C03A5A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1F038E" w14:textId="6013665F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8D839D9" w14:textId="6E838BED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6</w:t>
            </w:r>
          </w:p>
        </w:tc>
      </w:tr>
      <w:tr w:rsidR="00613C6D" w:rsidRPr="006A5A26" w14:paraId="6AC046E2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32CE2F61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FC7195" w14:textId="7ADE822D" w:rsidR="00613C6D" w:rsidRPr="006A5A26" w:rsidRDefault="002511F2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319E36B3" w14:textId="3A993079" w:rsidR="00613C6D" w:rsidRPr="006A5A26" w:rsidRDefault="007B0050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1DA53524" w14:textId="37C88155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45DD3" w14:textId="392ECCD2" w:rsidR="00613C6D" w:rsidRPr="006A5A26" w:rsidRDefault="007B0050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</w:tr>
      <w:tr w:rsidR="00613C6D" w:rsidRPr="006A5A26" w14:paraId="4BB172A3" w14:textId="77777777" w:rsidTr="002511F2">
        <w:trPr>
          <w:trHeight w:val="480"/>
        </w:trPr>
        <w:tc>
          <w:tcPr>
            <w:tcW w:w="1467" w:type="dxa"/>
            <w:vMerge w:val="restart"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6D6C4722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PCC/PCUN and Right MFG Connectivity</w:t>
            </w:r>
          </w:p>
        </w:tc>
        <w:tc>
          <w:tcPr>
            <w:tcW w:w="1269" w:type="dxa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DF1C6EE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 Coefficient</w:t>
            </w:r>
          </w:p>
        </w:tc>
        <w:tc>
          <w:tcPr>
            <w:tcW w:w="2027" w:type="dxa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9B322B7" w14:textId="0E720597" w:rsidR="00613C6D" w:rsidRDefault="00483D5E" w:rsidP="00896EBB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="00613C6D" w:rsidRPr="006A5A26">
              <w:rPr>
                <w:rFonts w:asciiTheme="minorHAnsi" w:hAnsiTheme="minorHAnsi" w:cs="Arial"/>
                <w:sz w:val="20"/>
                <w:lang w:val="en-GB"/>
              </w:rPr>
              <w:t>.4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01</w:t>
            </w:r>
            <w:r w:rsidR="00613C6D"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6F6981BC" w14:textId="07943DA2" w:rsidR="00CC3DE6" w:rsidRPr="00CC3DE6" w:rsidRDefault="00483D5E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[.164, .594]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54385F7" w14:textId="474D3657" w:rsidR="00613C6D" w:rsidRDefault="00613C6D" w:rsidP="00896EBB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.3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60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3DA2EB14" w14:textId="28C5A9CD" w:rsidR="00CC3DE6" w:rsidRPr="00CC3DE6" w:rsidRDefault="00CC3DE6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[-.5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63</w:t>
            </w:r>
            <w:r>
              <w:rPr>
                <w:rFonts w:asciiTheme="minorHAnsi" w:hAnsiTheme="minorHAnsi" w:cs="Arial"/>
                <w:sz w:val="20"/>
                <w:lang w:val="en-GB"/>
              </w:rPr>
              <w:t>, -.</w:t>
            </w:r>
            <w:r w:rsidR="00483D5E">
              <w:rPr>
                <w:rFonts w:asciiTheme="minorHAnsi" w:hAnsiTheme="minorHAnsi" w:cs="Arial"/>
                <w:sz w:val="20"/>
                <w:lang w:val="en-GB"/>
              </w:rPr>
              <w:t>117</w:t>
            </w:r>
            <w:r>
              <w:rPr>
                <w:rFonts w:asciiTheme="minorHAnsi" w:hAnsiTheme="minorHAnsi" w:cs="Arial"/>
                <w:sz w:val="20"/>
                <w:lang w:val="en-GB"/>
              </w:rPr>
              <w:t>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E2139C1" w14:textId="77777777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1.000</w:t>
            </w:r>
          </w:p>
        </w:tc>
      </w:tr>
      <w:tr w:rsidR="00613C6D" w:rsidRPr="006A5A26" w14:paraId="2BB2033A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187A2AA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B785096" w14:textId="41198753" w:rsidR="00613C6D" w:rsidRPr="006A5A26" w:rsidRDefault="002511F2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1B87C02" w14:textId="03F40A79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D7A39C3" w14:textId="212822FC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 w:rsidR="007B0050">
              <w:rPr>
                <w:rFonts w:asciiTheme="minorHAnsi" w:hAnsiTheme="minorHAnsi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506A9EF" w14:textId="634B33EF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613C6D" w:rsidRPr="006A5A26" w14:paraId="68CE1635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73293E5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1A60B181" w14:textId="62B08A47" w:rsidR="00613C6D" w:rsidRPr="006A5A26" w:rsidRDefault="002511F2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A865844" w14:textId="4227B31C" w:rsidR="00613C6D" w:rsidRPr="006A5A26" w:rsidRDefault="007B0050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EF4D73B" w14:textId="66745728" w:rsidR="00613C6D" w:rsidRPr="006A5A26" w:rsidRDefault="007B0050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hideMark/>
          </w:tcPr>
          <w:p w14:paraId="71F1EAEA" w14:textId="78630CEA" w:rsidR="00613C6D" w:rsidRPr="006A5A26" w:rsidRDefault="00613C6D" w:rsidP="00896EBB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613C6D" w:rsidRPr="006A5A26" w14:paraId="621DEBC5" w14:textId="77777777" w:rsidTr="00C03A5A">
        <w:trPr>
          <w:trHeight w:val="420"/>
        </w:trPr>
        <w:tc>
          <w:tcPr>
            <w:tcW w:w="0" w:type="auto"/>
            <w:gridSpan w:val="5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CB31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**. Correlation is significant at the 0.01 level (2-tailed).</w:t>
            </w:r>
          </w:p>
        </w:tc>
      </w:tr>
    </w:tbl>
    <w:p w14:paraId="02E161B8" w14:textId="4B22DE29" w:rsidR="00025CB4" w:rsidRPr="006A5A26" w:rsidRDefault="00613C6D" w:rsidP="00F76827">
      <w:pPr>
        <w:pStyle w:val="Caption"/>
        <w:keepNext/>
        <w:rPr>
          <w:rFonts w:asciiTheme="minorHAnsi" w:hAnsiTheme="minorHAnsi" w:cs="Arial"/>
        </w:rPr>
      </w:pPr>
      <w:r w:rsidRPr="006A5A26">
        <w:rPr>
          <w:rFonts w:asciiTheme="minorHAnsi" w:hAnsiTheme="minorHAnsi" w:cs="Arial"/>
        </w:rPr>
        <w:lastRenderedPageBreak/>
        <w:t xml:space="preserve">Table </w:t>
      </w:r>
      <w:r w:rsidR="00300CBF" w:rsidRPr="006A5A26">
        <w:rPr>
          <w:rFonts w:asciiTheme="minorHAnsi" w:hAnsiTheme="minorHAnsi" w:cs="Arial"/>
        </w:rPr>
        <w:t>S</w:t>
      </w:r>
      <w:r w:rsidR="00EB1E03">
        <w:rPr>
          <w:rFonts w:asciiTheme="minorHAnsi" w:hAnsiTheme="minorHAnsi" w:cs="Arial"/>
        </w:rPr>
        <w:t>5.</w:t>
      </w:r>
      <w:r w:rsidRPr="006A5A26">
        <w:rPr>
          <w:rFonts w:asciiTheme="minorHAnsi" w:hAnsiTheme="minorHAnsi" w:cs="Arial"/>
        </w:rPr>
        <w:t xml:space="preserve"> Non-parametric </w:t>
      </w:r>
      <w:r w:rsidR="00942E01">
        <w:rPr>
          <w:rFonts w:asciiTheme="minorHAnsi" w:hAnsiTheme="minorHAnsi" w:cs="Arial"/>
        </w:rPr>
        <w:t xml:space="preserve">partial </w:t>
      </w:r>
      <w:r w:rsidRPr="006A5A26">
        <w:rPr>
          <w:rFonts w:asciiTheme="minorHAnsi" w:hAnsiTheme="minorHAnsi" w:cs="Arial"/>
        </w:rPr>
        <w:t>Spearman’s correlation of ADHD symptom</w:t>
      </w:r>
      <w:r w:rsidR="0013745F" w:rsidRPr="006A5A26">
        <w:rPr>
          <w:rFonts w:asciiTheme="minorHAnsi" w:hAnsiTheme="minorHAnsi" w:cs="Arial"/>
        </w:rPr>
        <w:t>s</w:t>
      </w:r>
      <w:r w:rsidRPr="006A5A26">
        <w:rPr>
          <w:rFonts w:asciiTheme="minorHAnsi" w:hAnsiTheme="minorHAnsi" w:cs="Arial"/>
        </w:rPr>
        <w:t xml:space="preserve"> (BAARS</w:t>
      </w:r>
      <w:r w:rsidR="00861DD6">
        <w:rPr>
          <w:rFonts w:asciiTheme="minorHAnsi" w:hAnsiTheme="minorHAnsi" w:cs="Arial"/>
        </w:rPr>
        <w:t>-IV</w:t>
      </w:r>
      <w:r w:rsidRPr="006A5A26">
        <w:rPr>
          <w:rFonts w:asciiTheme="minorHAnsi" w:hAnsiTheme="minorHAnsi" w:cs="Arial"/>
        </w:rPr>
        <w:t xml:space="preserve"> current </w:t>
      </w:r>
      <w:r w:rsidR="00025CB4" w:rsidRPr="006A5A26">
        <w:rPr>
          <w:rFonts w:asciiTheme="minorHAnsi" w:hAnsiTheme="minorHAnsi" w:cs="Arial"/>
        </w:rPr>
        <w:t>Hyper-Impulsive Symptoms</w:t>
      </w:r>
      <w:r w:rsidRPr="006A5A26">
        <w:rPr>
          <w:rFonts w:asciiTheme="minorHAnsi" w:hAnsiTheme="minorHAnsi" w:cs="Arial"/>
        </w:rPr>
        <w:t>), cognitive assessment and resting state brain connectivity</w:t>
      </w:r>
      <w:r w:rsidR="00EB1E03">
        <w:rPr>
          <w:rFonts w:asciiTheme="minorHAnsi" w:hAnsiTheme="minorHAnsi" w:cs="Arial"/>
        </w:rPr>
        <w:t xml:space="preserve"> (PCC/PCUN to right MFG)</w:t>
      </w:r>
      <w:r w:rsidR="00942E01">
        <w:rPr>
          <w:rFonts w:asciiTheme="minorHAnsi" w:hAnsiTheme="minorHAnsi" w:cs="Arial"/>
        </w:rPr>
        <w:t xml:space="preserve">, </w:t>
      </w:r>
      <w:r w:rsidR="00942E01" w:rsidRPr="006A5A26">
        <w:rPr>
          <w:rFonts w:asciiTheme="minorHAnsi" w:hAnsiTheme="minorHAnsi" w:cs="Arial"/>
        </w:rPr>
        <w:t xml:space="preserve">correcting for </w:t>
      </w:r>
      <w:r w:rsidR="00942E01" w:rsidRPr="001519F8">
        <w:rPr>
          <w:rFonts w:asciiTheme="minorHAnsi" w:hAnsiTheme="minorHAnsi" w:cs="Arial"/>
        </w:rPr>
        <w:t>age, gender, NART full IQ score</w:t>
      </w:r>
      <w:r w:rsidR="00942E01">
        <w:rPr>
          <w:rFonts w:asciiTheme="minorHAnsi" w:hAnsiTheme="minorHAnsi" w:cs="Arial"/>
        </w:rPr>
        <w:t xml:space="preserve"> and</w:t>
      </w:r>
      <w:r w:rsidR="00942E01" w:rsidRPr="001519F8">
        <w:rPr>
          <w:rFonts w:asciiTheme="minorHAnsi" w:hAnsiTheme="minorHAnsi" w:cs="Arial"/>
        </w:rPr>
        <w:t xml:space="preserve"> mean framewise displacement.</w:t>
      </w:r>
    </w:p>
    <w:p w14:paraId="0BCA5E96" w14:textId="77777777" w:rsidR="00300CBF" w:rsidRPr="006A5A26" w:rsidRDefault="00300CBF" w:rsidP="00300CBF">
      <w:pPr>
        <w:rPr>
          <w:rFonts w:asciiTheme="minorHAnsi" w:hAnsiTheme="minorHAnsi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67"/>
        <w:gridCol w:w="1253"/>
        <w:gridCol w:w="2092"/>
        <w:gridCol w:w="1859"/>
        <w:gridCol w:w="1876"/>
      </w:tblGrid>
      <w:tr w:rsidR="00613C6D" w:rsidRPr="006A5A26" w14:paraId="0933FE3A" w14:textId="77777777" w:rsidTr="002511F2">
        <w:trPr>
          <w:trHeight w:val="545"/>
        </w:trPr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87AAEBF" w14:textId="77777777" w:rsidR="00613C6D" w:rsidRPr="006A5A26" w:rsidRDefault="00613C6D" w:rsidP="00C03A5A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58EB19F" w14:textId="53CCB51C" w:rsidR="00613C6D" w:rsidRPr="006A5A26" w:rsidRDefault="00613C6D" w:rsidP="00613C6D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 xml:space="preserve"> Current Hyper-Impulsive Symptoms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E41119A" w14:textId="77777777" w:rsidR="00613C6D" w:rsidRPr="006A5A26" w:rsidRDefault="00613C6D" w:rsidP="00C03A5A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RVP Total Hits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14D2FEB" w14:textId="77777777" w:rsidR="00613C6D" w:rsidRPr="006A5A26" w:rsidRDefault="00613C6D" w:rsidP="00C03A5A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PCC/PCUN and Right MFG Connectivity</w:t>
            </w:r>
          </w:p>
        </w:tc>
      </w:tr>
      <w:tr w:rsidR="002511F2" w:rsidRPr="006A5A26" w14:paraId="35E03B4C" w14:textId="77777777" w:rsidTr="002511F2">
        <w:trPr>
          <w:trHeight w:val="480"/>
        </w:trPr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AC9EDC" w14:textId="2B1EB566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BAARS</w:t>
            </w:r>
            <w:r w:rsidR="00861DD6">
              <w:rPr>
                <w:rFonts w:asciiTheme="minorHAnsi" w:hAnsiTheme="minorHAnsi" w:cs="Arial"/>
                <w:sz w:val="20"/>
                <w:lang w:val="en-GB"/>
              </w:rPr>
              <w:t>-IV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 xml:space="preserve"> Current Hyper-Impulsive Symptoms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3B572E35" w14:textId="08379646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 Coefficient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A948601" w14:textId="77777777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61BEAEA" w14:textId="782A8231" w:rsidR="002511F2" w:rsidRDefault="002511F2" w:rsidP="002511F2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</w:t>
            </w:r>
            <w:r>
              <w:rPr>
                <w:rFonts w:asciiTheme="minorHAnsi" w:hAnsiTheme="minorHAnsi" w:cs="Arial"/>
                <w:sz w:val="20"/>
                <w:lang w:val="en-GB"/>
              </w:rPr>
              <w:t>417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4EE58EF5" w14:textId="584D26A1" w:rsidR="002511F2" w:rsidRPr="00CC3DE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[-.607, -.182]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D2960AE" w14:textId="11D182CC" w:rsidR="002511F2" w:rsidRDefault="002511F2" w:rsidP="002511F2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.4</w:t>
            </w:r>
            <w:r>
              <w:rPr>
                <w:rFonts w:asciiTheme="minorHAnsi" w:hAnsiTheme="minorHAnsi" w:cs="Arial"/>
                <w:sz w:val="20"/>
                <w:lang w:val="en-GB"/>
              </w:rPr>
              <w:t>06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57AA287D" w14:textId="7DA7EF07" w:rsidR="002511F2" w:rsidRPr="00CC3DE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[.170, .598]</w:t>
            </w:r>
          </w:p>
        </w:tc>
      </w:tr>
      <w:tr w:rsidR="002511F2" w:rsidRPr="006A5A26" w14:paraId="0AD381EB" w14:textId="77777777" w:rsidTr="002511F2">
        <w:trPr>
          <w:trHeight w:val="420"/>
        </w:trPr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F9E0F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76FA247" w14:textId="06916F49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0B16F4F" w14:textId="060A559F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2080AA7" w14:textId="2C8B99ED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98DAA85" w14:textId="44458B45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lang w:val="en-GB"/>
              </w:rPr>
              <w:t>2</w:t>
            </w:r>
          </w:p>
        </w:tc>
      </w:tr>
      <w:tr w:rsidR="002511F2" w:rsidRPr="006A5A26" w14:paraId="502C2F41" w14:textId="77777777" w:rsidTr="002511F2">
        <w:trPr>
          <w:trHeight w:val="420"/>
        </w:trPr>
        <w:tc>
          <w:tcPr>
            <w:tcW w:w="1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BC06D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820E4E" w14:textId="4E187B0F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246BB827" w14:textId="48E5BB7B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538486B6" w14:textId="6A955308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C617" w14:textId="749608B9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</w:tr>
      <w:tr w:rsidR="002511F2" w:rsidRPr="006A5A26" w14:paraId="2E1E945C" w14:textId="77777777" w:rsidTr="002511F2">
        <w:trPr>
          <w:trHeight w:val="480"/>
        </w:trPr>
        <w:tc>
          <w:tcPr>
            <w:tcW w:w="1467" w:type="dxa"/>
            <w:vMerge w:val="restart"/>
            <w:tcBorders>
              <w:top w:val="single" w:sz="4" w:space="0" w:color="AEAEAE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1DB4B8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RVP Total Hits</w:t>
            </w:r>
          </w:p>
        </w:tc>
        <w:tc>
          <w:tcPr>
            <w:tcW w:w="1253" w:type="dxa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70AAC418" w14:textId="19F3D48D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 Coefficient</w:t>
            </w:r>
          </w:p>
        </w:tc>
        <w:tc>
          <w:tcPr>
            <w:tcW w:w="2092" w:type="dxa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DFA4D27" w14:textId="2D937C4A" w:rsidR="002511F2" w:rsidRDefault="002511F2" w:rsidP="002511F2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</w:t>
            </w:r>
            <w:r>
              <w:rPr>
                <w:rFonts w:asciiTheme="minorHAnsi" w:hAnsiTheme="minorHAnsi" w:cs="Arial"/>
                <w:sz w:val="20"/>
                <w:lang w:val="en-GB"/>
              </w:rPr>
              <w:t>417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6231B0F9" w14:textId="208BF852" w:rsidR="002511F2" w:rsidRPr="00CC3DE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[-.607, -.182]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75F1BCC" w14:textId="77777777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105688B" w14:textId="739C09E0" w:rsidR="002511F2" w:rsidRDefault="002511F2" w:rsidP="002511F2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.3</w:t>
            </w:r>
            <w:r>
              <w:rPr>
                <w:rFonts w:asciiTheme="minorHAnsi" w:hAnsiTheme="minorHAnsi" w:cs="Arial"/>
                <w:sz w:val="20"/>
                <w:lang w:val="en-GB"/>
              </w:rPr>
              <w:t>60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06BA24B3" w14:textId="409009F7" w:rsidR="002511F2" w:rsidRPr="00CC3DE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[-.563, -.117]</w:t>
            </w:r>
          </w:p>
        </w:tc>
      </w:tr>
      <w:tr w:rsidR="002511F2" w:rsidRPr="006A5A26" w14:paraId="2EBB420D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662E6323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1C9E2E21" w14:textId="5F072625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5C577D" w14:textId="5EE43D65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0955CC2" w14:textId="55835C9F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D144C2E" w14:textId="3A47D69D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lang w:val="en-GB"/>
              </w:rPr>
              <w:t>6</w:t>
            </w:r>
          </w:p>
        </w:tc>
      </w:tr>
      <w:tr w:rsidR="002511F2" w:rsidRPr="006A5A26" w14:paraId="2570FD83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nil"/>
              <w:right w:val="nil"/>
            </w:tcBorders>
            <w:vAlign w:val="center"/>
            <w:hideMark/>
          </w:tcPr>
          <w:p w14:paraId="60E1AF2F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0A7C55" w14:textId="6CB67D10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2650B60D" w14:textId="3EC5121C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0164DD27" w14:textId="448BE0D3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4DF23" w14:textId="6BA5EBDF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</w:tr>
      <w:tr w:rsidR="002511F2" w:rsidRPr="006A5A26" w14:paraId="127E616B" w14:textId="77777777" w:rsidTr="002511F2">
        <w:trPr>
          <w:trHeight w:val="480"/>
        </w:trPr>
        <w:tc>
          <w:tcPr>
            <w:tcW w:w="1467" w:type="dxa"/>
            <w:vMerge w:val="restart"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7ABA479E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PCC/PCUN and Right MFG Connectivity</w:t>
            </w:r>
          </w:p>
        </w:tc>
        <w:tc>
          <w:tcPr>
            <w:tcW w:w="1253" w:type="dxa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575A635C" w14:textId="5F1F19CE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Correlation Coefficient</w:t>
            </w:r>
          </w:p>
        </w:tc>
        <w:tc>
          <w:tcPr>
            <w:tcW w:w="2092" w:type="dxa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85AE6AC" w14:textId="4433BB3B" w:rsidR="002511F2" w:rsidRDefault="002511F2" w:rsidP="002511F2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.4</w:t>
            </w:r>
            <w:r>
              <w:rPr>
                <w:rFonts w:asciiTheme="minorHAnsi" w:hAnsiTheme="minorHAnsi" w:cs="Arial"/>
                <w:sz w:val="20"/>
                <w:lang w:val="en-GB"/>
              </w:rPr>
              <w:t>06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41A29252" w14:textId="12F269B8" w:rsidR="002511F2" w:rsidRPr="00CC3DE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[.170, .598]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53F746D" w14:textId="0FA28CCB" w:rsidR="002511F2" w:rsidRDefault="002511F2" w:rsidP="002511F2">
            <w:pPr>
              <w:jc w:val="center"/>
              <w:rPr>
                <w:rFonts w:asciiTheme="minorHAnsi" w:hAnsiTheme="minorHAnsi" w:cs="Arial"/>
                <w:sz w:val="20"/>
                <w:vertAlign w:val="superscript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-</w:t>
            </w:r>
            <w:r>
              <w:rPr>
                <w:rFonts w:asciiTheme="minorHAnsi" w:hAnsiTheme="minorHAnsi" w:cs="Arial"/>
                <w:sz w:val="20"/>
                <w:lang w:val="en-GB"/>
              </w:rPr>
              <w:t>0</w:t>
            </w:r>
            <w:r w:rsidRPr="006A5A26">
              <w:rPr>
                <w:rFonts w:asciiTheme="minorHAnsi" w:hAnsiTheme="minorHAnsi" w:cs="Arial"/>
                <w:sz w:val="20"/>
                <w:lang w:val="en-GB"/>
              </w:rPr>
              <w:t>.3</w:t>
            </w:r>
            <w:r>
              <w:rPr>
                <w:rFonts w:asciiTheme="minorHAnsi" w:hAnsiTheme="minorHAnsi" w:cs="Arial"/>
                <w:sz w:val="20"/>
                <w:lang w:val="en-GB"/>
              </w:rPr>
              <w:t>60</w:t>
            </w:r>
            <w:r w:rsidRPr="006A5A26">
              <w:rPr>
                <w:rFonts w:asciiTheme="minorHAnsi" w:hAnsiTheme="minorHAnsi" w:cs="Arial"/>
                <w:sz w:val="20"/>
                <w:vertAlign w:val="superscript"/>
                <w:lang w:val="en-GB"/>
              </w:rPr>
              <w:t>**</w:t>
            </w:r>
          </w:p>
          <w:p w14:paraId="14D41BB9" w14:textId="42146FE8" w:rsidR="002511F2" w:rsidRPr="00CC3DE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95% CI [-.563, -.117]</w:t>
            </w:r>
          </w:p>
        </w:tc>
        <w:tc>
          <w:tcPr>
            <w:tcW w:w="0" w:type="auto"/>
            <w:tcBorders>
              <w:top w:val="single" w:sz="4" w:space="0" w:color="AEAEAE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8384A12" w14:textId="77777777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1.000</w:t>
            </w:r>
          </w:p>
        </w:tc>
      </w:tr>
      <w:tr w:rsidR="002511F2" w:rsidRPr="006A5A26" w14:paraId="19802EE4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56C0749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E0E0E0"/>
            <w:hideMark/>
          </w:tcPr>
          <w:p w14:paraId="6C6044F2" w14:textId="1A3211C0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Significance (2-tailed)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441F86B" w14:textId="4F04D5B9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1E3E821" w14:textId="08D1FDB2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0.00</w:t>
            </w:r>
            <w:r>
              <w:rPr>
                <w:rFonts w:asciiTheme="minorHAnsi" w:hAnsiTheme="minorHAnsi" w:cs="Arial"/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F4D09DD" w14:textId="2B8531E1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2511F2" w:rsidRPr="006A5A26" w14:paraId="1FCC16AE" w14:textId="77777777" w:rsidTr="002511F2">
        <w:trPr>
          <w:trHeight w:val="420"/>
        </w:trPr>
        <w:tc>
          <w:tcPr>
            <w:tcW w:w="1467" w:type="dxa"/>
            <w:vMerge/>
            <w:tcBorders>
              <w:top w:val="single" w:sz="4" w:space="0" w:color="AEAEAE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5939EDE" w14:textId="77777777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000000" w:fill="E0E0E0"/>
            <w:hideMark/>
          </w:tcPr>
          <w:p w14:paraId="6B4293C5" w14:textId="580FCFB5" w:rsidR="002511F2" w:rsidRPr="006A5A26" w:rsidRDefault="002511F2" w:rsidP="002511F2">
            <w:pPr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df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42BE6B2" w14:textId="5AF9B0BD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33E3DDD" w14:textId="44052DD8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lang w:val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noWrap/>
            <w:hideMark/>
          </w:tcPr>
          <w:p w14:paraId="15D8233A" w14:textId="35C6D32C" w:rsidR="002511F2" w:rsidRPr="006A5A26" w:rsidRDefault="002511F2" w:rsidP="002511F2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613C6D" w:rsidRPr="006A5A26" w14:paraId="46FFA6E7" w14:textId="77777777" w:rsidTr="00C20B55">
        <w:trPr>
          <w:trHeight w:val="251"/>
        </w:trPr>
        <w:tc>
          <w:tcPr>
            <w:tcW w:w="0" w:type="auto"/>
            <w:gridSpan w:val="5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C3EF" w14:textId="77777777" w:rsidR="00613C6D" w:rsidRPr="006A5A26" w:rsidRDefault="00613C6D" w:rsidP="00C03A5A">
            <w:pPr>
              <w:rPr>
                <w:rFonts w:asciiTheme="minorHAnsi" w:hAnsiTheme="minorHAnsi" w:cs="Arial"/>
                <w:sz w:val="20"/>
                <w:lang w:val="en-GB"/>
              </w:rPr>
            </w:pPr>
            <w:r w:rsidRPr="006A5A26">
              <w:rPr>
                <w:rFonts w:asciiTheme="minorHAnsi" w:hAnsiTheme="minorHAnsi" w:cs="Arial"/>
                <w:sz w:val="20"/>
                <w:lang w:val="en-GB"/>
              </w:rPr>
              <w:t>**. Correlation is significant at the 0.01 level (2-tailed).</w:t>
            </w:r>
          </w:p>
        </w:tc>
      </w:tr>
    </w:tbl>
    <w:p w14:paraId="2744F949" w14:textId="77777777" w:rsidR="000A415C" w:rsidRDefault="000A415C" w:rsidP="000A415C">
      <w:pPr>
        <w:pStyle w:val="SMText"/>
        <w:ind w:firstLine="0"/>
        <w:rPr>
          <w:rFonts w:asciiTheme="minorHAnsi" w:hAnsiTheme="minorHAnsi" w:cstheme="minorHAnsi"/>
          <w:lang w:val="en-GB"/>
        </w:rPr>
      </w:pPr>
    </w:p>
    <w:p w14:paraId="560409FD" w14:textId="74001D0D" w:rsidR="000A415C" w:rsidRDefault="000A415C" w:rsidP="000A415C">
      <w:pPr>
        <w:pStyle w:val="SMText"/>
        <w:ind w:firstLine="0"/>
        <w:rPr>
          <w:rFonts w:asciiTheme="minorHAnsi" w:hAnsiTheme="minorHAnsi" w:cstheme="minorHAnsi"/>
          <w:lang w:val="en-GB"/>
        </w:rPr>
      </w:pPr>
    </w:p>
    <w:p w14:paraId="3D62B934" w14:textId="28DE3392" w:rsidR="00154C2D" w:rsidRPr="006A5A26" w:rsidRDefault="009C66BA" w:rsidP="00154C2D">
      <w:pPr>
        <w:pStyle w:val="SMHeading"/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bCs w:val="0"/>
        </w:rPr>
        <w:br w:type="column"/>
      </w:r>
      <w:bookmarkStart w:id="7" w:name="_Toc19027155"/>
      <w:r w:rsidR="00154C2D">
        <w:rPr>
          <w:rFonts w:asciiTheme="minorHAnsi" w:hAnsiTheme="minorHAnsi"/>
          <w:lang w:val="en-GB"/>
        </w:rPr>
        <w:lastRenderedPageBreak/>
        <w:t>References</w:t>
      </w:r>
      <w:bookmarkEnd w:id="7"/>
    </w:p>
    <w:p w14:paraId="7A8B0078" w14:textId="77777777" w:rsidR="009C66BA" w:rsidRDefault="009C66BA" w:rsidP="000A415C">
      <w:pPr>
        <w:pStyle w:val="SMText"/>
        <w:ind w:firstLine="0"/>
        <w:rPr>
          <w:rFonts w:asciiTheme="minorHAnsi" w:hAnsiTheme="minorHAnsi" w:cstheme="minorHAnsi"/>
          <w:bCs/>
        </w:rPr>
      </w:pPr>
    </w:p>
    <w:p w14:paraId="7B9EFDCD" w14:textId="77777777" w:rsidR="00293050" w:rsidRPr="00293050" w:rsidRDefault="009C66BA" w:rsidP="00293050">
      <w:pPr>
        <w:pStyle w:val="EndNoteBibliography"/>
        <w:spacing w:after="240"/>
        <w:rPr>
          <w:noProof/>
        </w:rPr>
      </w:pPr>
      <w:r>
        <w:rPr>
          <w:rFonts w:asciiTheme="minorHAnsi" w:hAnsiTheme="minorHAnsi" w:cstheme="minorHAnsi"/>
          <w:bCs/>
        </w:rPr>
        <w:fldChar w:fldCharType="begin"/>
      </w:r>
      <w:r>
        <w:rPr>
          <w:rFonts w:asciiTheme="minorHAnsi" w:hAnsiTheme="minorHAnsi" w:cstheme="minorHAnsi"/>
          <w:bCs/>
        </w:rPr>
        <w:instrText xml:space="preserve"> ADDIN EN.REFLIST </w:instrText>
      </w:r>
      <w:r>
        <w:rPr>
          <w:rFonts w:asciiTheme="minorHAnsi" w:hAnsiTheme="minorHAnsi" w:cstheme="minorHAnsi"/>
          <w:bCs/>
        </w:rPr>
        <w:fldChar w:fldCharType="separate"/>
      </w:r>
      <w:bookmarkStart w:id="8" w:name="_ENREF_1"/>
      <w:r w:rsidR="00293050" w:rsidRPr="00293050">
        <w:rPr>
          <w:b/>
          <w:noProof/>
        </w:rPr>
        <w:t xml:space="preserve">Achenbach, T. M. &amp; Rescorla, L. </w:t>
      </w:r>
      <w:r w:rsidR="00293050" w:rsidRPr="00293050">
        <w:rPr>
          <w:noProof/>
        </w:rPr>
        <w:t xml:space="preserve">(2003). </w:t>
      </w:r>
      <w:r w:rsidR="00293050" w:rsidRPr="00293050">
        <w:rPr>
          <w:i/>
          <w:noProof/>
        </w:rPr>
        <w:t>Manual for the ASEBA adult forms &amp; profiles : for ages 18-59 : adult self-report, adult behavior checklist</w:t>
      </w:r>
      <w:r w:rsidR="00293050" w:rsidRPr="00293050">
        <w:rPr>
          <w:noProof/>
        </w:rPr>
        <w:t>. ASEBA: Burlington, VT.</w:t>
      </w:r>
      <w:bookmarkEnd w:id="8"/>
    </w:p>
    <w:p w14:paraId="26334837" w14:textId="77777777" w:rsidR="00293050" w:rsidRPr="00293050" w:rsidRDefault="00293050" w:rsidP="00293050">
      <w:pPr>
        <w:pStyle w:val="EndNoteBibliography"/>
        <w:rPr>
          <w:noProof/>
        </w:rPr>
      </w:pPr>
      <w:bookmarkStart w:id="9" w:name="_ENREF_2"/>
      <w:r w:rsidRPr="00293050">
        <w:rPr>
          <w:b/>
          <w:noProof/>
        </w:rPr>
        <w:t xml:space="preserve">Barkley, R. A. </w:t>
      </w:r>
      <w:r w:rsidRPr="00293050">
        <w:rPr>
          <w:noProof/>
        </w:rPr>
        <w:t xml:space="preserve">(2011). </w:t>
      </w:r>
      <w:r w:rsidRPr="00293050">
        <w:rPr>
          <w:i/>
          <w:noProof/>
        </w:rPr>
        <w:t>Barkley Adult ADHD Rating Scale-IV (BAARS-IV)</w:t>
      </w:r>
      <w:r w:rsidRPr="00293050">
        <w:rPr>
          <w:noProof/>
        </w:rPr>
        <w:t>. Guilford Press: New York.</w:t>
      </w:r>
      <w:bookmarkEnd w:id="9"/>
    </w:p>
    <w:p w14:paraId="43677C60" w14:textId="288C3754" w:rsidR="000A415C" w:rsidRPr="000A415C" w:rsidRDefault="009C66BA" w:rsidP="000A415C">
      <w:pPr>
        <w:pStyle w:val="SMText"/>
        <w:ind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end"/>
      </w:r>
    </w:p>
    <w:sectPr w:rsidR="000A415C" w:rsidRPr="000A415C" w:rsidSect="00F125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B7A7" w14:textId="77777777" w:rsidR="005B3066" w:rsidRDefault="005B3066">
      <w:r>
        <w:separator/>
      </w:r>
    </w:p>
  </w:endnote>
  <w:endnote w:type="continuationSeparator" w:id="0">
    <w:p w14:paraId="71B3483D" w14:textId="77777777" w:rsidR="005B3066" w:rsidRDefault="005B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41B4" w14:textId="77777777" w:rsidR="003B30B8" w:rsidRPr="00300CBF" w:rsidRDefault="003B30B8">
    <w:pPr>
      <w:pStyle w:val="Footer"/>
      <w:jc w:val="right"/>
      <w:rPr>
        <w:rFonts w:asciiTheme="minorHAnsi" w:hAnsiTheme="minorHAnsi"/>
      </w:rPr>
    </w:pPr>
    <w:r w:rsidRPr="00300CBF">
      <w:rPr>
        <w:rFonts w:asciiTheme="minorHAnsi" w:hAnsiTheme="minorHAnsi"/>
      </w:rPr>
      <w:fldChar w:fldCharType="begin"/>
    </w:r>
    <w:r w:rsidRPr="00300CBF">
      <w:rPr>
        <w:rFonts w:asciiTheme="minorHAnsi" w:hAnsiTheme="minorHAnsi"/>
      </w:rPr>
      <w:instrText xml:space="preserve"> PAGE   \* MERGEFORMAT </w:instrText>
    </w:r>
    <w:r w:rsidRPr="00300CBF">
      <w:rPr>
        <w:rFonts w:asciiTheme="minorHAnsi" w:hAnsiTheme="minorHAnsi"/>
      </w:rPr>
      <w:fldChar w:fldCharType="separate"/>
    </w:r>
    <w:r w:rsidRPr="00300CBF">
      <w:rPr>
        <w:rFonts w:asciiTheme="minorHAnsi" w:hAnsiTheme="minorHAnsi"/>
        <w:noProof/>
      </w:rPr>
      <w:t>3</w:t>
    </w:r>
    <w:r w:rsidRPr="00300CBF">
      <w:rPr>
        <w:rFonts w:asciiTheme="minorHAnsi" w:hAnsiTheme="minorHAnsi"/>
      </w:rPr>
      <w:fldChar w:fldCharType="end"/>
    </w:r>
  </w:p>
  <w:p w14:paraId="732E81FC" w14:textId="77777777" w:rsidR="003B30B8" w:rsidRPr="00300CBF" w:rsidRDefault="003B30B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F653" w14:textId="77777777" w:rsidR="005B3066" w:rsidRDefault="005B3066">
      <w:r>
        <w:separator/>
      </w:r>
    </w:p>
  </w:footnote>
  <w:footnote w:type="continuationSeparator" w:id="0">
    <w:p w14:paraId="108235EE" w14:textId="77777777" w:rsidR="005B3066" w:rsidRDefault="005B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62AF" w14:textId="77777777" w:rsidR="003B30B8" w:rsidRPr="005001AC" w:rsidRDefault="003B30B8" w:rsidP="005001AC">
    <w:pPr>
      <w:jc w:val="right"/>
      <w:rPr>
        <w:sz w:val="20"/>
      </w:rPr>
    </w:pPr>
  </w:p>
  <w:p w14:paraId="4FC98540" w14:textId="77777777" w:rsidR="003B30B8" w:rsidRDefault="003B30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65770"/>
    <w:multiLevelType w:val="hybridMultilevel"/>
    <w:tmpl w:val="57E09E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0e52pzwwaw2fe0fe6v5w9udtr9zsrrrwa5&quot;&gt;My EndNote Library&lt;record-ids&gt;&lt;item&gt;814&lt;/item&gt;&lt;item&gt;865&lt;/item&gt;&lt;/record-ids&gt;&lt;/item&gt;&lt;/Libraries&gt;"/>
  </w:docVars>
  <w:rsids>
    <w:rsidRoot w:val="002C030F"/>
    <w:rsid w:val="00003596"/>
    <w:rsid w:val="00014760"/>
    <w:rsid w:val="00015F74"/>
    <w:rsid w:val="00025CB4"/>
    <w:rsid w:val="00060B22"/>
    <w:rsid w:val="00065EBD"/>
    <w:rsid w:val="00075E98"/>
    <w:rsid w:val="00083B44"/>
    <w:rsid w:val="000850DC"/>
    <w:rsid w:val="00090229"/>
    <w:rsid w:val="00090F0C"/>
    <w:rsid w:val="0009635C"/>
    <w:rsid w:val="00097626"/>
    <w:rsid w:val="000A415C"/>
    <w:rsid w:val="000C2771"/>
    <w:rsid w:val="000C3EFC"/>
    <w:rsid w:val="000D330C"/>
    <w:rsid w:val="000E4FEB"/>
    <w:rsid w:val="000F0DCE"/>
    <w:rsid w:val="000F58BE"/>
    <w:rsid w:val="0011208C"/>
    <w:rsid w:val="00112C5B"/>
    <w:rsid w:val="00114193"/>
    <w:rsid w:val="00115A38"/>
    <w:rsid w:val="0011687B"/>
    <w:rsid w:val="00124F82"/>
    <w:rsid w:val="00133BD3"/>
    <w:rsid w:val="00136531"/>
    <w:rsid w:val="0013745F"/>
    <w:rsid w:val="001519F8"/>
    <w:rsid w:val="00152AB6"/>
    <w:rsid w:val="00154C2D"/>
    <w:rsid w:val="0015791E"/>
    <w:rsid w:val="0016337A"/>
    <w:rsid w:val="00164269"/>
    <w:rsid w:val="00195D1F"/>
    <w:rsid w:val="00197613"/>
    <w:rsid w:val="001A1BDE"/>
    <w:rsid w:val="001B46F6"/>
    <w:rsid w:val="001C543C"/>
    <w:rsid w:val="001C5CC7"/>
    <w:rsid w:val="001C7799"/>
    <w:rsid w:val="001D5618"/>
    <w:rsid w:val="001F0876"/>
    <w:rsid w:val="001F167C"/>
    <w:rsid w:val="001F5E91"/>
    <w:rsid w:val="00204AFE"/>
    <w:rsid w:val="002077B9"/>
    <w:rsid w:val="002228D2"/>
    <w:rsid w:val="00227B11"/>
    <w:rsid w:val="002511F2"/>
    <w:rsid w:val="00257BB6"/>
    <w:rsid w:val="00262D72"/>
    <w:rsid w:val="00272B4A"/>
    <w:rsid w:val="00282225"/>
    <w:rsid w:val="00290AFF"/>
    <w:rsid w:val="00293050"/>
    <w:rsid w:val="00294FBB"/>
    <w:rsid w:val="002C030F"/>
    <w:rsid w:val="002C338F"/>
    <w:rsid w:val="002C4A46"/>
    <w:rsid w:val="002D754B"/>
    <w:rsid w:val="002D758C"/>
    <w:rsid w:val="00300CBF"/>
    <w:rsid w:val="00304389"/>
    <w:rsid w:val="00306666"/>
    <w:rsid w:val="00330711"/>
    <w:rsid w:val="00331D75"/>
    <w:rsid w:val="0033675F"/>
    <w:rsid w:val="00355362"/>
    <w:rsid w:val="00355A9F"/>
    <w:rsid w:val="00363E44"/>
    <w:rsid w:val="00366E73"/>
    <w:rsid w:val="0037034F"/>
    <w:rsid w:val="00374AAB"/>
    <w:rsid w:val="00391AC0"/>
    <w:rsid w:val="00393F34"/>
    <w:rsid w:val="00395E86"/>
    <w:rsid w:val="003A2FD8"/>
    <w:rsid w:val="003A4BD6"/>
    <w:rsid w:val="003A74C6"/>
    <w:rsid w:val="003B30B8"/>
    <w:rsid w:val="003B40E6"/>
    <w:rsid w:val="003D1C23"/>
    <w:rsid w:val="003D3343"/>
    <w:rsid w:val="003E64F5"/>
    <w:rsid w:val="003F37B8"/>
    <w:rsid w:val="003F6E14"/>
    <w:rsid w:val="00404AA1"/>
    <w:rsid w:val="00405336"/>
    <w:rsid w:val="00451013"/>
    <w:rsid w:val="004571D5"/>
    <w:rsid w:val="00461D81"/>
    <w:rsid w:val="0046356B"/>
    <w:rsid w:val="004666F6"/>
    <w:rsid w:val="00470A87"/>
    <w:rsid w:val="00477182"/>
    <w:rsid w:val="004779CB"/>
    <w:rsid w:val="00483D5E"/>
    <w:rsid w:val="00491589"/>
    <w:rsid w:val="004B00A9"/>
    <w:rsid w:val="004C5CBF"/>
    <w:rsid w:val="004D4B61"/>
    <w:rsid w:val="004D7413"/>
    <w:rsid w:val="004E2E85"/>
    <w:rsid w:val="004E42D8"/>
    <w:rsid w:val="004E7BA2"/>
    <w:rsid w:val="004F007D"/>
    <w:rsid w:val="004F7EDF"/>
    <w:rsid w:val="005001AC"/>
    <w:rsid w:val="00505756"/>
    <w:rsid w:val="005127F9"/>
    <w:rsid w:val="005177C4"/>
    <w:rsid w:val="00520C8C"/>
    <w:rsid w:val="00527D71"/>
    <w:rsid w:val="00534EFA"/>
    <w:rsid w:val="00544B42"/>
    <w:rsid w:val="0055587E"/>
    <w:rsid w:val="005607DD"/>
    <w:rsid w:val="00570DA6"/>
    <w:rsid w:val="00576BFD"/>
    <w:rsid w:val="00584B57"/>
    <w:rsid w:val="00592322"/>
    <w:rsid w:val="00592DB4"/>
    <w:rsid w:val="00595105"/>
    <w:rsid w:val="005A558C"/>
    <w:rsid w:val="005B3066"/>
    <w:rsid w:val="005B3ABC"/>
    <w:rsid w:val="005C25BB"/>
    <w:rsid w:val="005D76A8"/>
    <w:rsid w:val="005D7768"/>
    <w:rsid w:val="005E28F8"/>
    <w:rsid w:val="005E3EFD"/>
    <w:rsid w:val="005E6513"/>
    <w:rsid w:val="005F1B63"/>
    <w:rsid w:val="005F537A"/>
    <w:rsid w:val="00613C6D"/>
    <w:rsid w:val="006202BE"/>
    <w:rsid w:val="006303D6"/>
    <w:rsid w:val="0065036B"/>
    <w:rsid w:val="00651114"/>
    <w:rsid w:val="0066379B"/>
    <w:rsid w:val="00670299"/>
    <w:rsid w:val="0067061A"/>
    <w:rsid w:val="006827B1"/>
    <w:rsid w:val="00691985"/>
    <w:rsid w:val="006A1B64"/>
    <w:rsid w:val="006A37D3"/>
    <w:rsid w:val="006A5A26"/>
    <w:rsid w:val="006A7964"/>
    <w:rsid w:val="006D2050"/>
    <w:rsid w:val="006E1F08"/>
    <w:rsid w:val="006E341D"/>
    <w:rsid w:val="006E4A03"/>
    <w:rsid w:val="006E6959"/>
    <w:rsid w:val="006F368A"/>
    <w:rsid w:val="006F736F"/>
    <w:rsid w:val="007108F5"/>
    <w:rsid w:val="00713E5B"/>
    <w:rsid w:val="007370E7"/>
    <w:rsid w:val="007402FC"/>
    <w:rsid w:val="007411A1"/>
    <w:rsid w:val="007444C1"/>
    <w:rsid w:val="0077150B"/>
    <w:rsid w:val="00771D91"/>
    <w:rsid w:val="0077217C"/>
    <w:rsid w:val="0077743F"/>
    <w:rsid w:val="00780891"/>
    <w:rsid w:val="007A0A61"/>
    <w:rsid w:val="007B0050"/>
    <w:rsid w:val="007B27CE"/>
    <w:rsid w:val="007B7F0C"/>
    <w:rsid w:val="007C414E"/>
    <w:rsid w:val="007C57B6"/>
    <w:rsid w:val="007D1FDF"/>
    <w:rsid w:val="007D3B40"/>
    <w:rsid w:val="007F10C4"/>
    <w:rsid w:val="007F428A"/>
    <w:rsid w:val="008037B7"/>
    <w:rsid w:val="00807D35"/>
    <w:rsid w:val="00820302"/>
    <w:rsid w:val="008255D3"/>
    <w:rsid w:val="0082680A"/>
    <w:rsid w:val="00846323"/>
    <w:rsid w:val="00861DD6"/>
    <w:rsid w:val="00866624"/>
    <w:rsid w:val="00872659"/>
    <w:rsid w:val="00885C9B"/>
    <w:rsid w:val="00890601"/>
    <w:rsid w:val="00896EBB"/>
    <w:rsid w:val="008A0EC5"/>
    <w:rsid w:val="008B5BF7"/>
    <w:rsid w:val="008D51F0"/>
    <w:rsid w:val="008D5D2A"/>
    <w:rsid w:val="008E117F"/>
    <w:rsid w:val="008F3AA2"/>
    <w:rsid w:val="00910219"/>
    <w:rsid w:val="00910A25"/>
    <w:rsid w:val="00912686"/>
    <w:rsid w:val="00914B63"/>
    <w:rsid w:val="00925D43"/>
    <w:rsid w:val="00930A9D"/>
    <w:rsid w:val="009354F3"/>
    <w:rsid w:val="00942E01"/>
    <w:rsid w:val="009447DC"/>
    <w:rsid w:val="00961BA5"/>
    <w:rsid w:val="009743A9"/>
    <w:rsid w:val="00980888"/>
    <w:rsid w:val="009A0BB3"/>
    <w:rsid w:val="009A5287"/>
    <w:rsid w:val="009B2AC5"/>
    <w:rsid w:val="009B3B37"/>
    <w:rsid w:val="009B7984"/>
    <w:rsid w:val="009C66BA"/>
    <w:rsid w:val="009D54B1"/>
    <w:rsid w:val="009E6F6B"/>
    <w:rsid w:val="009F4BED"/>
    <w:rsid w:val="009F7D93"/>
    <w:rsid w:val="00A26647"/>
    <w:rsid w:val="00A30373"/>
    <w:rsid w:val="00A3129F"/>
    <w:rsid w:val="00A3403B"/>
    <w:rsid w:val="00A44693"/>
    <w:rsid w:val="00A51A12"/>
    <w:rsid w:val="00A61A4E"/>
    <w:rsid w:val="00A627D4"/>
    <w:rsid w:val="00A63157"/>
    <w:rsid w:val="00A63814"/>
    <w:rsid w:val="00A70694"/>
    <w:rsid w:val="00A74DA2"/>
    <w:rsid w:val="00A90BB0"/>
    <w:rsid w:val="00A96A1F"/>
    <w:rsid w:val="00A9768B"/>
    <w:rsid w:val="00AD499C"/>
    <w:rsid w:val="00AD6485"/>
    <w:rsid w:val="00AE0FDF"/>
    <w:rsid w:val="00AE49E9"/>
    <w:rsid w:val="00AE5F35"/>
    <w:rsid w:val="00B109CD"/>
    <w:rsid w:val="00B11412"/>
    <w:rsid w:val="00B16CE6"/>
    <w:rsid w:val="00B20179"/>
    <w:rsid w:val="00B36869"/>
    <w:rsid w:val="00B36BD6"/>
    <w:rsid w:val="00B43B31"/>
    <w:rsid w:val="00B47CFA"/>
    <w:rsid w:val="00B567A4"/>
    <w:rsid w:val="00B57F00"/>
    <w:rsid w:val="00B66800"/>
    <w:rsid w:val="00B77B2A"/>
    <w:rsid w:val="00B82C22"/>
    <w:rsid w:val="00B911FD"/>
    <w:rsid w:val="00B92DDC"/>
    <w:rsid w:val="00B93DBA"/>
    <w:rsid w:val="00B9440A"/>
    <w:rsid w:val="00BB2D2A"/>
    <w:rsid w:val="00BD4B22"/>
    <w:rsid w:val="00BD58CF"/>
    <w:rsid w:val="00BF1365"/>
    <w:rsid w:val="00BF2FAB"/>
    <w:rsid w:val="00BF5EA2"/>
    <w:rsid w:val="00C0026A"/>
    <w:rsid w:val="00C03A5A"/>
    <w:rsid w:val="00C04CC1"/>
    <w:rsid w:val="00C101F4"/>
    <w:rsid w:val="00C11655"/>
    <w:rsid w:val="00C12FE8"/>
    <w:rsid w:val="00C20B55"/>
    <w:rsid w:val="00C25F5D"/>
    <w:rsid w:val="00C50C6D"/>
    <w:rsid w:val="00C56447"/>
    <w:rsid w:val="00C600D9"/>
    <w:rsid w:val="00C667D3"/>
    <w:rsid w:val="00C74582"/>
    <w:rsid w:val="00C74D0D"/>
    <w:rsid w:val="00C81419"/>
    <w:rsid w:val="00C908F1"/>
    <w:rsid w:val="00C92E83"/>
    <w:rsid w:val="00C9741F"/>
    <w:rsid w:val="00C97E25"/>
    <w:rsid w:val="00CA34D9"/>
    <w:rsid w:val="00CB207D"/>
    <w:rsid w:val="00CB3AF9"/>
    <w:rsid w:val="00CC1384"/>
    <w:rsid w:val="00CC3DE6"/>
    <w:rsid w:val="00CD3720"/>
    <w:rsid w:val="00CE0322"/>
    <w:rsid w:val="00CF1848"/>
    <w:rsid w:val="00CF5C2F"/>
    <w:rsid w:val="00D04BCF"/>
    <w:rsid w:val="00D06CC1"/>
    <w:rsid w:val="00D06CFD"/>
    <w:rsid w:val="00D143D9"/>
    <w:rsid w:val="00D14967"/>
    <w:rsid w:val="00D160B1"/>
    <w:rsid w:val="00D32863"/>
    <w:rsid w:val="00D47F6A"/>
    <w:rsid w:val="00D6129E"/>
    <w:rsid w:val="00D63A99"/>
    <w:rsid w:val="00D85158"/>
    <w:rsid w:val="00DB2B9E"/>
    <w:rsid w:val="00DC6F08"/>
    <w:rsid w:val="00DD0833"/>
    <w:rsid w:val="00DF4A7A"/>
    <w:rsid w:val="00E065EC"/>
    <w:rsid w:val="00E257C8"/>
    <w:rsid w:val="00E26F57"/>
    <w:rsid w:val="00E30BA4"/>
    <w:rsid w:val="00E361A5"/>
    <w:rsid w:val="00E414C6"/>
    <w:rsid w:val="00E6089A"/>
    <w:rsid w:val="00E67655"/>
    <w:rsid w:val="00E67CF5"/>
    <w:rsid w:val="00E75781"/>
    <w:rsid w:val="00E75879"/>
    <w:rsid w:val="00E84FB4"/>
    <w:rsid w:val="00E9773B"/>
    <w:rsid w:val="00EB1E03"/>
    <w:rsid w:val="00EB5170"/>
    <w:rsid w:val="00EC13A3"/>
    <w:rsid w:val="00EC7C85"/>
    <w:rsid w:val="00ED0CDE"/>
    <w:rsid w:val="00EF2F19"/>
    <w:rsid w:val="00F125EE"/>
    <w:rsid w:val="00F12E98"/>
    <w:rsid w:val="00F210C6"/>
    <w:rsid w:val="00F22029"/>
    <w:rsid w:val="00F518AF"/>
    <w:rsid w:val="00F57E7F"/>
    <w:rsid w:val="00F620E4"/>
    <w:rsid w:val="00F630EA"/>
    <w:rsid w:val="00F7007E"/>
    <w:rsid w:val="00F70B80"/>
    <w:rsid w:val="00F73193"/>
    <w:rsid w:val="00F74F95"/>
    <w:rsid w:val="00F76827"/>
    <w:rsid w:val="00F80705"/>
    <w:rsid w:val="00F913C0"/>
    <w:rsid w:val="00F913EE"/>
    <w:rsid w:val="00FA03F7"/>
    <w:rsid w:val="00FA1481"/>
    <w:rsid w:val="00FA4734"/>
    <w:rsid w:val="00FD2E5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BB770"/>
  <w15:docId w15:val="{8BFBCA4F-ACDD-3B46-85E9-0D58422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30A9D"/>
    <w:rPr>
      <w:rFonts w:ascii="Times" w:eastAsia="Times" w:hAnsi="Times"/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F04E3"/>
    <w:rPr>
      <w:rFonts w:ascii="Cambria" w:hAnsi="Cambria"/>
      <w:sz w:val="22"/>
      <w:szCs w:val="22"/>
    </w:rPr>
  </w:style>
  <w:style w:type="character" w:styleId="PageNumber">
    <w:name w:val="page number"/>
    <w:basedOn w:val="DefaultParagraphFont"/>
    <w:uiPriority w:val="99"/>
    <w:semiHidden/>
    <w:rsid w:val="00477182"/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basedOn w:val="DefaultParagraphFont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405336"/>
  </w:style>
  <w:style w:type="character" w:customStyle="1" w:styleId="EmailSignatureChar">
    <w:name w:val="Email Signature Char"/>
    <w:basedOn w:val="DefaultParagraphFont"/>
    <w:link w:val="E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basedOn w:val="DefaultParagraphFont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basedOn w:val="DefaultParagraphFont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rsid w:val="007402FC"/>
    <w:rPr>
      <w:color w:val="0000FF"/>
      <w:u w:val="single"/>
    </w:rPr>
  </w:style>
  <w:style w:type="paragraph" w:customStyle="1" w:styleId="EndNoteBibliographyTitle">
    <w:name w:val="EndNote Bibliography Title"/>
    <w:basedOn w:val="Normal"/>
    <w:rsid w:val="00930A9D"/>
    <w:pPr>
      <w:jc w:val="center"/>
    </w:pPr>
    <w:rPr>
      <w:rFonts w:ascii="Calibri" w:eastAsia="MS Mincho" w:hAnsi="Calibri" w:cs="Calibri"/>
      <w:szCs w:val="24"/>
    </w:rPr>
  </w:style>
  <w:style w:type="paragraph" w:customStyle="1" w:styleId="EndNoteBibliography">
    <w:name w:val="EndNote Bibliography"/>
    <w:basedOn w:val="Normal"/>
    <w:rsid w:val="00930A9D"/>
    <w:rPr>
      <w:rFonts w:ascii="Calibri" w:eastAsia="MS Mincho" w:hAnsi="Calibri" w:cs="Calibri"/>
      <w:szCs w:val="24"/>
    </w:rPr>
  </w:style>
  <w:style w:type="table" w:styleId="TableGrid">
    <w:name w:val="Table Grid"/>
    <w:basedOn w:val="TableNormal"/>
    <w:uiPriority w:val="59"/>
    <w:rsid w:val="00930A9D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7B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D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D8501-0DC5-7141-BE59-420F4E4D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12906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Deniz Vatansever</cp:lastModifiedBy>
  <cp:revision>21</cp:revision>
  <cp:lastPrinted>2005-09-06T19:00:00Z</cp:lastPrinted>
  <dcterms:created xsi:type="dcterms:W3CDTF">2019-07-30T11:04:00Z</dcterms:created>
  <dcterms:modified xsi:type="dcterms:W3CDTF">2019-09-16T02:11:00Z</dcterms:modified>
</cp:coreProperties>
</file>