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4DF8" w14:textId="6DEAC22A" w:rsidR="00D620F6" w:rsidRPr="00621A88" w:rsidRDefault="00D620F6" w:rsidP="00D620F6">
      <w:r w:rsidRPr="00F53AAF">
        <w:t xml:space="preserve">Supplementary Table </w:t>
      </w:r>
      <w:r>
        <w:t>1</w:t>
      </w:r>
      <w:r w:rsidRPr="00F53AAF">
        <w:t xml:space="preserve">. </w:t>
      </w:r>
      <w:r w:rsidR="00F2645C">
        <w:t xml:space="preserve"> Association of polygenic risk score (PRS) across different training set association thresholds.  </w:t>
      </w:r>
      <w:r w:rsidR="00621A88">
        <w:t xml:space="preserve"> Parameters are shown from logistic regression models with</w:t>
      </w:r>
      <w:r w:rsidR="00621A88">
        <w:rPr>
          <w:color w:val="000000"/>
        </w:rPr>
        <w:t xml:space="preserve"> </w:t>
      </w:r>
      <w:r w:rsidR="00621A88" w:rsidRPr="00F53AAF">
        <w:rPr>
          <w:color w:val="000000"/>
          <w:vertAlign w:val="superscript"/>
        </w:rPr>
        <w:t xml:space="preserve"> </w:t>
      </w:r>
      <w:r w:rsidR="00621A88">
        <w:rPr>
          <w:color w:val="000000"/>
        </w:rPr>
        <w:t>BD vs. MDD</w:t>
      </w:r>
      <w:r w:rsidR="00621A88" w:rsidRPr="00F53AAF">
        <w:rPr>
          <w:color w:val="000000"/>
        </w:rPr>
        <w:t xml:space="preserve"> </w:t>
      </w:r>
      <w:r w:rsidR="00621A88">
        <w:rPr>
          <w:color w:val="000000"/>
        </w:rPr>
        <w:t>the dependent phenotypic variable and the</w:t>
      </w:r>
      <w:r w:rsidR="00621A88" w:rsidRPr="00F53AAF">
        <w:rPr>
          <w:color w:val="000000"/>
        </w:rPr>
        <w:t xml:space="preserve"> first 10 </w:t>
      </w:r>
      <w:r w:rsidR="00621A88">
        <w:rPr>
          <w:color w:val="000000"/>
        </w:rPr>
        <w:t xml:space="preserve">principal components, </w:t>
      </w:r>
      <w:r w:rsidR="00621A88" w:rsidRPr="00F53AAF">
        <w:rPr>
          <w:color w:val="000000"/>
        </w:rPr>
        <w:t>sex and age at interview</w:t>
      </w:r>
      <w:r w:rsidR="00621A88">
        <w:rPr>
          <w:color w:val="000000"/>
        </w:rPr>
        <w:t xml:space="preserve"> included as covariates.  OR represents the odds ratio of the standardized PRS with a standard deviation as the unit of analysis.  </w:t>
      </w:r>
      <w:proofErr w:type="spellStart"/>
      <w:r w:rsidR="00621A88">
        <w:t>Nagelkerke</w:t>
      </w:r>
      <w:proofErr w:type="spellEnd"/>
      <w:r w:rsidR="00621A88">
        <w:t xml:space="preserve"> Pseudo R</w:t>
      </w:r>
      <w:r w:rsidR="00621A88">
        <w:rPr>
          <w:vertAlign w:val="superscript"/>
        </w:rPr>
        <w:t>2</w:t>
      </w:r>
      <w:r w:rsidR="00621A88">
        <w:t xml:space="preserve"> represents the overall proportion of variance attributable to the independent variables in the model.  </w:t>
      </w:r>
      <w:r w:rsidR="00F2645C">
        <w:t>Changes in R</w:t>
      </w:r>
      <w:r w:rsidR="00F2645C" w:rsidRPr="00F2645C">
        <w:rPr>
          <w:vertAlign w:val="superscript"/>
        </w:rPr>
        <w:t>2</w:t>
      </w:r>
      <w:r w:rsidR="00F2645C">
        <w:t xml:space="preserve"> (</w:t>
      </w:r>
      <w:r w:rsidRPr="00F53AAF">
        <w:sym w:font="Symbol" w:char="F044"/>
      </w:r>
      <w:r w:rsidRPr="00F53AAF">
        <w:rPr>
          <w:color w:val="000000"/>
        </w:rPr>
        <w:t>R</w:t>
      </w:r>
      <w:r w:rsidRPr="00F53AAF">
        <w:rPr>
          <w:color w:val="000000"/>
          <w:vertAlign w:val="superscript"/>
        </w:rPr>
        <w:t>2</w:t>
      </w:r>
      <w:r w:rsidR="00F2645C">
        <w:rPr>
          <w:color w:val="000000"/>
        </w:rPr>
        <w:t xml:space="preserve">) </w:t>
      </w:r>
      <w:r w:rsidR="00621A88">
        <w:rPr>
          <w:color w:val="000000"/>
        </w:rPr>
        <w:t xml:space="preserve">represent additive increases in the attributable variance compared to </w:t>
      </w:r>
      <w:r w:rsidR="00C317BA">
        <w:rPr>
          <w:color w:val="000000"/>
        </w:rPr>
        <w:t>a</w:t>
      </w:r>
      <w:r w:rsidRPr="00F53AAF">
        <w:rPr>
          <w:color w:val="000000"/>
        </w:rPr>
        <w:t xml:space="preserve"> baseline model with first 10 </w:t>
      </w:r>
      <w:r w:rsidR="00C317BA">
        <w:rPr>
          <w:color w:val="000000"/>
        </w:rPr>
        <w:t xml:space="preserve">principal components, </w:t>
      </w:r>
      <w:r w:rsidRPr="00F53AAF">
        <w:rPr>
          <w:color w:val="000000"/>
        </w:rPr>
        <w:t>sex and age at interview</w:t>
      </w:r>
      <w:r w:rsidR="00C317BA">
        <w:rPr>
          <w:color w:val="000000"/>
        </w:rPr>
        <w:t xml:space="preserve"> included as </w:t>
      </w:r>
      <w:r w:rsidR="00621A88">
        <w:rPr>
          <w:color w:val="000000"/>
        </w:rPr>
        <w:t>covariates</w:t>
      </w:r>
      <w:r w:rsidRPr="00F53AAF">
        <w:rPr>
          <w:color w:val="000000"/>
        </w:rPr>
        <w:t xml:space="preserve">. </w:t>
      </w:r>
      <w:r w:rsidR="00AA530A">
        <w:rPr>
          <w:color w:val="000000"/>
        </w:rPr>
        <w:t>BD=PRS derived from Bipolar Disorder GWAS. SCZ=PRS derived from Schizophrenia GWAS.</w:t>
      </w:r>
    </w:p>
    <w:p w14:paraId="3C410660" w14:textId="77777777" w:rsidR="00D620F6" w:rsidRDefault="00D620F6" w:rsidP="00D62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1112"/>
        <w:gridCol w:w="1328"/>
        <w:gridCol w:w="1062"/>
        <w:gridCol w:w="988"/>
        <w:gridCol w:w="990"/>
        <w:gridCol w:w="1525"/>
      </w:tblGrid>
      <w:tr w:rsidR="00D620F6" w:rsidRPr="00EA54F1" w14:paraId="06239943" w14:textId="77777777" w:rsidTr="00FE606C">
        <w:trPr>
          <w:trHeight w:val="320"/>
        </w:trPr>
        <w:tc>
          <w:tcPr>
            <w:tcW w:w="2345" w:type="dxa"/>
            <w:noWrap/>
            <w:hideMark/>
          </w:tcPr>
          <w:p w14:paraId="259E5E34" w14:textId="0B628DEF" w:rsidR="00D620F6" w:rsidRPr="00EA54F1" w:rsidRDefault="000823D7" w:rsidP="00FE606C">
            <w:r>
              <w:t xml:space="preserve">GWAS Training Set </w:t>
            </w:r>
            <w:r w:rsidR="00D620F6">
              <w:t xml:space="preserve"> Threshold</w:t>
            </w:r>
            <w:r>
              <w:t xml:space="preserve"> (fraction of causal variants)</w:t>
            </w:r>
          </w:p>
        </w:tc>
        <w:tc>
          <w:tcPr>
            <w:tcW w:w="1112" w:type="dxa"/>
            <w:noWrap/>
            <w:hideMark/>
          </w:tcPr>
          <w:p w14:paraId="4790B5C0" w14:textId="63C06D5D" w:rsidR="00D620F6" w:rsidRPr="00A9322C" w:rsidRDefault="00D620F6" w:rsidP="0086740D">
            <w:pPr>
              <w:jc w:val="center"/>
              <w:rPr>
                <w:b/>
                <w:bCs/>
                <w:i/>
                <w:iCs/>
                <w:vertAlign w:val="superscript"/>
              </w:rPr>
            </w:pPr>
            <w:r w:rsidRPr="00A9322C">
              <w:rPr>
                <w:b/>
                <w:bCs/>
                <w:i/>
                <w:iCs/>
              </w:rPr>
              <w:t>R</w:t>
            </w:r>
            <w:r w:rsidRPr="00A9322C">
              <w:rPr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1328" w:type="dxa"/>
            <w:noWrap/>
            <w:hideMark/>
          </w:tcPr>
          <w:p w14:paraId="15995DD2" w14:textId="6C0FA561" w:rsidR="00D620F6" w:rsidRPr="00A9322C" w:rsidRDefault="0086740D" w:rsidP="0086740D">
            <w:pPr>
              <w:jc w:val="center"/>
              <w:rPr>
                <w:b/>
                <w:bCs/>
                <w:i/>
                <w:iCs/>
              </w:rPr>
            </w:pPr>
            <w:r w:rsidRPr="00A9322C">
              <w:rPr>
                <w:i/>
                <w:iCs/>
              </w:rPr>
              <w:sym w:font="Symbol" w:char="F044"/>
            </w:r>
            <w:r w:rsidR="00D620F6" w:rsidRPr="00A9322C">
              <w:rPr>
                <w:b/>
                <w:bCs/>
                <w:i/>
                <w:iCs/>
              </w:rPr>
              <w:t>R</w:t>
            </w:r>
            <w:r w:rsidR="00D620F6" w:rsidRPr="00A9322C">
              <w:rPr>
                <w:b/>
                <w:bCs/>
                <w:i/>
                <w:iCs/>
                <w:vertAlign w:val="superscript"/>
              </w:rPr>
              <w:t>2</w:t>
            </w:r>
            <w:r w:rsidRPr="00A9322C">
              <w:rPr>
                <w:b/>
                <w:bCs/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062" w:type="dxa"/>
            <w:noWrap/>
            <w:hideMark/>
          </w:tcPr>
          <w:p w14:paraId="37B0F750" w14:textId="0D5A88A0" w:rsidR="00D620F6" w:rsidRPr="00A9322C" w:rsidRDefault="00D620F6" w:rsidP="0086740D">
            <w:pPr>
              <w:jc w:val="center"/>
              <w:rPr>
                <w:b/>
                <w:bCs/>
                <w:i/>
                <w:iCs/>
              </w:rPr>
            </w:pPr>
            <w:r w:rsidRPr="00A9322C">
              <w:rPr>
                <w:b/>
                <w:bCs/>
                <w:i/>
                <w:iCs/>
              </w:rPr>
              <w:t>OR</w:t>
            </w:r>
          </w:p>
        </w:tc>
        <w:tc>
          <w:tcPr>
            <w:tcW w:w="988" w:type="dxa"/>
            <w:noWrap/>
            <w:hideMark/>
          </w:tcPr>
          <w:p w14:paraId="1B0C907B" w14:textId="78C32294" w:rsidR="00D620F6" w:rsidRPr="00A9322C" w:rsidRDefault="00D620F6" w:rsidP="0086740D">
            <w:pPr>
              <w:jc w:val="center"/>
              <w:rPr>
                <w:b/>
                <w:bCs/>
                <w:i/>
                <w:iCs/>
              </w:rPr>
            </w:pPr>
            <w:r w:rsidRPr="00A9322C">
              <w:rPr>
                <w:b/>
                <w:bCs/>
                <w:i/>
                <w:iCs/>
              </w:rPr>
              <w:t>S</w:t>
            </w:r>
            <w:r w:rsidR="00A9322C">
              <w:rPr>
                <w:b/>
                <w:bCs/>
                <w:i/>
                <w:iCs/>
              </w:rPr>
              <w:t>.</w:t>
            </w:r>
            <w:r w:rsidRPr="00A9322C">
              <w:rPr>
                <w:b/>
                <w:bCs/>
                <w:i/>
                <w:iCs/>
              </w:rPr>
              <w:t>E</w:t>
            </w:r>
            <w:r w:rsidR="00A9322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90" w:type="dxa"/>
            <w:noWrap/>
            <w:hideMark/>
          </w:tcPr>
          <w:p w14:paraId="4C0F7F0C" w14:textId="679F485B" w:rsidR="00D620F6" w:rsidRPr="00A9322C" w:rsidRDefault="00A9322C" w:rsidP="0086740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z-score</w:t>
            </w:r>
          </w:p>
        </w:tc>
        <w:tc>
          <w:tcPr>
            <w:tcW w:w="1525" w:type="dxa"/>
            <w:noWrap/>
            <w:hideMark/>
          </w:tcPr>
          <w:p w14:paraId="0989CA53" w14:textId="45B61B6D" w:rsidR="00D620F6" w:rsidRPr="00A9322C" w:rsidRDefault="00A9322C" w:rsidP="0086740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p-value</w:t>
            </w:r>
          </w:p>
        </w:tc>
      </w:tr>
      <w:tr w:rsidR="005E3F72" w:rsidRPr="00EA54F1" w14:paraId="69F319BB" w14:textId="77777777" w:rsidTr="00FE606C">
        <w:trPr>
          <w:trHeight w:val="320"/>
        </w:trPr>
        <w:tc>
          <w:tcPr>
            <w:tcW w:w="2345" w:type="dxa"/>
            <w:noWrap/>
          </w:tcPr>
          <w:p w14:paraId="0A22ABA4" w14:textId="77777777" w:rsidR="005E3F72" w:rsidRPr="00EA54F1" w:rsidRDefault="005E3F72" w:rsidP="00FE606C"/>
        </w:tc>
        <w:tc>
          <w:tcPr>
            <w:tcW w:w="1112" w:type="dxa"/>
            <w:noWrap/>
            <w:vAlign w:val="center"/>
          </w:tcPr>
          <w:p w14:paraId="6F1F76E9" w14:textId="77777777" w:rsidR="005E3F72" w:rsidRDefault="005E3F72" w:rsidP="00FE606C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noWrap/>
          </w:tcPr>
          <w:p w14:paraId="2521BBA9" w14:textId="77777777" w:rsidR="005E3F72" w:rsidRPr="00371F62" w:rsidRDefault="005E3F72" w:rsidP="00FE606C">
            <w:pPr>
              <w:jc w:val="center"/>
            </w:pPr>
          </w:p>
        </w:tc>
        <w:tc>
          <w:tcPr>
            <w:tcW w:w="1062" w:type="dxa"/>
            <w:noWrap/>
          </w:tcPr>
          <w:p w14:paraId="1A291558" w14:textId="77777777" w:rsidR="005E3F72" w:rsidRPr="00371F62" w:rsidRDefault="005E3F72" w:rsidP="00FE606C">
            <w:pPr>
              <w:jc w:val="center"/>
            </w:pPr>
          </w:p>
        </w:tc>
        <w:tc>
          <w:tcPr>
            <w:tcW w:w="988" w:type="dxa"/>
            <w:noWrap/>
          </w:tcPr>
          <w:p w14:paraId="3524875E" w14:textId="77777777" w:rsidR="005E3F72" w:rsidRPr="00371F62" w:rsidRDefault="005E3F72" w:rsidP="00FE606C">
            <w:pPr>
              <w:jc w:val="center"/>
            </w:pPr>
          </w:p>
        </w:tc>
        <w:tc>
          <w:tcPr>
            <w:tcW w:w="990" w:type="dxa"/>
            <w:noWrap/>
          </w:tcPr>
          <w:p w14:paraId="5569F60B" w14:textId="77777777" w:rsidR="005E3F72" w:rsidRPr="00371F62" w:rsidRDefault="005E3F72" w:rsidP="00FE606C">
            <w:pPr>
              <w:jc w:val="center"/>
            </w:pPr>
          </w:p>
        </w:tc>
        <w:tc>
          <w:tcPr>
            <w:tcW w:w="1525" w:type="dxa"/>
            <w:noWrap/>
          </w:tcPr>
          <w:p w14:paraId="5D10D61E" w14:textId="77777777" w:rsidR="005E3F72" w:rsidRPr="00371F62" w:rsidRDefault="005E3F72" w:rsidP="00FE606C">
            <w:pPr>
              <w:jc w:val="center"/>
            </w:pPr>
          </w:p>
        </w:tc>
      </w:tr>
      <w:tr w:rsidR="00D620F6" w:rsidRPr="00EA54F1" w14:paraId="2630B595" w14:textId="77777777" w:rsidTr="00FE606C">
        <w:trPr>
          <w:trHeight w:val="320"/>
        </w:trPr>
        <w:tc>
          <w:tcPr>
            <w:tcW w:w="2345" w:type="dxa"/>
            <w:noWrap/>
            <w:hideMark/>
          </w:tcPr>
          <w:p w14:paraId="1EBB6147" w14:textId="2686B3AF" w:rsidR="00D620F6" w:rsidRPr="00EA54F1" w:rsidRDefault="005B0E1D" w:rsidP="00FE606C">
            <w:r>
              <w:t>B</w:t>
            </w:r>
            <w:r w:rsidR="00D620F6" w:rsidRPr="00EA54F1">
              <w:t>aseline</w:t>
            </w:r>
          </w:p>
        </w:tc>
        <w:tc>
          <w:tcPr>
            <w:tcW w:w="1112" w:type="dxa"/>
            <w:noWrap/>
            <w:vAlign w:val="center"/>
            <w:hideMark/>
          </w:tcPr>
          <w:p w14:paraId="158FB4A4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61</w:t>
            </w: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noWrap/>
            <w:hideMark/>
          </w:tcPr>
          <w:p w14:paraId="4511B4DF" w14:textId="77777777" w:rsidR="00D620F6" w:rsidRPr="00371F62" w:rsidRDefault="00D620F6" w:rsidP="00FE606C">
            <w:pPr>
              <w:jc w:val="center"/>
            </w:pPr>
          </w:p>
        </w:tc>
        <w:tc>
          <w:tcPr>
            <w:tcW w:w="1062" w:type="dxa"/>
            <w:noWrap/>
            <w:hideMark/>
          </w:tcPr>
          <w:p w14:paraId="535498D1" w14:textId="77777777" w:rsidR="00D620F6" w:rsidRPr="00371F62" w:rsidRDefault="00D620F6" w:rsidP="00FE606C">
            <w:pPr>
              <w:jc w:val="center"/>
            </w:pPr>
          </w:p>
        </w:tc>
        <w:tc>
          <w:tcPr>
            <w:tcW w:w="988" w:type="dxa"/>
            <w:noWrap/>
            <w:hideMark/>
          </w:tcPr>
          <w:p w14:paraId="6F77608A" w14:textId="77777777" w:rsidR="00D620F6" w:rsidRPr="00371F62" w:rsidRDefault="00D620F6" w:rsidP="00FE606C">
            <w:pPr>
              <w:jc w:val="center"/>
            </w:pPr>
          </w:p>
        </w:tc>
        <w:tc>
          <w:tcPr>
            <w:tcW w:w="990" w:type="dxa"/>
            <w:noWrap/>
            <w:hideMark/>
          </w:tcPr>
          <w:p w14:paraId="51BF8D6F" w14:textId="77777777" w:rsidR="00D620F6" w:rsidRPr="00371F62" w:rsidRDefault="00D620F6" w:rsidP="00FE606C">
            <w:pPr>
              <w:jc w:val="center"/>
            </w:pPr>
          </w:p>
        </w:tc>
        <w:tc>
          <w:tcPr>
            <w:tcW w:w="1525" w:type="dxa"/>
            <w:noWrap/>
            <w:hideMark/>
          </w:tcPr>
          <w:p w14:paraId="3CA1CC8B" w14:textId="77777777" w:rsidR="00D620F6" w:rsidRPr="00371F62" w:rsidRDefault="00D620F6" w:rsidP="00FE606C">
            <w:pPr>
              <w:jc w:val="center"/>
            </w:pPr>
          </w:p>
        </w:tc>
      </w:tr>
      <w:tr w:rsidR="00D620F6" w:rsidRPr="00EA54F1" w14:paraId="096C8EEC" w14:textId="77777777" w:rsidTr="00FE606C">
        <w:trPr>
          <w:trHeight w:val="320"/>
        </w:trPr>
        <w:tc>
          <w:tcPr>
            <w:tcW w:w="2345" w:type="dxa"/>
            <w:noWrap/>
            <w:hideMark/>
          </w:tcPr>
          <w:p w14:paraId="35B2DABD" w14:textId="77777777" w:rsidR="00D620F6" w:rsidRPr="00EA54F1" w:rsidRDefault="00D620F6" w:rsidP="00FE606C">
            <w:r>
              <w:t>BD: 0.0001</w:t>
            </w:r>
          </w:p>
        </w:tc>
        <w:tc>
          <w:tcPr>
            <w:tcW w:w="1112" w:type="dxa"/>
            <w:noWrap/>
            <w:vAlign w:val="center"/>
            <w:hideMark/>
          </w:tcPr>
          <w:p w14:paraId="297E54AF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648</w:t>
            </w:r>
          </w:p>
        </w:tc>
        <w:tc>
          <w:tcPr>
            <w:tcW w:w="1328" w:type="dxa"/>
            <w:noWrap/>
            <w:vAlign w:val="bottom"/>
            <w:hideMark/>
          </w:tcPr>
          <w:p w14:paraId="6E83971C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0.0038</w:t>
            </w:r>
          </w:p>
        </w:tc>
        <w:tc>
          <w:tcPr>
            <w:tcW w:w="1062" w:type="dxa"/>
            <w:noWrap/>
            <w:vAlign w:val="center"/>
            <w:hideMark/>
          </w:tcPr>
          <w:p w14:paraId="49490FB2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1.12</w:t>
            </w:r>
          </w:p>
        </w:tc>
        <w:tc>
          <w:tcPr>
            <w:tcW w:w="988" w:type="dxa"/>
            <w:noWrap/>
            <w:vAlign w:val="center"/>
            <w:hideMark/>
          </w:tcPr>
          <w:p w14:paraId="12EC09B1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504</w:t>
            </w:r>
          </w:p>
        </w:tc>
        <w:tc>
          <w:tcPr>
            <w:tcW w:w="990" w:type="dxa"/>
            <w:noWrap/>
            <w:vAlign w:val="center"/>
            <w:hideMark/>
          </w:tcPr>
          <w:p w14:paraId="043C7F9B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2.29</w:t>
            </w:r>
          </w:p>
        </w:tc>
        <w:tc>
          <w:tcPr>
            <w:tcW w:w="1525" w:type="dxa"/>
            <w:noWrap/>
            <w:vAlign w:val="center"/>
            <w:hideMark/>
          </w:tcPr>
          <w:p w14:paraId="1FF8088B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2.21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-2</w:t>
            </w:r>
          </w:p>
        </w:tc>
      </w:tr>
      <w:tr w:rsidR="00D620F6" w:rsidRPr="00EA54F1" w14:paraId="2A6D6C6B" w14:textId="77777777" w:rsidTr="00FE606C">
        <w:trPr>
          <w:trHeight w:val="320"/>
        </w:trPr>
        <w:tc>
          <w:tcPr>
            <w:tcW w:w="2345" w:type="dxa"/>
            <w:noWrap/>
            <w:hideMark/>
          </w:tcPr>
          <w:p w14:paraId="24B39FB8" w14:textId="77777777" w:rsidR="00D620F6" w:rsidRPr="00EA54F1" w:rsidRDefault="00D620F6" w:rsidP="00FE606C">
            <w:r>
              <w:t>BD: 0.0003</w:t>
            </w:r>
          </w:p>
        </w:tc>
        <w:tc>
          <w:tcPr>
            <w:tcW w:w="1112" w:type="dxa"/>
            <w:noWrap/>
            <w:vAlign w:val="center"/>
          </w:tcPr>
          <w:p w14:paraId="1A032139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617</w:t>
            </w:r>
          </w:p>
        </w:tc>
        <w:tc>
          <w:tcPr>
            <w:tcW w:w="1328" w:type="dxa"/>
            <w:noWrap/>
            <w:vAlign w:val="bottom"/>
          </w:tcPr>
          <w:p w14:paraId="051E5736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0.0007</w:t>
            </w:r>
          </w:p>
        </w:tc>
        <w:tc>
          <w:tcPr>
            <w:tcW w:w="1062" w:type="dxa"/>
            <w:noWrap/>
            <w:vAlign w:val="center"/>
          </w:tcPr>
          <w:p w14:paraId="78045B60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</w:t>
            </w:r>
            <w:r w:rsidRPr="00371F62">
              <w:rPr>
                <w:color w:val="000000"/>
              </w:rPr>
              <w:t>949</w:t>
            </w:r>
          </w:p>
        </w:tc>
        <w:tc>
          <w:tcPr>
            <w:tcW w:w="988" w:type="dxa"/>
            <w:noWrap/>
            <w:vAlign w:val="center"/>
          </w:tcPr>
          <w:p w14:paraId="5A326AE2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523</w:t>
            </w:r>
          </w:p>
        </w:tc>
        <w:tc>
          <w:tcPr>
            <w:tcW w:w="990" w:type="dxa"/>
            <w:noWrap/>
            <w:vAlign w:val="center"/>
          </w:tcPr>
          <w:p w14:paraId="5B3B476D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-1.00</w:t>
            </w:r>
          </w:p>
        </w:tc>
        <w:tc>
          <w:tcPr>
            <w:tcW w:w="1525" w:type="dxa"/>
            <w:noWrap/>
            <w:vAlign w:val="center"/>
          </w:tcPr>
          <w:p w14:paraId="0C300CF3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3.15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</w:t>
            </w:r>
          </w:p>
        </w:tc>
      </w:tr>
      <w:tr w:rsidR="00D620F6" w:rsidRPr="00EA54F1" w14:paraId="3E2346A9" w14:textId="77777777" w:rsidTr="00FE606C">
        <w:trPr>
          <w:trHeight w:val="320"/>
        </w:trPr>
        <w:tc>
          <w:tcPr>
            <w:tcW w:w="2345" w:type="dxa"/>
            <w:noWrap/>
            <w:hideMark/>
          </w:tcPr>
          <w:p w14:paraId="42E509CE" w14:textId="77777777" w:rsidR="00D620F6" w:rsidRPr="00EA54F1" w:rsidRDefault="00D620F6" w:rsidP="00FE606C">
            <w:r>
              <w:t>BD: 0.001</w:t>
            </w:r>
          </w:p>
        </w:tc>
        <w:tc>
          <w:tcPr>
            <w:tcW w:w="1112" w:type="dxa"/>
            <w:noWrap/>
            <w:vAlign w:val="center"/>
          </w:tcPr>
          <w:p w14:paraId="67B601DE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622</w:t>
            </w:r>
          </w:p>
        </w:tc>
        <w:tc>
          <w:tcPr>
            <w:tcW w:w="1328" w:type="dxa"/>
            <w:noWrap/>
            <w:vAlign w:val="bottom"/>
          </w:tcPr>
          <w:p w14:paraId="4C72A047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0.0012</w:t>
            </w:r>
          </w:p>
        </w:tc>
        <w:tc>
          <w:tcPr>
            <w:tcW w:w="1062" w:type="dxa"/>
            <w:noWrap/>
            <w:vAlign w:val="center"/>
          </w:tcPr>
          <w:p w14:paraId="647B9C95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</w:t>
            </w:r>
            <w:r w:rsidRPr="00371F62">
              <w:rPr>
                <w:color w:val="000000"/>
              </w:rPr>
              <w:t>934</w:t>
            </w:r>
          </w:p>
        </w:tc>
        <w:tc>
          <w:tcPr>
            <w:tcW w:w="988" w:type="dxa"/>
            <w:noWrap/>
            <w:vAlign w:val="center"/>
          </w:tcPr>
          <w:p w14:paraId="7532E355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526</w:t>
            </w:r>
          </w:p>
        </w:tc>
        <w:tc>
          <w:tcPr>
            <w:tcW w:w="990" w:type="dxa"/>
            <w:noWrap/>
            <w:vAlign w:val="center"/>
          </w:tcPr>
          <w:p w14:paraId="3C48209A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-1.31</w:t>
            </w:r>
          </w:p>
        </w:tc>
        <w:tc>
          <w:tcPr>
            <w:tcW w:w="1525" w:type="dxa"/>
            <w:noWrap/>
            <w:vAlign w:val="center"/>
          </w:tcPr>
          <w:p w14:paraId="36177D00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1.92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</w:t>
            </w:r>
          </w:p>
        </w:tc>
      </w:tr>
      <w:tr w:rsidR="00D620F6" w:rsidRPr="00EA54F1" w14:paraId="69769DCF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6A5A9D2E" w14:textId="77777777" w:rsidR="00D620F6" w:rsidRPr="00997E8A" w:rsidRDefault="00D620F6" w:rsidP="00FE606C">
            <w:r>
              <w:t>BD: 0.003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14CDB1C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963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C7E7C23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0.0353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B6D490B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1.59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A980E6D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66E46DB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6.91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7FA148E6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4.94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-12</w:t>
            </w:r>
          </w:p>
        </w:tc>
      </w:tr>
      <w:tr w:rsidR="00D620F6" w:rsidRPr="00EA54F1" w14:paraId="2E6B82D7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0690EA97" w14:textId="77777777" w:rsidR="00D620F6" w:rsidRPr="00EA54F1" w:rsidRDefault="00D620F6" w:rsidP="00FE606C">
            <w:r>
              <w:t>BD: 0.01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08454E9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942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FBA2F01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0.0332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4AA3AB1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1.58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19A6AF3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05AD2A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6.71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40D109A3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1.97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-11</w:t>
            </w:r>
          </w:p>
        </w:tc>
      </w:tr>
      <w:tr w:rsidR="00D620F6" w:rsidRPr="00EA54F1" w14:paraId="000F7110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6D8736AA" w14:textId="77777777" w:rsidR="00D620F6" w:rsidRPr="00EA54F1" w:rsidRDefault="00D620F6" w:rsidP="00FE606C">
            <w:r>
              <w:t>BD: 0.03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748F950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917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5915F15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0.0307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4F98D8E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1.56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4B87421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4BCD0F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6.46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E06A5B2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1.08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-10</w:t>
            </w:r>
          </w:p>
        </w:tc>
      </w:tr>
      <w:tr w:rsidR="00D620F6" w:rsidRPr="00EA54F1" w14:paraId="47F83D30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6B712CA8" w14:textId="77777777" w:rsidR="00D620F6" w:rsidRPr="00EA54F1" w:rsidRDefault="00D620F6" w:rsidP="00FE606C">
            <w:r>
              <w:t>BD: 0.1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FCB0B90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907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B877564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0.0297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6AF74B0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1.54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41C6B57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4EB58F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6.36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397F755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2.05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-10</w:t>
            </w:r>
          </w:p>
        </w:tc>
      </w:tr>
      <w:tr w:rsidR="00D620F6" w:rsidRPr="00EA54F1" w14:paraId="53B37489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195034F4" w14:textId="77777777" w:rsidR="00D620F6" w:rsidRPr="00EA54F1" w:rsidRDefault="00D620F6" w:rsidP="00FE606C">
            <w:r>
              <w:t>BD: 0.3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50C384D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903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0D8BCA3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0.0293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5C98AD1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1.54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FDF1FFC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DAD8E4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6.31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5FBF9491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2.73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-10</w:t>
            </w:r>
          </w:p>
        </w:tc>
      </w:tr>
      <w:tr w:rsidR="00D620F6" w:rsidRPr="00EA54F1" w14:paraId="3E209ED2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268AA142" w14:textId="77777777" w:rsidR="00D620F6" w:rsidRPr="00EA54F1" w:rsidRDefault="00D620F6" w:rsidP="00FE606C">
            <w:r>
              <w:t>BD: 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F5933A0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902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C1E4204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0.0292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FD75277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1.54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2839638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D26A6E8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6.30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EDDCD7B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3.01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-10</w:t>
            </w:r>
          </w:p>
        </w:tc>
      </w:tr>
      <w:tr w:rsidR="005E3F72" w:rsidRPr="00EA54F1" w14:paraId="5F5B41E4" w14:textId="77777777" w:rsidTr="005E3F72">
        <w:trPr>
          <w:trHeight w:val="98"/>
        </w:trPr>
        <w:tc>
          <w:tcPr>
            <w:tcW w:w="2345" w:type="dxa"/>
            <w:shd w:val="clear" w:color="auto" w:fill="auto"/>
            <w:noWrap/>
          </w:tcPr>
          <w:p w14:paraId="51F7D5CD" w14:textId="77777777" w:rsidR="005E3F72" w:rsidRDefault="005E3F72" w:rsidP="00FE606C"/>
        </w:tc>
        <w:tc>
          <w:tcPr>
            <w:tcW w:w="1112" w:type="dxa"/>
            <w:shd w:val="clear" w:color="auto" w:fill="auto"/>
            <w:noWrap/>
            <w:vAlign w:val="center"/>
          </w:tcPr>
          <w:p w14:paraId="2BD20DEA" w14:textId="77777777" w:rsidR="005E3F72" w:rsidRPr="00371F62" w:rsidRDefault="005E3F72" w:rsidP="00FE6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46C87D3" w14:textId="77777777" w:rsidR="005E3F72" w:rsidRPr="00F53AAF" w:rsidRDefault="005E3F72" w:rsidP="00FE606C">
            <w:pPr>
              <w:jc w:val="center"/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2A37DDF" w14:textId="77777777" w:rsidR="005E3F72" w:rsidRPr="00371F62" w:rsidRDefault="005E3F72" w:rsidP="00FE6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520B426" w14:textId="77777777" w:rsidR="005E3F72" w:rsidRPr="00371F62" w:rsidRDefault="005E3F72" w:rsidP="00FE6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2ABCB02" w14:textId="77777777" w:rsidR="005E3F72" w:rsidRPr="00371F62" w:rsidRDefault="005E3F72" w:rsidP="00FE6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3397BDDB" w14:textId="77777777" w:rsidR="005E3F72" w:rsidRPr="00371F62" w:rsidRDefault="005E3F72" w:rsidP="00FE60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22C" w:rsidRPr="00EA54F1" w14:paraId="2E4BE61E" w14:textId="77777777" w:rsidTr="00FE7492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0479C342" w14:textId="61D2D898" w:rsidR="00A9322C" w:rsidRPr="00EA54F1" w:rsidRDefault="00A9322C" w:rsidP="00A9322C"/>
        </w:tc>
        <w:tc>
          <w:tcPr>
            <w:tcW w:w="1112" w:type="dxa"/>
            <w:shd w:val="clear" w:color="auto" w:fill="auto"/>
            <w:noWrap/>
            <w:hideMark/>
          </w:tcPr>
          <w:p w14:paraId="4E44786B" w14:textId="7BCB09B0" w:rsidR="00A9322C" w:rsidRPr="00371F62" w:rsidRDefault="00A9322C" w:rsidP="00A9322C">
            <w:pPr>
              <w:jc w:val="center"/>
              <w:rPr>
                <w:b/>
                <w:bCs/>
              </w:rPr>
            </w:pPr>
            <w:r w:rsidRPr="00A9322C">
              <w:rPr>
                <w:b/>
                <w:bCs/>
                <w:i/>
                <w:iCs/>
              </w:rPr>
              <w:t>R</w:t>
            </w:r>
            <w:r w:rsidRPr="00A9322C">
              <w:rPr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14:paraId="33CC789D" w14:textId="21783357" w:rsidR="00A9322C" w:rsidRPr="00E210A0" w:rsidRDefault="00A9322C" w:rsidP="00A9322C">
            <w:pPr>
              <w:jc w:val="center"/>
              <w:rPr>
                <w:b/>
                <w:bCs/>
              </w:rPr>
            </w:pPr>
            <w:r w:rsidRPr="00A9322C">
              <w:rPr>
                <w:i/>
                <w:iCs/>
              </w:rPr>
              <w:sym w:font="Symbol" w:char="F044"/>
            </w:r>
            <w:r w:rsidRPr="00A9322C">
              <w:rPr>
                <w:b/>
                <w:bCs/>
                <w:i/>
                <w:iCs/>
              </w:rPr>
              <w:t>R</w:t>
            </w:r>
            <w:r w:rsidRPr="00A9322C">
              <w:rPr>
                <w:b/>
                <w:bCs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14:paraId="463BED69" w14:textId="590E3953" w:rsidR="00A9322C" w:rsidRPr="00371F62" w:rsidRDefault="00A9322C" w:rsidP="00A9322C">
            <w:pPr>
              <w:jc w:val="center"/>
              <w:rPr>
                <w:b/>
                <w:bCs/>
              </w:rPr>
            </w:pPr>
            <w:r w:rsidRPr="00A9322C">
              <w:rPr>
                <w:b/>
                <w:bCs/>
                <w:i/>
                <w:iCs/>
              </w:rPr>
              <w:t>OR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040FAED6" w14:textId="27CB8432" w:rsidR="00A9322C" w:rsidRPr="00371F62" w:rsidRDefault="00A9322C" w:rsidP="00A9322C">
            <w:pPr>
              <w:jc w:val="center"/>
              <w:rPr>
                <w:b/>
                <w:bCs/>
              </w:rPr>
            </w:pPr>
            <w:r w:rsidRPr="00A9322C"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  <w:i/>
                <w:iCs/>
              </w:rPr>
              <w:t>.</w:t>
            </w:r>
            <w:r w:rsidRPr="00A9322C">
              <w:rPr>
                <w:b/>
                <w:bCs/>
                <w:i/>
                <w:iCs/>
              </w:rPr>
              <w:t>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8B30B7A" w14:textId="7104BC70" w:rsidR="00A9322C" w:rsidRPr="00371F62" w:rsidRDefault="00A9322C" w:rsidP="00A9322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z-score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14:paraId="37CC28F4" w14:textId="60092270" w:rsidR="00A9322C" w:rsidRPr="00371F62" w:rsidRDefault="00A9322C" w:rsidP="00A9322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p-value</w:t>
            </w:r>
          </w:p>
        </w:tc>
      </w:tr>
      <w:tr w:rsidR="00D620F6" w:rsidRPr="00EA54F1" w14:paraId="24E9C682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30C7DFB2" w14:textId="77777777" w:rsidR="00D620F6" w:rsidRPr="00EA54F1" w:rsidRDefault="00D620F6" w:rsidP="00FE606C">
            <w:r>
              <w:t>SCZ: 0.0001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EDD7E7C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636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24A5E8D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0.0026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A19F24E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1.14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071852F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0F36A9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1.89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28B0E263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5.87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-2</w:t>
            </w:r>
          </w:p>
        </w:tc>
      </w:tr>
      <w:tr w:rsidR="00D620F6" w:rsidRPr="00EA54F1" w14:paraId="51FEFFE0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37713B33" w14:textId="77777777" w:rsidR="00D620F6" w:rsidRPr="00EA54F1" w:rsidRDefault="00D620F6" w:rsidP="00FE606C">
            <w:r>
              <w:t>SCZ: 0.0003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DF8E26E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619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01353B4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0.0009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07EEDA5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1.06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06F90D5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488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3141692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1.13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04B294B1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2.59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</w:t>
            </w:r>
          </w:p>
        </w:tc>
      </w:tr>
      <w:tr w:rsidR="00D620F6" w:rsidRPr="00EA54F1" w14:paraId="61516559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3EAB0958" w14:textId="77777777" w:rsidR="00D620F6" w:rsidRPr="00EA54F1" w:rsidRDefault="00D620F6" w:rsidP="00FE606C">
            <w:r>
              <w:t>SCZ: 0.001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42924E0F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612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1C96E2B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0.0002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7941D7F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1.03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83C5B9D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939C02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</w:t>
            </w:r>
            <w:r w:rsidRPr="00371F62">
              <w:rPr>
                <w:color w:val="000000"/>
              </w:rPr>
              <w:t>546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3FD4C9E0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5.85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</w:t>
            </w:r>
          </w:p>
        </w:tc>
      </w:tr>
      <w:tr w:rsidR="00D620F6" w:rsidRPr="00EA54F1" w14:paraId="38719654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0AA9F268" w14:textId="77777777" w:rsidR="00D620F6" w:rsidRPr="00EA54F1" w:rsidRDefault="00D620F6" w:rsidP="00FE606C">
            <w:r>
              <w:t>SCZ: 0.003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4C548EA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655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F8AF747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0.0045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13D1018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1.14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E9F567C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C5D738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2.49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5DDE6911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1.28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-2</w:t>
            </w:r>
          </w:p>
        </w:tc>
      </w:tr>
      <w:tr w:rsidR="00D620F6" w:rsidRPr="00EA54F1" w14:paraId="69EE1D7C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78A0F698" w14:textId="77777777" w:rsidR="00D620F6" w:rsidRPr="00EA54F1" w:rsidRDefault="00D620F6" w:rsidP="00FE606C">
            <w:r>
              <w:t>SCZ: 0.01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52211C81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643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B4F614B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0.0033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F5471AF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1.12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59A0E95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22E32F5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2.15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7165D01F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3.16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-2</w:t>
            </w:r>
          </w:p>
        </w:tc>
      </w:tr>
      <w:tr w:rsidR="00D620F6" w:rsidRPr="00EA54F1" w14:paraId="77AB6019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6EEE115C" w14:textId="77777777" w:rsidR="00D620F6" w:rsidRPr="00EA54F1" w:rsidRDefault="00D620F6" w:rsidP="00FE606C">
            <w:r>
              <w:t>SCZ: 0.03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E1CE52B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850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5906814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0.024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FF5AFB7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1.3</w:t>
            </w:r>
            <w:r>
              <w:rPr>
                <w:color w:val="000000"/>
              </w:rPr>
              <w:t>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F62E169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F6E627F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5.72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68C56472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1.06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-8</w:t>
            </w:r>
          </w:p>
        </w:tc>
      </w:tr>
      <w:tr w:rsidR="00D620F6" w:rsidRPr="00EA54F1" w14:paraId="10E240A0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04929480" w14:textId="77777777" w:rsidR="00D620F6" w:rsidRPr="00EA54F1" w:rsidRDefault="00D620F6" w:rsidP="00FE606C">
            <w:r>
              <w:t>SCZ: 0.1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065797E5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906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96AD1CE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0.0296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1FFACB8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1.44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891E35E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CC3C6D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6.3</w:t>
            </w:r>
            <w:r>
              <w:rPr>
                <w:color w:val="000000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3937130A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2.29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-10</w:t>
            </w:r>
          </w:p>
        </w:tc>
      </w:tr>
      <w:tr w:rsidR="00D620F6" w:rsidRPr="00EA54F1" w14:paraId="41C7E2DB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52D5F35F" w14:textId="77777777" w:rsidR="00D620F6" w:rsidRPr="00EA54F1" w:rsidRDefault="00D620F6" w:rsidP="00FE606C">
            <w:r>
              <w:t>SCZ: 0.3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4E654A8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926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34AA65E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0.0316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1DD4F5F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1.46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23AC694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E0F826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6.55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489CC895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5.71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-11</w:t>
            </w:r>
          </w:p>
        </w:tc>
      </w:tr>
      <w:tr w:rsidR="00D620F6" w:rsidRPr="00EA54F1" w14:paraId="36304AE6" w14:textId="77777777" w:rsidTr="00FE606C">
        <w:trPr>
          <w:trHeight w:val="320"/>
        </w:trPr>
        <w:tc>
          <w:tcPr>
            <w:tcW w:w="2345" w:type="dxa"/>
            <w:shd w:val="clear" w:color="auto" w:fill="auto"/>
            <w:noWrap/>
            <w:hideMark/>
          </w:tcPr>
          <w:p w14:paraId="2C56C686" w14:textId="77777777" w:rsidR="00D620F6" w:rsidRPr="00EA54F1" w:rsidRDefault="00D620F6" w:rsidP="00FE606C">
            <w:r>
              <w:t>SCZ: 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80AC9CA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918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0EC0C51" w14:textId="77777777" w:rsidR="00D620F6" w:rsidRPr="00E210A0" w:rsidRDefault="00D620F6" w:rsidP="00FE606C">
            <w:pPr>
              <w:jc w:val="center"/>
            </w:pPr>
            <w:r w:rsidRPr="00E210A0">
              <w:rPr>
                <w:color w:val="000000"/>
              </w:rPr>
              <w:t>0.0308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AA179A3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1.45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FC41F96" w14:textId="77777777" w:rsidR="00D620F6" w:rsidRPr="00371F62" w:rsidRDefault="00D620F6" w:rsidP="00FE606C">
            <w:pPr>
              <w:jc w:val="center"/>
            </w:pPr>
            <w:r>
              <w:rPr>
                <w:color w:val="000000"/>
              </w:rPr>
              <w:t>0.0</w:t>
            </w:r>
            <w:r w:rsidRPr="00371F62">
              <w:rPr>
                <w:color w:val="000000"/>
              </w:rPr>
              <w:t>577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1FC67E6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6.47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7B2ADB69" w14:textId="77777777" w:rsidR="00D620F6" w:rsidRPr="00371F62" w:rsidRDefault="00D620F6" w:rsidP="00FE606C">
            <w:pPr>
              <w:jc w:val="center"/>
            </w:pPr>
            <w:r w:rsidRPr="00371F62">
              <w:rPr>
                <w:color w:val="000000"/>
              </w:rPr>
              <w:t>9.53</w:t>
            </w:r>
            <w:r>
              <w:t>x10</w:t>
            </w:r>
            <w:r w:rsidRPr="00607719">
              <w:rPr>
                <w:color w:val="000000"/>
                <w:vertAlign w:val="superscript"/>
              </w:rPr>
              <w:t>-11</w:t>
            </w:r>
          </w:p>
        </w:tc>
      </w:tr>
    </w:tbl>
    <w:p w14:paraId="6823CF47" w14:textId="77777777" w:rsidR="00D620F6" w:rsidRDefault="00D620F6" w:rsidP="00D620F6"/>
    <w:p w14:paraId="40D3C503" w14:textId="77777777" w:rsidR="00D620F6" w:rsidRDefault="00D620F6" w:rsidP="00D620F6"/>
    <w:p w14:paraId="337D02F8" w14:textId="5DE7AB20" w:rsidR="00D620F6" w:rsidRDefault="00D620F6" w:rsidP="00490531"/>
    <w:p w14:paraId="1B9CCBF6" w14:textId="027763DC" w:rsidR="00D620F6" w:rsidRDefault="00D620F6" w:rsidP="00490531"/>
    <w:p w14:paraId="393E9330" w14:textId="30A16EFC" w:rsidR="00D620F6" w:rsidRDefault="00D620F6" w:rsidP="00490531"/>
    <w:p w14:paraId="3C2B7C29" w14:textId="6B46F6BA" w:rsidR="00D620F6" w:rsidRDefault="00D620F6" w:rsidP="00490531"/>
    <w:p w14:paraId="1C742280" w14:textId="2E5C55C1" w:rsidR="00D620F6" w:rsidRDefault="00D620F6" w:rsidP="00490531"/>
    <w:p w14:paraId="17E9F21B" w14:textId="31F7BF84" w:rsidR="00AA518A" w:rsidRDefault="00490531" w:rsidP="00490531">
      <w:r w:rsidRPr="00F53AAF">
        <w:lastRenderedPageBreak/>
        <w:t xml:space="preserve">Supplementary Table </w:t>
      </w:r>
      <w:r w:rsidR="00D620F6">
        <w:t>2.</w:t>
      </w:r>
      <w:r>
        <w:t xml:space="preserve"> </w:t>
      </w:r>
      <w:r w:rsidR="00AA518A">
        <w:t xml:space="preserve"> </w:t>
      </w:r>
      <w:r w:rsidR="00443127">
        <w:t>Incremental p</w:t>
      </w:r>
      <w:r w:rsidR="00AA518A">
        <w:t xml:space="preserve">redictive ability </w:t>
      </w:r>
      <w:r w:rsidR="00443127">
        <w:t xml:space="preserve">due to polygenic risk scores (PRS) in models including various </w:t>
      </w:r>
      <w:r w:rsidR="00AA518A">
        <w:t>clinical symptoms</w:t>
      </w:r>
      <w:r w:rsidR="00443127">
        <w:t xml:space="preserve"> and</w:t>
      </w:r>
      <w:r w:rsidR="00AA518A">
        <w:t xml:space="preserve"> clinical correlates.   </w:t>
      </w:r>
      <w:r w:rsidR="00443127">
        <w:t xml:space="preserve">C-statistics and their confidence intervals (CI) are shown from each individual model.   The reference models represent the effect of baseline covariates (age, sex and 10 principal components).  Additional predictors </w:t>
      </w:r>
      <w:r w:rsidR="00625D18">
        <w:t>due to PRS are shown as changes in the C-statistic (</w:t>
      </w:r>
      <w:r w:rsidR="00625D18" w:rsidRPr="00625D18">
        <w:rPr>
          <w:rStyle w:val="e24kjd"/>
        </w:rPr>
        <w:t>ΔC)</w:t>
      </w:r>
      <w:r w:rsidR="00625D18">
        <w:rPr>
          <w:rStyle w:val="e24kjd"/>
        </w:rPr>
        <w:t xml:space="preserve">. </w:t>
      </w:r>
      <w:r w:rsidR="00443127">
        <w:t xml:space="preserve"> </w:t>
      </w:r>
      <w:r w:rsidR="00A01C46">
        <w:t xml:space="preserve"> As described in the </w:t>
      </w:r>
      <w:r w:rsidR="00255673">
        <w:t>text</w:t>
      </w:r>
      <w:r w:rsidR="00A01C46">
        <w:t xml:space="preserve">, </w:t>
      </w:r>
      <w:r w:rsidR="00A01C46" w:rsidRPr="00B35D43">
        <w:t xml:space="preserve">clinical predictors are categorized as </w:t>
      </w:r>
      <w:r w:rsidR="00B72049" w:rsidRPr="00B35D43">
        <w:t xml:space="preserve">depressive </w:t>
      </w:r>
      <w:r w:rsidR="00A01C46" w:rsidRPr="00B35D43">
        <w:t>symptoms (</w:t>
      </w:r>
      <w:r w:rsidR="00B72049" w:rsidRPr="00B35D43">
        <w:rPr>
          <w:color w:val="000000"/>
        </w:rPr>
        <w:t>psychomotor retardation [PMR], incapacitation, delusions and number of mixed symptoms during worst depressive episode)</w:t>
      </w:r>
      <w:r w:rsidR="00B72049" w:rsidRPr="00B35D43">
        <w:rPr>
          <w:color w:val="000000"/>
          <w:lang w:val="en-GB" w:eastAsia="pl-PL"/>
        </w:rPr>
        <w:t xml:space="preserve"> </w:t>
      </w:r>
      <w:r w:rsidR="00B35D43" w:rsidRPr="00B35D43">
        <w:rPr>
          <w:color w:val="000000"/>
          <w:lang w:val="en-GB" w:eastAsia="pl-PL"/>
        </w:rPr>
        <w:t>or</w:t>
      </w:r>
      <w:r w:rsidR="00B72049" w:rsidRPr="00B35D43">
        <w:rPr>
          <w:color w:val="000000"/>
          <w:lang w:val="en-GB" w:eastAsia="pl-PL"/>
        </w:rPr>
        <w:t xml:space="preserve"> associated clinical features (</w:t>
      </w:r>
      <w:r w:rsidR="00B72049" w:rsidRPr="00B35D43">
        <w:rPr>
          <w:color w:val="000000"/>
        </w:rPr>
        <w:t>length of most severe episode, number of depressive episodes, antidepressant induced “high” feeling).</w:t>
      </w:r>
    </w:p>
    <w:p w14:paraId="7C723E10" w14:textId="77777777" w:rsidR="00AA518A" w:rsidRDefault="00AA518A" w:rsidP="00490531"/>
    <w:p w14:paraId="52988338" w14:textId="77777777" w:rsidR="00490531" w:rsidRDefault="00490531" w:rsidP="00490531"/>
    <w:tbl>
      <w:tblPr>
        <w:tblW w:w="8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1170"/>
        <w:gridCol w:w="1071"/>
        <w:gridCol w:w="823"/>
        <w:gridCol w:w="2066"/>
      </w:tblGrid>
      <w:tr w:rsidR="00B05E4F" w:rsidRPr="00821F9E" w14:paraId="31E951B7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ED901" w14:textId="77777777" w:rsidR="00B05E4F" w:rsidRPr="00821F9E" w:rsidRDefault="00B05E4F" w:rsidP="002B6277">
            <w:bookmarkStart w:id="0" w:name="_GoBack" w:colFirst="1" w:colLast="4"/>
            <w:r>
              <w:rPr>
                <w:b/>
                <w:bCs/>
              </w:rPr>
              <w:t>Model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7D726" w14:textId="1C4A715A" w:rsidR="00B05E4F" w:rsidRPr="007F2872" w:rsidRDefault="00B05E4F" w:rsidP="00B05E4F">
            <w:pPr>
              <w:jc w:val="center"/>
              <w:rPr>
                <w:i/>
                <w:iCs/>
              </w:rPr>
            </w:pPr>
            <w:r w:rsidRPr="007F2872">
              <w:rPr>
                <w:b/>
                <w:bCs/>
                <w:i/>
                <w:iCs/>
              </w:rPr>
              <w:t>C-statistic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5BA33" w14:textId="2094118D" w:rsidR="00B05E4F" w:rsidRPr="007F2872" w:rsidRDefault="00B05E4F" w:rsidP="00B05E4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2872">
              <w:rPr>
                <w:b/>
                <w:bCs/>
                <w:i/>
                <w:iCs/>
              </w:rPr>
              <w:t>CI</w:t>
            </w:r>
            <w:r w:rsidRPr="007F2872">
              <w:rPr>
                <w:b/>
                <w:bCs/>
                <w:i/>
                <w:iCs/>
                <w:vertAlign w:val="subscript"/>
              </w:rPr>
              <w:t>Lower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517DC" w14:textId="6D856DAE" w:rsidR="00B05E4F" w:rsidRPr="007F2872" w:rsidRDefault="00B05E4F" w:rsidP="00B05E4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2872">
              <w:rPr>
                <w:b/>
                <w:bCs/>
                <w:i/>
                <w:iCs/>
              </w:rPr>
              <w:t>CI</w:t>
            </w:r>
            <w:r w:rsidRPr="007F2872">
              <w:rPr>
                <w:b/>
                <w:bCs/>
                <w:i/>
                <w:iCs/>
                <w:u w:val="single"/>
                <w:vertAlign w:val="subscript"/>
              </w:rPr>
              <w:t>Upper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29BF" w14:textId="1ED772B6" w:rsidR="00B05E4F" w:rsidRPr="007F2872" w:rsidRDefault="00B05E4F" w:rsidP="00B05E4F">
            <w:pPr>
              <w:jc w:val="center"/>
              <w:rPr>
                <w:b/>
                <w:bCs/>
                <w:i/>
                <w:iCs/>
              </w:rPr>
            </w:pPr>
            <w:r w:rsidRPr="007F2872">
              <w:rPr>
                <w:rStyle w:val="e24kjd"/>
                <w:b/>
                <w:bCs/>
                <w:i/>
                <w:iCs/>
              </w:rPr>
              <w:t>ΔC (with PRS)</w:t>
            </w:r>
          </w:p>
        </w:tc>
      </w:tr>
      <w:bookmarkEnd w:id="0"/>
      <w:tr w:rsidR="00B05E4F" w:rsidRPr="00821F9E" w14:paraId="65EF0027" w14:textId="77777777" w:rsidTr="00755702">
        <w:trPr>
          <w:trHeight w:val="180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09E57" w14:textId="77777777" w:rsidR="00B05E4F" w:rsidRPr="004730F8" w:rsidRDefault="00B05E4F" w:rsidP="002B6277">
            <w:r w:rsidRPr="004730F8">
              <w:t>Reference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746AC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0.60</w:t>
            </w:r>
            <w:r>
              <w:rPr>
                <w:color w:val="000000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F10DF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0.57</w:t>
            </w:r>
            <w:r>
              <w:rPr>
                <w:color w:val="000000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7136D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0.629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021E" w14:textId="77777777" w:rsidR="00B05E4F" w:rsidRPr="00821F9E" w:rsidRDefault="00B05E4F" w:rsidP="00B05E4F">
            <w:pPr>
              <w:jc w:val="center"/>
            </w:pPr>
            <w:r>
              <w:t>-</w:t>
            </w:r>
          </w:p>
        </w:tc>
      </w:tr>
      <w:tr w:rsidR="00B05E4F" w:rsidRPr="00821F9E" w14:paraId="69A584FA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5CE68" w14:textId="52F7C767" w:rsidR="00B05E4F" w:rsidRPr="004730F8" w:rsidRDefault="00B05E4F" w:rsidP="002B6277">
            <w:r>
              <w:t>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C3762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0.640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58F02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0.61</w:t>
            </w:r>
            <w:r>
              <w:rPr>
                <w:color w:val="000000"/>
              </w:rPr>
              <w:t>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C027E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0.66</w:t>
            </w:r>
            <w:r>
              <w:rPr>
                <w:color w:val="000000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4665" w14:textId="77777777" w:rsidR="00B05E4F" w:rsidRPr="00821F9E" w:rsidRDefault="00B05E4F" w:rsidP="00B05E4F">
            <w:pPr>
              <w:jc w:val="center"/>
            </w:pPr>
            <w:r w:rsidRPr="00143535">
              <w:t>0.037</w:t>
            </w:r>
          </w:p>
        </w:tc>
      </w:tr>
      <w:tr w:rsidR="00B05E4F" w:rsidRPr="00821F9E" w14:paraId="1CFF5492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B676E" w14:textId="49B68140" w:rsidR="00B05E4F" w:rsidRPr="004730F8" w:rsidRDefault="00B05E4F" w:rsidP="002B6277"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EB9D10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0.640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527D5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0.61</w:t>
            </w:r>
            <w:r>
              <w:rPr>
                <w:color w:val="000000"/>
              </w:rPr>
              <w:t>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05F8FC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0.66</w:t>
            </w:r>
            <w:r>
              <w:rPr>
                <w:color w:val="000000"/>
              </w:rPr>
              <w:t>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E60D" w14:textId="77777777" w:rsidR="00B05E4F" w:rsidRPr="00821F9E" w:rsidRDefault="00B05E4F" w:rsidP="00B05E4F">
            <w:pPr>
              <w:jc w:val="center"/>
            </w:pPr>
            <w:r w:rsidRPr="00143535">
              <w:t>0.03</w:t>
            </w:r>
            <w:r>
              <w:t>8</w:t>
            </w:r>
          </w:p>
        </w:tc>
      </w:tr>
      <w:tr w:rsidR="00B05E4F" w:rsidRPr="00821F9E" w14:paraId="6AEF015E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C2256" w14:textId="3F7B593C" w:rsidR="00B05E4F" w:rsidRPr="004730F8" w:rsidRDefault="00B05E4F" w:rsidP="002B6277"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>  +</w:t>
            </w:r>
            <w:r>
              <w:t xml:space="preserve"> 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DE0B0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0.654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17031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0.629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9E0BE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0.679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D3F3" w14:textId="77777777" w:rsidR="00B05E4F" w:rsidRPr="00821F9E" w:rsidRDefault="00B05E4F" w:rsidP="00B05E4F">
            <w:pPr>
              <w:jc w:val="center"/>
            </w:pPr>
            <w:r w:rsidRPr="00143535">
              <w:t>0.05</w:t>
            </w:r>
            <w:r>
              <w:t>1</w:t>
            </w:r>
          </w:p>
        </w:tc>
      </w:tr>
      <w:tr w:rsidR="00B05E4F" w:rsidRPr="00821F9E" w14:paraId="450B6B99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D5B46" w14:textId="77777777" w:rsidR="00B05E4F" w:rsidRDefault="00B05E4F" w:rsidP="002B6277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370E9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F6461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1A8686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066E" w14:textId="77777777" w:rsidR="00B05E4F" w:rsidRPr="00143535" w:rsidRDefault="00B05E4F" w:rsidP="00B05E4F">
            <w:pPr>
              <w:jc w:val="center"/>
            </w:pPr>
          </w:p>
        </w:tc>
      </w:tr>
      <w:tr w:rsidR="00B05E4F" w:rsidRPr="00350DCA" w14:paraId="18471210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BAAEA" w14:textId="12B9AD7C" w:rsidR="00B05E4F" w:rsidRPr="00350DCA" w:rsidRDefault="00B05E4F" w:rsidP="002B6277">
            <w:pPr>
              <w:rPr>
                <w:b/>
                <w:bCs/>
              </w:rPr>
            </w:pPr>
            <w:r w:rsidRPr="00350DCA">
              <w:rPr>
                <w:b/>
                <w:bCs/>
              </w:rPr>
              <w:t>Symptoms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8C726" w14:textId="77777777" w:rsidR="00B05E4F" w:rsidRPr="00350DCA" w:rsidRDefault="00B05E4F" w:rsidP="00B05E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0CC51C" w14:textId="77777777" w:rsidR="00B05E4F" w:rsidRPr="00350DCA" w:rsidRDefault="00B05E4F" w:rsidP="00B05E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2A7E0" w14:textId="77777777" w:rsidR="00B05E4F" w:rsidRPr="00350DCA" w:rsidRDefault="00B05E4F" w:rsidP="00B05E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0560" w14:textId="77777777" w:rsidR="00B05E4F" w:rsidRPr="00350DCA" w:rsidRDefault="00B05E4F" w:rsidP="00B05E4F">
            <w:pPr>
              <w:jc w:val="center"/>
              <w:rPr>
                <w:b/>
                <w:bCs/>
              </w:rPr>
            </w:pPr>
          </w:p>
        </w:tc>
      </w:tr>
      <w:tr w:rsidR="00B05E4F" w:rsidRPr="00821F9E" w14:paraId="7320CC5B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8C089" w14:textId="1969AD6C" w:rsidR="00B05E4F" w:rsidRPr="004B04FB" w:rsidRDefault="00B05E4F" w:rsidP="007E6CDC">
            <w:r>
              <w:t>Psychomotor Retardation (PMR)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F383C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0.68</w:t>
            </w:r>
            <w:r>
              <w:rPr>
                <w:color w:val="000000"/>
              </w:rPr>
              <w:t>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D484B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0.662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B0757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0.711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9FFF" w14:textId="77777777" w:rsidR="00B05E4F" w:rsidRPr="00143535" w:rsidRDefault="00B05E4F" w:rsidP="00B05E4F">
            <w:pPr>
              <w:jc w:val="center"/>
            </w:pPr>
            <w:r w:rsidRPr="00143535">
              <w:t>-</w:t>
            </w:r>
          </w:p>
        </w:tc>
      </w:tr>
      <w:tr w:rsidR="00B05E4F" w:rsidRPr="00821F9E" w14:paraId="217943A1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CAD47" w14:textId="1CD8F723" w:rsidR="00B05E4F" w:rsidRPr="004B04FB" w:rsidRDefault="00B05E4F" w:rsidP="007E6CDC">
            <w:r w:rsidRPr="004B04FB">
              <w:t xml:space="preserve">PMR + </w:t>
            </w:r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> </w:t>
            </w:r>
            <w:r w:rsidRPr="004B04FB">
              <w:t xml:space="preserve"> + </w:t>
            </w:r>
            <w:r>
              <w:t>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05E20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0.71</w:t>
            </w:r>
            <w:r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7C998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0.68</w:t>
            </w:r>
            <w:r>
              <w:rPr>
                <w:color w:val="000000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0D8922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0.734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57DC" w14:textId="77777777" w:rsidR="00B05E4F" w:rsidRPr="00143535" w:rsidRDefault="00B05E4F" w:rsidP="00B05E4F">
            <w:pPr>
              <w:pStyle w:val="NormalWeb"/>
              <w:spacing w:before="0" w:beforeAutospacing="0" w:after="0" w:afterAutospacing="0"/>
              <w:jc w:val="center"/>
            </w:pPr>
            <w:r w:rsidRPr="00143535">
              <w:rPr>
                <w:color w:val="000000"/>
              </w:rPr>
              <w:t>0.024</w:t>
            </w:r>
          </w:p>
        </w:tc>
      </w:tr>
      <w:tr w:rsidR="00B05E4F" w:rsidRPr="00821F9E" w14:paraId="256D0BE5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7532B" w14:textId="77777777" w:rsidR="00B05E4F" w:rsidRPr="004B04FB" w:rsidRDefault="00B05E4F" w:rsidP="00262B8E">
            <w:r w:rsidRPr="004B04FB">
              <w:t>Incapacitat</w:t>
            </w:r>
            <w:r>
              <w:t>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DE583D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0.739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BEECE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0.716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504C0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0.762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94D9" w14:textId="77777777" w:rsidR="00B05E4F" w:rsidRPr="004B04FB" w:rsidRDefault="00B05E4F" w:rsidP="00B05E4F">
            <w:pPr>
              <w:jc w:val="center"/>
            </w:pPr>
            <w:r w:rsidRPr="004B04FB">
              <w:t>-</w:t>
            </w:r>
          </w:p>
        </w:tc>
      </w:tr>
      <w:tr w:rsidR="00B05E4F" w:rsidRPr="00821F9E" w14:paraId="58F9C0F7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E1978" w14:textId="77777777" w:rsidR="00B05E4F" w:rsidRPr="004B04FB" w:rsidRDefault="00B05E4F" w:rsidP="00262B8E">
            <w:r w:rsidRPr="004B04FB">
              <w:t xml:space="preserve">Incapacitation + </w:t>
            </w:r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> </w:t>
            </w:r>
            <w:r w:rsidRPr="004B04FB">
              <w:t xml:space="preserve"> + </w:t>
            </w:r>
            <w:r>
              <w:t>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4032A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</w:t>
            </w:r>
            <w:r>
              <w:rPr>
                <w:color w:val="000000"/>
              </w:rPr>
              <w:t>60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A0B52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0.73</w:t>
            </w:r>
            <w:r>
              <w:rPr>
                <w:color w:val="000000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E110F3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0.782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EFC16" w14:textId="77777777" w:rsidR="00B05E4F" w:rsidRPr="004B04FB" w:rsidRDefault="00B05E4F" w:rsidP="00B05E4F">
            <w:pPr>
              <w:jc w:val="center"/>
            </w:pPr>
            <w:r w:rsidRPr="004B04FB">
              <w:t>0.02</w:t>
            </w:r>
            <w:r>
              <w:t>1</w:t>
            </w:r>
          </w:p>
        </w:tc>
      </w:tr>
      <w:tr w:rsidR="00B05E4F" w:rsidRPr="00821F9E" w14:paraId="747D24F5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4A118" w14:textId="77777777" w:rsidR="00B05E4F" w:rsidRPr="004B04FB" w:rsidRDefault="00B05E4F" w:rsidP="00262B8E">
            <w:r w:rsidRPr="004B04FB">
              <w:t>Delusions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84C0A6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0.688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FA395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0.66</w:t>
            </w:r>
            <w:r>
              <w:rPr>
                <w:color w:val="000000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34798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0.712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674" w14:textId="77777777" w:rsidR="00B05E4F" w:rsidRPr="004B04FB" w:rsidRDefault="00B05E4F" w:rsidP="00B05E4F">
            <w:pPr>
              <w:jc w:val="center"/>
            </w:pPr>
            <w:r w:rsidRPr="004B04FB">
              <w:t>-</w:t>
            </w:r>
          </w:p>
        </w:tc>
      </w:tr>
      <w:tr w:rsidR="00B05E4F" w:rsidRPr="00821F9E" w14:paraId="6295EC6C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FBC84" w14:textId="77777777" w:rsidR="00B05E4F" w:rsidRPr="004730F8" w:rsidRDefault="00B05E4F" w:rsidP="00262B8E">
            <w:r w:rsidRPr="004730F8">
              <w:t xml:space="preserve">Delusions + </w:t>
            </w:r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 xml:space="preserve">  + </w:t>
            </w:r>
            <w:r>
              <w:t>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F01B5A" w14:textId="77777777" w:rsidR="00B05E4F" w:rsidRPr="004730F8" w:rsidRDefault="00B05E4F" w:rsidP="00B05E4F">
            <w:pPr>
              <w:jc w:val="center"/>
              <w:rPr>
                <w:color w:val="000000"/>
              </w:rPr>
            </w:pPr>
            <w:r w:rsidRPr="004730F8">
              <w:rPr>
                <w:color w:val="000000"/>
              </w:rPr>
              <w:t>0.7</w:t>
            </w:r>
            <w:r>
              <w:rPr>
                <w:color w:val="000000"/>
              </w:rPr>
              <w:t>30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607DC" w14:textId="77777777" w:rsidR="00B05E4F" w:rsidRPr="004730F8" w:rsidRDefault="00B05E4F" w:rsidP="00B05E4F">
            <w:pPr>
              <w:jc w:val="center"/>
              <w:rPr>
                <w:color w:val="000000"/>
              </w:rPr>
            </w:pPr>
            <w:r w:rsidRPr="004730F8">
              <w:rPr>
                <w:color w:val="000000"/>
              </w:rPr>
              <w:t>0.70</w:t>
            </w:r>
            <w:r>
              <w:rPr>
                <w:color w:val="000000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87DA8" w14:textId="77777777" w:rsidR="00B05E4F" w:rsidRPr="004730F8" w:rsidRDefault="00B05E4F" w:rsidP="00B05E4F">
            <w:pPr>
              <w:jc w:val="center"/>
              <w:rPr>
                <w:color w:val="000000"/>
              </w:rPr>
            </w:pPr>
            <w:r w:rsidRPr="004730F8">
              <w:rPr>
                <w:color w:val="000000"/>
              </w:rPr>
              <w:t>0.75</w:t>
            </w:r>
            <w:r>
              <w:rPr>
                <w:color w:val="000000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EEFA" w14:textId="77777777" w:rsidR="00B05E4F" w:rsidRDefault="00B05E4F" w:rsidP="00B05E4F">
            <w:pPr>
              <w:jc w:val="center"/>
            </w:pPr>
            <w:r>
              <w:t>0.042</w:t>
            </w:r>
          </w:p>
        </w:tc>
      </w:tr>
      <w:tr w:rsidR="00B05E4F" w:rsidRPr="00821F9E" w14:paraId="35586F9F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42D83" w14:textId="2D3F09D7" w:rsidR="00B05E4F" w:rsidRPr="004B04FB" w:rsidRDefault="00B05E4F" w:rsidP="007E6CDC">
            <w:r w:rsidRPr="004B04FB">
              <w:t>Mixed</w:t>
            </w:r>
            <w:r>
              <w:t xml:space="preserve"> symptoms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2D302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0.63</w:t>
            </w:r>
            <w:r>
              <w:rPr>
                <w:color w:val="000000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5B418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0.609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AB151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0.66</w:t>
            </w:r>
            <w:r>
              <w:rPr>
                <w:color w:val="000000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027F" w14:textId="77777777" w:rsidR="00B05E4F" w:rsidRPr="00143535" w:rsidRDefault="00B05E4F" w:rsidP="00B05E4F">
            <w:pPr>
              <w:jc w:val="center"/>
            </w:pPr>
            <w:r w:rsidRPr="00143535">
              <w:t>-</w:t>
            </w:r>
          </w:p>
        </w:tc>
      </w:tr>
      <w:tr w:rsidR="00B05E4F" w:rsidRPr="00821F9E" w14:paraId="051CFC2F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EE40E" w14:textId="2BF987C5" w:rsidR="00B05E4F" w:rsidRPr="004B04FB" w:rsidRDefault="00B05E4F" w:rsidP="007E6CDC">
            <w:r w:rsidRPr="004B04FB">
              <w:t xml:space="preserve">Mixed </w:t>
            </w:r>
            <w:r>
              <w:t xml:space="preserve">symptoms </w:t>
            </w:r>
            <w:r w:rsidRPr="004B04FB">
              <w:t xml:space="preserve">+ </w:t>
            </w:r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> </w:t>
            </w:r>
            <w:r w:rsidRPr="004B04FB">
              <w:t xml:space="preserve"> + </w:t>
            </w:r>
            <w:r>
              <w:t>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FB6E3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0.68</w:t>
            </w:r>
            <w:r>
              <w:rPr>
                <w:color w:val="000000"/>
              </w:rPr>
              <w:t>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81F72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0.66</w:t>
            </w:r>
            <w:r>
              <w:rPr>
                <w:color w:val="000000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B315A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0860" w14:textId="77777777" w:rsidR="00B05E4F" w:rsidRPr="004B04FB" w:rsidRDefault="00B05E4F" w:rsidP="00B05E4F">
            <w:pPr>
              <w:jc w:val="center"/>
            </w:pPr>
            <w:r w:rsidRPr="00143535">
              <w:t>0.05</w:t>
            </w:r>
            <w:r>
              <w:t>3</w:t>
            </w:r>
          </w:p>
        </w:tc>
      </w:tr>
      <w:tr w:rsidR="00B05E4F" w:rsidRPr="00821F9E" w14:paraId="0BA469FD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19E081" w14:textId="77777777" w:rsidR="00B05E4F" w:rsidRPr="004B04FB" w:rsidRDefault="00B05E4F" w:rsidP="007E6CD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699A5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010E2F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9E03D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0F86" w14:textId="77777777" w:rsidR="00B05E4F" w:rsidRPr="004B04FB" w:rsidRDefault="00B05E4F" w:rsidP="00B05E4F">
            <w:pPr>
              <w:jc w:val="center"/>
            </w:pPr>
          </w:p>
        </w:tc>
      </w:tr>
      <w:tr w:rsidR="00B05E4F" w:rsidRPr="00350DCA" w14:paraId="5B683E32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63BF49" w14:textId="2928866C" w:rsidR="00B05E4F" w:rsidRPr="00350DCA" w:rsidRDefault="00B05E4F" w:rsidP="00262B8E">
            <w:pPr>
              <w:rPr>
                <w:b/>
                <w:bCs/>
              </w:rPr>
            </w:pPr>
            <w:r w:rsidRPr="00350DCA">
              <w:rPr>
                <w:b/>
                <w:bCs/>
              </w:rPr>
              <w:t xml:space="preserve">Clinical </w:t>
            </w:r>
            <w:r>
              <w:rPr>
                <w:b/>
                <w:bCs/>
              </w:rPr>
              <w:t>Features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E17C7" w14:textId="77777777" w:rsidR="00B05E4F" w:rsidRPr="00350DCA" w:rsidRDefault="00B05E4F" w:rsidP="00B05E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31958" w14:textId="77777777" w:rsidR="00B05E4F" w:rsidRPr="00350DCA" w:rsidRDefault="00B05E4F" w:rsidP="00B05E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FF599" w14:textId="77777777" w:rsidR="00B05E4F" w:rsidRPr="00350DCA" w:rsidRDefault="00B05E4F" w:rsidP="00B05E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1089" w14:textId="77777777" w:rsidR="00B05E4F" w:rsidRPr="00350DCA" w:rsidRDefault="00B05E4F" w:rsidP="00B05E4F">
            <w:pPr>
              <w:jc w:val="center"/>
              <w:rPr>
                <w:b/>
                <w:bCs/>
              </w:rPr>
            </w:pPr>
          </w:p>
        </w:tc>
      </w:tr>
      <w:tr w:rsidR="00B05E4F" w:rsidRPr="00821F9E" w14:paraId="7707DBC9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A00EF" w14:textId="1681C3E3" w:rsidR="00B05E4F" w:rsidRPr="004B04FB" w:rsidRDefault="00B05E4F" w:rsidP="00262B8E">
            <w:r>
              <w:t>Length of Depressive Episode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62AFC3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0.670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D84A2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0.645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62EEA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0.695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1E86" w14:textId="77777777" w:rsidR="00B05E4F" w:rsidRPr="004B04FB" w:rsidRDefault="00B05E4F" w:rsidP="00B05E4F">
            <w:pPr>
              <w:jc w:val="center"/>
            </w:pPr>
            <w:r w:rsidRPr="004B04FB">
              <w:t>-</w:t>
            </w:r>
          </w:p>
        </w:tc>
      </w:tr>
      <w:tr w:rsidR="00B05E4F" w:rsidRPr="00821F9E" w14:paraId="3F46D9A8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879773" w14:textId="65265E08" w:rsidR="00B05E4F" w:rsidRPr="004B04FB" w:rsidRDefault="000E7732" w:rsidP="00262B8E">
            <w:r>
              <w:t>Length</w:t>
            </w:r>
            <w:r w:rsidR="00B05E4F" w:rsidRPr="004B04FB">
              <w:t xml:space="preserve"> + </w:t>
            </w:r>
            <w:r w:rsidR="00B05E4F">
              <w:t>PRS</w:t>
            </w:r>
            <w:r w:rsidR="00B05E4F" w:rsidRPr="00443127">
              <w:rPr>
                <w:vertAlign w:val="subscript"/>
              </w:rPr>
              <w:t>BD</w:t>
            </w:r>
            <w:r w:rsidR="00B05E4F" w:rsidRPr="004730F8">
              <w:t> </w:t>
            </w:r>
            <w:r w:rsidR="00B05E4F" w:rsidRPr="004B04FB">
              <w:t xml:space="preserve"> + </w:t>
            </w:r>
            <w:r w:rsidR="00B05E4F">
              <w:t>PRS</w:t>
            </w:r>
            <w:r w:rsidR="00B05E4F" w:rsidRPr="00443127">
              <w:rPr>
                <w:vertAlign w:val="subscript"/>
              </w:rPr>
              <w:t>SCZ</w:t>
            </w:r>
            <w:r w:rsidR="00B05E4F"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9B9C6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0.707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88DBC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0.683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256F7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0.731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5F75" w14:textId="77777777" w:rsidR="00B05E4F" w:rsidRPr="004B04FB" w:rsidRDefault="00B05E4F" w:rsidP="00B05E4F">
            <w:pPr>
              <w:jc w:val="center"/>
            </w:pPr>
            <w:r w:rsidRPr="00143535">
              <w:t>0.037</w:t>
            </w:r>
          </w:p>
        </w:tc>
      </w:tr>
      <w:tr w:rsidR="00B05E4F" w:rsidRPr="00821F9E" w14:paraId="012B1E52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256823" w14:textId="77777777" w:rsidR="00B05E4F" w:rsidRPr="004B04FB" w:rsidRDefault="00B05E4F" w:rsidP="00262B8E">
            <w:r>
              <w:t>Number of Episodes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18CB0C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0.686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27E60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0.66</w:t>
            </w:r>
            <w:r>
              <w:rPr>
                <w:color w:val="000000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6FBBE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0.71</w:t>
            </w:r>
            <w:r>
              <w:rPr>
                <w:color w:val="000000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51BB" w14:textId="77777777" w:rsidR="00B05E4F" w:rsidRPr="004B04FB" w:rsidRDefault="00B05E4F" w:rsidP="00B05E4F">
            <w:pPr>
              <w:jc w:val="center"/>
            </w:pPr>
            <w:r w:rsidRPr="004B04FB">
              <w:t>-</w:t>
            </w:r>
          </w:p>
        </w:tc>
      </w:tr>
      <w:tr w:rsidR="00B05E4F" w:rsidRPr="00821F9E" w14:paraId="219A3906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6E9C8" w14:textId="77777777" w:rsidR="00B05E4F" w:rsidRPr="004B04FB" w:rsidRDefault="00B05E4F" w:rsidP="00262B8E">
            <w:r w:rsidRPr="004B04FB">
              <w:t>Episodes</w:t>
            </w:r>
            <w:r>
              <w:t xml:space="preserve"> </w:t>
            </w:r>
            <w:r w:rsidRPr="004B04FB">
              <w:t xml:space="preserve">+ </w:t>
            </w:r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> </w:t>
            </w:r>
            <w:r w:rsidRPr="004B04FB">
              <w:t xml:space="preserve"> + </w:t>
            </w:r>
            <w:r>
              <w:t>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38E20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0.716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0395E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0.69</w:t>
            </w:r>
            <w:r>
              <w:rPr>
                <w:color w:val="000000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59987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0.739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9740" w14:textId="77777777" w:rsidR="00B05E4F" w:rsidRPr="004B04FB" w:rsidRDefault="00B05E4F" w:rsidP="00B05E4F">
            <w:pPr>
              <w:jc w:val="center"/>
            </w:pPr>
            <w:r w:rsidRPr="00143535">
              <w:t>0.0</w:t>
            </w:r>
            <w:r>
              <w:t>30</w:t>
            </w:r>
          </w:p>
        </w:tc>
      </w:tr>
      <w:tr w:rsidR="00B05E4F" w:rsidRPr="00821F9E" w14:paraId="37AACB72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22ACC" w14:textId="77777777" w:rsidR="00B05E4F" w:rsidRPr="004B04FB" w:rsidRDefault="00B05E4F" w:rsidP="00262B8E">
            <w:r w:rsidRPr="004B04FB">
              <w:t>High</w:t>
            </w:r>
            <w:r>
              <w:t xml:space="preserve"> following antidepressant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08BEF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0.717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50FA9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0.693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6BD4E" w14:textId="77777777" w:rsidR="00B05E4F" w:rsidRPr="004B04FB" w:rsidRDefault="00B05E4F" w:rsidP="00B05E4F">
            <w:pPr>
              <w:jc w:val="center"/>
            </w:pPr>
            <w:r w:rsidRPr="004B04FB">
              <w:rPr>
                <w:color w:val="000000"/>
              </w:rPr>
              <w:t>0.74</w:t>
            </w:r>
            <w:r>
              <w:rPr>
                <w:color w:val="000000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258F" w14:textId="77777777" w:rsidR="00B05E4F" w:rsidRPr="004B04FB" w:rsidRDefault="00B05E4F" w:rsidP="00B05E4F">
            <w:pPr>
              <w:jc w:val="center"/>
            </w:pPr>
            <w:r w:rsidRPr="004B04FB">
              <w:t>-</w:t>
            </w:r>
          </w:p>
        </w:tc>
      </w:tr>
      <w:tr w:rsidR="00B05E4F" w:rsidRPr="00821F9E" w14:paraId="5B36DDD4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BAEDB" w14:textId="77777777" w:rsidR="00B05E4F" w:rsidRPr="004B04FB" w:rsidRDefault="00B05E4F" w:rsidP="00262B8E">
            <w:r w:rsidRPr="004B04FB">
              <w:t xml:space="preserve">High + </w:t>
            </w:r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> </w:t>
            </w:r>
            <w:r w:rsidRPr="004B04FB">
              <w:t xml:space="preserve"> + </w:t>
            </w:r>
            <w:r>
              <w:t>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FC441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0.748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8AA09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0.72</w:t>
            </w:r>
            <w:r>
              <w:rPr>
                <w:color w:val="000000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FEC7E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  <w:r w:rsidRPr="004B04FB">
              <w:rPr>
                <w:color w:val="000000"/>
              </w:rPr>
              <w:t>0.77</w:t>
            </w:r>
            <w:r>
              <w:rPr>
                <w:color w:val="000000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1A70" w14:textId="77777777" w:rsidR="00B05E4F" w:rsidRPr="004B04FB" w:rsidRDefault="00B05E4F" w:rsidP="00B05E4F">
            <w:pPr>
              <w:jc w:val="center"/>
            </w:pPr>
            <w:r w:rsidRPr="00143535">
              <w:t>0.03</w:t>
            </w:r>
            <w:r>
              <w:t>1</w:t>
            </w:r>
          </w:p>
        </w:tc>
      </w:tr>
      <w:tr w:rsidR="00B05E4F" w:rsidRPr="00821F9E" w14:paraId="0E969372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A9F1B" w14:textId="77777777" w:rsidR="00B05E4F" w:rsidRPr="004B04FB" w:rsidRDefault="00B05E4F" w:rsidP="007E6CD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6C019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47180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2FCFC" w14:textId="77777777" w:rsidR="00B05E4F" w:rsidRPr="004B04FB" w:rsidRDefault="00B05E4F" w:rsidP="00B05E4F">
            <w:pPr>
              <w:jc w:val="center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292D" w14:textId="77777777" w:rsidR="00B05E4F" w:rsidRPr="004B04FB" w:rsidRDefault="00B05E4F" w:rsidP="00B05E4F">
            <w:pPr>
              <w:jc w:val="center"/>
            </w:pPr>
          </w:p>
        </w:tc>
      </w:tr>
      <w:tr w:rsidR="00B05E4F" w:rsidRPr="001D648A" w14:paraId="37D5D73E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F8CA1" w14:textId="135860FF" w:rsidR="00B05E4F" w:rsidRPr="001D648A" w:rsidRDefault="00B05E4F" w:rsidP="007E6CDC">
            <w:pPr>
              <w:rPr>
                <w:b/>
                <w:bCs/>
              </w:rPr>
            </w:pPr>
            <w:r w:rsidRPr="001D648A">
              <w:rPr>
                <w:b/>
                <w:bCs/>
              </w:rPr>
              <w:lastRenderedPageBreak/>
              <w:t>Combined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2C039" w14:textId="77777777" w:rsidR="00B05E4F" w:rsidRPr="001D648A" w:rsidRDefault="00B05E4F" w:rsidP="00B05E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52C57" w14:textId="77777777" w:rsidR="00B05E4F" w:rsidRPr="001D648A" w:rsidRDefault="00B05E4F" w:rsidP="00B05E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42D314" w14:textId="77777777" w:rsidR="00B05E4F" w:rsidRPr="001D648A" w:rsidRDefault="00B05E4F" w:rsidP="00B05E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E780" w14:textId="77777777" w:rsidR="00B05E4F" w:rsidRPr="001D648A" w:rsidRDefault="00B05E4F" w:rsidP="00B05E4F">
            <w:pPr>
              <w:jc w:val="center"/>
              <w:rPr>
                <w:b/>
                <w:bCs/>
              </w:rPr>
            </w:pPr>
          </w:p>
        </w:tc>
      </w:tr>
      <w:tr w:rsidR="00B05E4F" w:rsidRPr="00821F9E" w14:paraId="79705E47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1F444A" w14:textId="022FCF98" w:rsidR="00B05E4F" w:rsidRPr="004730F8" w:rsidRDefault="00B05E4F" w:rsidP="007E6CDC">
            <w:r>
              <w:t>All Symptoms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8BB3EF" w14:textId="59EABDB4" w:rsidR="00B05E4F" w:rsidRPr="004730F8" w:rsidRDefault="00B05E4F" w:rsidP="00B05E4F">
            <w:pPr>
              <w:jc w:val="center"/>
              <w:rPr>
                <w:color w:val="000000"/>
              </w:rPr>
            </w:pPr>
            <w:r w:rsidRPr="00900B22">
              <w:rPr>
                <w:color w:val="000000"/>
              </w:rPr>
              <w:t>0.</w:t>
            </w:r>
            <w:r>
              <w:rPr>
                <w:color w:val="000000"/>
              </w:rPr>
              <w:t>807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2A4A0" w14:textId="6B75DBED" w:rsidR="00B05E4F" w:rsidRPr="004730F8" w:rsidRDefault="00B05E4F" w:rsidP="00B05E4F">
            <w:pPr>
              <w:jc w:val="center"/>
              <w:rPr>
                <w:color w:val="000000"/>
              </w:rPr>
            </w:pPr>
            <w:r w:rsidRPr="00900B22">
              <w:rPr>
                <w:color w:val="000000"/>
              </w:rPr>
              <w:t>0.7</w:t>
            </w:r>
            <w:r>
              <w:rPr>
                <w:color w:val="000000"/>
              </w:rPr>
              <w:t>87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26EF0" w14:textId="6AFCB41F" w:rsidR="00B05E4F" w:rsidRPr="004730F8" w:rsidRDefault="00B05E4F" w:rsidP="00B05E4F">
            <w:pPr>
              <w:jc w:val="center"/>
              <w:rPr>
                <w:color w:val="000000"/>
              </w:rPr>
            </w:pPr>
            <w:r w:rsidRPr="00900B22">
              <w:rPr>
                <w:color w:val="000000"/>
              </w:rPr>
              <w:t>0.</w:t>
            </w:r>
            <w:r>
              <w:rPr>
                <w:color w:val="000000"/>
              </w:rPr>
              <w:t>827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00A3" w14:textId="77777777" w:rsidR="00B05E4F" w:rsidRDefault="00B05E4F" w:rsidP="00B05E4F">
            <w:pPr>
              <w:jc w:val="center"/>
            </w:pPr>
          </w:p>
        </w:tc>
      </w:tr>
      <w:tr w:rsidR="00AB3F48" w:rsidRPr="00821F9E" w14:paraId="6389BCC6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DCDBD" w14:textId="7FAAB687" w:rsidR="00AB3F48" w:rsidRPr="004730F8" w:rsidRDefault="00AB3F48" w:rsidP="00AB3F48">
            <w:r>
              <w:t>Symptoms + PRS</w:t>
            </w:r>
            <w:r w:rsidRPr="00443127">
              <w:rPr>
                <w:vertAlign w:val="subscript"/>
              </w:rPr>
              <w:t>BD</w:t>
            </w:r>
            <w:r w:rsidRPr="004730F8">
              <w:t> </w:t>
            </w:r>
            <w:r>
              <w:t xml:space="preserve"> + 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AC6EA" w14:textId="1DEDFA48" w:rsidR="00AB3F48" w:rsidRPr="004730F8" w:rsidRDefault="00AB3F48" w:rsidP="00AB3F48">
            <w:pPr>
              <w:jc w:val="center"/>
              <w:rPr>
                <w:color w:val="000000"/>
              </w:rPr>
            </w:pPr>
            <w:r w:rsidRPr="009E2CFE">
              <w:rPr>
                <w:color w:val="000000"/>
              </w:rPr>
              <w:t>0.</w:t>
            </w:r>
            <w:r>
              <w:rPr>
                <w:color w:val="000000"/>
              </w:rPr>
              <w:t>819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DF77F" w14:textId="28199AD8" w:rsidR="00AB3F48" w:rsidRPr="004730F8" w:rsidRDefault="00AB3F48" w:rsidP="00AB3F48">
            <w:pPr>
              <w:jc w:val="center"/>
              <w:rPr>
                <w:color w:val="000000"/>
              </w:rPr>
            </w:pPr>
            <w:r w:rsidRPr="00900B22">
              <w:rPr>
                <w:color w:val="000000"/>
              </w:rPr>
              <w:t>0</w:t>
            </w:r>
            <w:r w:rsidRPr="009E2CFE">
              <w:rPr>
                <w:color w:val="000000"/>
              </w:rPr>
              <w:t>.</w:t>
            </w:r>
            <w:r>
              <w:rPr>
                <w:color w:val="000000"/>
              </w:rPr>
              <w:t>800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C799D" w14:textId="74A2C3EB" w:rsidR="00AB3F48" w:rsidRPr="004730F8" w:rsidRDefault="00AB3F48" w:rsidP="00AB3F48">
            <w:pPr>
              <w:jc w:val="center"/>
              <w:rPr>
                <w:color w:val="000000"/>
              </w:rPr>
            </w:pPr>
            <w:r w:rsidRPr="009E2CFE">
              <w:rPr>
                <w:color w:val="000000"/>
              </w:rPr>
              <w:t>0.8</w:t>
            </w:r>
            <w:r>
              <w:rPr>
                <w:color w:val="000000"/>
              </w:rPr>
              <w:t>38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22C5" w14:textId="5D623CDB" w:rsidR="00AB3F48" w:rsidRDefault="00AB3F48" w:rsidP="00AB3F48">
            <w:pPr>
              <w:jc w:val="center"/>
            </w:pPr>
            <w:r>
              <w:t>0.012</w:t>
            </w:r>
          </w:p>
        </w:tc>
      </w:tr>
      <w:tr w:rsidR="00B05E4F" w:rsidRPr="00821F9E" w14:paraId="18D7CB42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EC801" w14:textId="276A2A64" w:rsidR="00B05E4F" w:rsidRDefault="00B05E4F" w:rsidP="007E6CDC">
            <w:r>
              <w:t>All Clinical Features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BB0D2" w14:textId="22FA47DA" w:rsidR="00B05E4F" w:rsidRPr="009E2CFE" w:rsidRDefault="00B05E4F" w:rsidP="00B0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0.774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B35B2" w14:textId="61391B17" w:rsidR="00B05E4F" w:rsidRPr="00900B22" w:rsidRDefault="00B05E4F" w:rsidP="00B0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0.752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79320" w14:textId="07C6AD2D" w:rsidR="00B05E4F" w:rsidRPr="009E2CFE" w:rsidRDefault="00B05E4F" w:rsidP="00B0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0.795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4CA9" w14:textId="77777777" w:rsidR="00B05E4F" w:rsidRDefault="00B05E4F" w:rsidP="00B05E4F">
            <w:pPr>
              <w:jc w:val="center"/>
            </w:pPr>
          </w:p>
        </w:tc>
      </w:tr>
      <w:tr w:rsidR="00AB3F48" w:rsidRPr="00821F9E" w14:paraId="7BF1442E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D70FB" w14:textId="6D065843" w:rsidR="00AB3F48" w:rsidRDefault="00AB3F48" w:rsidP="00AB3F48">
            <w:r>
              <w:t>Clinical Features + PRS</w:t>
            </w:r>
            <w:r w:rsidRPr="00443127">
              <w:rPr>
                <w:vertAlign w:val="subscript"/>
              </w:rPr>
              <w:t>BD</w:t>
            </w:r>
            <w:r w:rsidRPr="004730F8">
              <w:t> </w:t>
            </w:r>
            <w:r>
              <w:t xml:space="preserve"> + 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40409" w14:textId="4FC7106C" w:rsidR="00AB3F48" w:rsidRPr="009E2CFE" w:rsidRDefault="00AB3F48" w:rsidP="00AB3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0.794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B7F3F" w14:textId="4FF62997" w:rsidR="00AB3F48" w:rsidRPr="00900B22" w:rsidRDefault="00AB3F48" w:rsidP="00AB3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0.773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D73A5" w14:textId="551F9371" w:rsidR="00AB3F48" w:rsidRPr="009E2CFE" w:rsidRDefault="00AB3F48" w:rsidP="00AB3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0.814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7304" w14:textId="27B8ADE5" w:rsidR="00AB3F48" w:rsidRDefault="00AB3F48" w:rsidP="00AB3F48">
            <w:pPr>
              <w:jc w:val="center"/>
            </w:pPr>
            <w:r>
              <w:t>0.020</w:t>
            </w:r>
          </w:p>
        </w:tc>
      </w:tr>
      <w:tr w:rsidR="00B05E4F" w:rsidRPr="00821F9E" w14:paraId="1234E07B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BF6A2" w14:textId="26C32087" w:rsidR="00B05E4F" w:rsidRPr="004730F8" w:rsidRDefault="00B05E4F" w:rsidP="007E6CDC">
            <w:r w:rsidRPr="004730F8">
              <w:t>All Clinical</w:t>
            </w:r>
            <w:r>
              <w:t xml:space="preserve"> (symptoms + features)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1849C" w14:textId="0887CD91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0.85</w:t>
            </w:r>
            <w:r>
              <w:rPr>
                <w:color w:val="000000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933C2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0.83</w:t>
            </w:r>
            <w:r>
              <w:rPr>
                <w:color w:val="000000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36036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0.87</w:t>
            </w:r>
            <w:r>
              <w:rPr>
                <w:color w:val="000000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6A5B" w14:textId="77777777" w:rsidR="00B05E4F" w:rsidRPr="00821F9E" w:rsidRDefault="00B05E4F" w:rsidP="00B05E4F">
            <w:pPr>
              <w:jc w:val="center"/>
            </w:pPr>
            <w:r>
              <w:t>-</w:t>
            </w:r>
          </w:p>
        </w:tc>
      </w:tr>
      <w:tr w:rsidR="00B05E4F" w:rsidRPr="00821F9E" w14:paraId="7115D191" w14:textId="77777777" w:rsidTr="00755702">
        <w:trPr>
          <w:trHeight w:val="180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483BC" w14:textId="5B928384" w:rsidR="00B05E4F" w:rsidRPr="004730F8" w:rsidRDefault="00B05E4F" w:rsidP="007E6CDC">
            <w:r w:rsidRPr="004730F8">
              <w:t xml:space="preserve">All Clinical + </w:t>
            </w:r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> </w:t>
            </w:r>
            <w: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E8DDB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0.86</w:t>
            </w:r>
            <w:r>
              <w:rPr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4B3C5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0.84</w:t>
            </w:r>
            <w:r>
              <w:rPr>
                <w:color w:val="000000"/>
              </w:rPr>
              <w:t>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162A9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0.87</w:t>
            </w:r>
            <w:r>
              <w:rPr>
                <w:color w:val="000000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00E00" w14:textId="2BA35890" w:rsidR="00B05E4F" w:rsidRPr="00821F9E" w:rsidRDefault="00B05E4F" w:rsidP="00B05E4F">
            <w:pPr>
              <w:jc w:val="center"/>
            </w:pPr>
            <w:r>
              <w:t>0.0074</w:t>
            </w:r>
          </w:p>
        </w:tc>
      </w:tr>
      <w:tr w:rsidR="00B05E4F" w:rsidRPr="00821F9E" w14:paraId="663CFB91" w14:textId="77777777" w:rsidTr="00755702">
        <w:trPr>
          <w:trHeight w:val="180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59106" w14:textId="72C20988" w:rsidR="00B05E4F" w:rsidRPr="004730F8" w:rsidRDefault="00B05E4F" w:rsidP="007E6CDC">
            <w:r w:rsidRPr="004730F8">
              <w:t xml:space="preserve">All Clinical + </w:t>
            </w:r>
            <w:r>
              <w:t>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97C00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0.861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710B3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0.84</w:t>
            </w:r>
            <w:r>
              <w:rPr>
                <w:color w:val="000000"/>
              </w:rPr>
              <w:t>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870E1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0.87</w:t>
            </w:r>
            <w:r>
              <w:rPr>
                <w:color w:val="000000"/>
              </w:rPr>
              <w:t>9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E4EAC" w14:textId="124C83F1" w:rsidR="00B05E4F" w:rsidRDefault="00B05E4F" w:rsidP="00B05E4F">
            <w:pPr>
              <w:jc w:val="center"/>
            </w:pPr>
            <w:r>
              <w:t>0.0064</w:t>
            </w:r>
          </w:p>
        </w:tc>
      </w:tr>
      <w:tr w:rsidR="00B05E4F" w:rsidRPr="00821F9E" w14:paraId="07BD47D6" w14:textId="77777777" w:rsidTr="00755702">
        <w:trPr>
          <w:trHeight w:val="165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BD6C5" w14:textId="7C32A5CB" w:rsidR="00B05E4F" w:rsidRPr="004730F8" w:rsidRDefault="00B05E4F" w:rsidP="007E6CDC">
            <w:r w:rsidRPr="004730F8">
              <w:t xml:space="preserve">All Clinical + </w:t>
            </w:r>
            <w:r>
              <w:t>PRS</w:t>
            </w:r>
            <w:r w:rsidRPr="00443127">
              <w:rPr>
                <w:vertAlign w:val="subscript"/>
              </w:rPr>
              <w:t>BD</w:t>
            </w:r>
            <w:r w:rsidRPr="004730F8">
              <w:t xml:space="preserve">  + </w:t>
            </w:r>
            <w:r>
              <w:t>PRS</w:t>
            </w:r>
            <w:r w:rsidRPr="00443127">
              <w:rPr>
                <w:vertAlign w:val="subscript"/>
              </w:rPr>
              <w:t>SCZ</w:t>
            </w:r>
            <w:r w:rsidRPr="004730F8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B2F64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0.86</w:t>
            </w:r>
            <w:r>
              <w:rPr>
                <w:color w:val="000000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5D16A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0.84</w:t>
            </w:r>
            <w:r>
              <w:rPr>
                <w:color w:val="000000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FB14A" w14:textId="77777777" w:rsidR="00B05E4F" w:rsidRPr="004730F8" w:rsidRDefault="00B05E4F" w:rsidP="00B05E4F">
            <w:pPr>
              <w:jc w:val="center"/>
            </w:pPr>
            <w:r w:rsidRPr="004730F8">
              <w:rPr>
                <w:color w:val="000000"/>
              </w:rPr>
              <w:t>0.881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61129" w14:textId="5628DD38" w:rsidR="00B05E4F" w:rsidRPr="00821F9E" w:rsidRDefault="00B05E4F" w:rsidP="00B05E4F">
            <w:pPr>
              <w:jc w:val="center"/>
            </w:pPr>
            <w:r>
              <w:t>0.011</w:t>
            </w:r>
          </w:p>
        </w:tc>
      </w:tr>
    </w:tbl>
    <w:p w14:paraId="03798CA0" w14:textId="77777777" w:rsidR="00490531" w:rsidRDefault="00490531" w:rsidP="00490531"/>
    <w:p w14:paraId="69148C39" w14:textId="77777777" w:rsidR="00490531" w:rsidRDefault="00490531" w:rsidP="00490531">
      <w:pPr>
        <w:rPr>
          <w:b/>
          <w:bCs/>
        </w:rPr>
      </w:pPr>
    </w:p>
    <w:p w14:paraId="54544617" w14:textId="77777777" w:rsidR="00490531" w:rsidRDefault="00490531" w:rsidP="00490531">
      <w:pPr>
        <w:rPr>
          <w:b/>
          <w:bCs/>
        </w:rPr>
      </w:pPr>
    </w:p>
    <w:p w14:paraId="4011C2F6" w14:textId="77777777" w:rsidR="00490531" w:rsidRDefault="00490531" w:rsidP="00490531">
      <w:pPr>
        <w:rPr>
          <w:b/>
          <w:bCs/>
        </w:rPr>
      </w:pPr>
    </w:p>
    <w:sectPr w:rsidR="00490531" w:rsidSect="009E116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21D37" w14:textId="77777777" w:rsidR="001B6369" w:rsidRDefault="001B6369">
      <w:r>
        <w:separator/>
      </w:r>
    </w:p>
  </w:endnote>
  <w:endnote w:type="continuationSeparator" w:id="0">
    <w:p w14:paraId="490E3F5F" w14:textId="77777777" w:rsidR="001B6369" w:rsidRDefault="001B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15183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A0A9FB" w14:textId="77777777" w:rsidR="00774392" w:rsidRDefault="00490531" w:rsidP="00E414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A5FF17" w14:textId="77777777" w:rsidR="00774392" w:rsidRDefault="001B6369" w:rsidP="00124D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065554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B5304A" w14:textId="77777777" w:rsidR="00774392" w:rsidRDefault="00490531" w:rsidP="00E414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1E0A4081" w14:textId="77777777" w:rsidR="00774392" w:rsidRDefault="001B6369" w:rsidP="00124D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AE02C" w14:textId="77777777" w:rsidR="001B6369" w:rsidRDefault="001B6369">
      <w:r>
        <w:separator/>
      </w:r>
    </w:p>
  </w:footnote>
  <w:footnote w:type="continuationSeparator" w:id="0">
    <w:p w14:paraId="3E7ADBF6" w14:textId="77777777" w:rsidR="001B6369" w:rsidRDefault="001B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31"/>
    <w:rsid w:val="000823D7"/>
    <w:rsid w:val="000E7732"/>
    <w:rsid w:val="00147B41"/>
    <w:rsid w:val="001915B3"/>
    <w:rsid w:val="001B6369"/>
    <w:rsid w:val="001D648A"/>
    <w:rsid w:val="002003FF"/>
    <w:rsid w:val="002338B3"/>
    <w:rsid w:val="00255673"/>
    <w:rsid w:val="00260DCE"/>
    <w:rsid w:val="002F73AD"/>
    <w:rsid w:val="00350DCA"/>
    <w:rsid w:val="00357D64"/>
    <w:rsid w:val="003627C0"/>
    <w:rsid w:val="00375B69"/>
    <w:rsid w:val="00443127"/>
    <w:rsid w:val="004455F6"/>
    <w:rsid w:val="00490531"/>
    <w:rsid w:val="00496EC8"/>
    <w:rsid w:val="0050314C"/>
    <w:rsid w:val="00586561"/>
    <w:rsid w:val="005B0E1D"/>
    <w:rsid w:val="005E3F72"/>
    <w:rsid w:val="005F37BF"/>
    <w:rsid w:val="005F73BC"/>
    <w:rsid w:val="00621A88"/>
    <w:rsid w:val="00625D18"/>
    <w:rsid w:val="00626E48"/>
    <w:rsid w:val="006F2EC4"/>
    <w:rsid w:val="00755702"/>
    <w:rsid w:val="00784E16"/>
    <w:rsid w:val="007907CE"/>
    <w:rsid w:val="007D7C80"/>
    <w:rsid w:val="007E6CDC"/>
    <w:rsid w:val="007F2872"/>
    <w:rsid w:val="00807890"/>
    <w:rsid w:val="0086740D"/>
    <w:rsid w:val="008C39DB"/>
    <w:rsid w:val="009C5B53"/>
    <w:rsid w:val="00A01C46"/>
    <w:rsid w:val="00A66D7A"/>
    <w:rsid w:val="00A9322C"/>
    <w:rsid w:val="00A9646A"/>
    <w:rsid w:val="00AA518A"/>
    <w:rsid w:val="00AA530A"/>
    <w:rsid w:val="00AB3F48"/>
    <w:rsid w:val="00B05E4F"/>
    <w:rsid w:val="00B20C8F"/>
    <w:rsid w:val="00B23ADE"/>
    <w:rsid w:val="00B35D43"/>
    <w:rsid w:val="00B72049"/>
    <w:rsid w:val="00C10945"/>
    <w:rsid w:val="00C210F8"/>
    <w:rsid w:val="00C317BA"/>
    <w:rsid w:val="00C51923"/>
    <w:rsid w:val="00CE3D29"/>
    <w:rsid w:val="00D07490"/>
    <w:rsid w:val="00D55BDD"/>
    <w:rsid w:val="00D620F6"/>
    <w:rsid w:val="00D93441"/>
    <w:rsid w:val="00DA2B62"/>
    <w:rsid w:val="00DE66E7"/>
    <w:rsid w:val="00DF09D7"/>
    <w:rsid w:val="00E726EE"/>
    <w:rsid w:val="00E91618"/>
    <w:rsid w:val="00EB51AD"/>
    <w:rsid w:val="00EE07D4"/>
    <w:rsid w:val="00F2645C"/>
    <w:rsid w:val="00F45A8A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13A0"/>
  <w14:defaultImageDpi w14:val="32767"/>
  <w15:chartTrackingRefBased/>
  <w15:docId w15:val="{AE8AD69D-576F-2044-98D5-95B622CD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0531"/>
    <w:rPr>
      <w:rFonts w:ascii="Times New Roman" w:eastAsia="Times New Roman" w:hAnsi="Times New Roman" w:cs="Times New Roman"/>
      <w:lang w:bidi="yi-He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A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45A8A"/>
    <w:pPr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SubtleEmphasis">
    <w:name w:val="Subtle Emphasis"/>
    <w:basedOn w:val="DefaultParagraphFont"/>
    <w:uiPriority w:val="19"/>
    <w:qFormat/>
    <w:rsid w:val="00F45A8A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490531"/>
    <w:pPr>
      <w:spacing w:before="100" w:beforeAutospacing="1" w:after="100" w:afterAutospacing="1"/>
    </w:pPr>
    <w:rPr>
      <w:lang w:val="pl-PL" w:eastAsia="pl-PL" w:bidi="ar-SA"/>
    </w:rPr>
  </w:style>
  <w:style w:type="paragraph" w:styleId="Footer">
    <w:name w:val="footer"/>
    <w:basedOn w:val="Normal"/>
    <w:link w:val="FooterChar"/>
    <w:uiPriority w:val="99"/>
    <w:unhideWhenUsed/>
    <w:rsid w:val="00490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531"/>
    <w:rPr>
      <w:rFonts w:ascii="Times New Roman" w:eastAsia="Times New Roman" w:hAnsi="Times New Roman" w:cs="Times New Roman"/>
      <w:lang w:bidi="yi-Hebr"/>
    </w:rPr>
  </w:style>
  <w:style w:type="character" w:customStyle="1" w:styleId="e24kjd">
    <w:name w:val="e24kjd"/>
    <w:basedOn w:val="DefaultParagraphFont"/>
    <w:rsid w:val="00490531"/>
  </w:style>
  <w:style w:type="character" w:styleId="PageNumber">
    <w:name w:val="page number"/>
    <w:basedOn w:val="DefaultParagraphFont"/>
    <w:uiPriority w:val="99"/>
    <w:semiHidden/>
    <w:unhideWhenUsed/>
    <w:rsid w:val="00490531"/>
  </w:style>
  <w:style w:type="table" w:styleId="TableGrid">
    <w:name w:val="Table Grid"/>
    <w:basedOn w:val="TableNormal"/>
    <w:uiPriority w:val="59"/>
    <w:rsid w:val="0049053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9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D7"/>
    <w:rPr>
      <w:rFonts w:ascii="Times New Roman" w:eastAsia="Times New Roman" w:hAnsi="Times New Roman" w:cs="Times New Roman"/>
      <w:sz w:val="18"/>
      <w:szCs w:val="18"/>
      <w:lang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FSG</dc:creator>
  <cp:keywords/>
  <dc:description/>
  <cp:lastModifiedBy>FSG</cp:lastModifiedBy>
  <cp:revision>40</cp:revision>
  <dcterms:created xsi:type="dcterms:W3CDTF">2020-01-01T23:38:00Z</dcterms:created>
  <dcterms:modified xsi:type="dcterms:W3CDTF">2020-01-02T21:00:00Z</dcterms:modified>
</cp:coreProperties>
</file>