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D923" w14:textId="5927D62D" w:rsidR="00361101" w:rsidRDefault="00A72020" w:rsidP="00A72020">
      <w:pPr>
        <w:jc w:val="center"/>
      </w:pPr>
      <w:r>
        <w:t>Supplementary Material</w:t>
      </w:r>
    </w:p>
    <w:p w14:paraId="685066AB" w14:textId="6F7FA4A8" w:rsidR="00A72020" w:rsidRDefault="00A72020" w:rsidP="00A72020">
      <w:pPr>
        <w:jc w:val="center"/>
      </w:pPr>
    </w:p>
    <w:p w14:paraId="0EDCA883" w14:textId="6D089DCB" w:rsidR="00A72020" w:rsidRDefault="00A72020" w:rsidP="00A72020">
      <w:r>
        <w:t>T</w:t>
      </w:r>
      <w:r>
        <w:t>he t</w:t>
      </w:r>
      <w:r>
        <w:t xml:space="preserve">able </w:t>
      </w:r>
      <w:r>
        <w:t xml:space="preserve">below </w:t>
      </w:r>
      <w:r>
        <w:t>shows the mean parent, teacher and clinician symptom ratings pre and post intervention and TAU periods for the entire sample of 66 in the cross-over analysis. Children showed significant reductions in parent and clinician ratings after both the intervention and TAU periods. Teachers reported worsening after TAU that approached significance (p=.06) but little change after the intervention. Mean reduction in parent ratings was 50% greater following the intervention than following TAU, but changes after intervention and TAU did not differ significantly on any measure for the sample as a whole. Parent and teacher ratings showed little correlation at baseline (</w:t>
      </w:r>
      <w:proofErr w:type="spellStart"/>
      <w:r>
        <w:t>pearson</w:t>
      </w:r>
      <w:proofErr w:type="spellEnd"/>
      <w:r>
        <w:t xml:space="preserve"> r = .19, p=.13). Clinician ratings were based on both parent and teacher ratings and were robustly correlated with both at baseline (respectively .49, p&lt;.001, and .77, p&lt;.001). Consistent with this, responders, as defined on the basis of parent ratings, also showed significant decreases in clinician ratings of symptoms (</w:t>
      </w:r>
      <w:proofErr w:type="gramStart"/>
      <w:r>
        <w:t>t(</w:t>
      </w:r>
      <w:proofErr w:type="gramEnd"/>
      <w:r>
        <w:t>30) = 5.64, p &lt; .0001). However, responders did not show significant decreases in teacher ratings of symptoms (p=.64).</w:t>
      </w:r>
    </w:p>
    <w:p w14:paraId="7E9A6848" w14:textId="049F95F6" w:rsidR="00A72020" w:rsidRDefault="00A72020" w:rsidP="00A72020"/>
    <w:p w14:paraId="72071DBA" w14:textId="77777777" w:rsidR="00A72020" w:rsidRPr="00F01B56" w:rsidRDefault="00A72020" w:rsidP="00A72020">
      <w:pPr>
        <w:rPr>
          <w:b/>
        </w:rPr>
      </w:pPr>
      <w:r>
        <w:rPr>
          <w:b/>
        </w:rPr>
        <w:t xml:space="preserve">Table 2. Clinical Symptom Ratings Before and After Intervention or Treatment-As-Usual </w:t>
      </w:r>
    </w:p>
    <w:tbl>
      <w:tblPr>
        <w:tblStyle w:val="TableGrid"/>
        <w:tblW w:w="0" w:type="auto"/>
        <w:tblLook w:val="04A0" w:firstRow="1" w:lastRow="0" w:firstColumn="1" w:lastColumn="0" w:noHBand="0" w:noVBand="1"/>
      </w:tblPr>
      <w:tblGrid>
        <w:gridCol w:w="1358"/>
        <w:gridCol w:w="1373"/>
        <w:gridCol w:w="1543"/>
        <w:gridCol w:w="1789"/>
        <w:gridCol w:w="1776"/>
        <w:gridCol w:w="1511"/>
      </w:tblGrid>
      <w:tr w:rsidR="00A72020" w14:paraId="5117ADD9" w14:textId="77777777" w:rsidTr="008E07E5">
        <w:tc>
          <w:tcPr>
            <w:tcW w:w="1165" w:type="dxa"/>
          </w:tcPr>
          <w:p w14:paraId="160C6B2C" w14:textId="77777777" w:rsidR="00A72020" w:rsidRPr="00CB27F5" w:rsidRDefault="00A72020" w:rsidP="008E07E5">
            <w:pPr>
              <w:rPr>
                <w:b/>
              </w:rPr>
            </w:pPr>
            <w:r w:rsidRPr="00CB27F5">
              <w:rPr>
                <w:b/>
              </w:rPr>
              <w:t>N=66</w:t>
            </w:r>
          </w:p>
        </w:tc>
        <w:tc>
          <w:tcPr>
            <w:tcW w:w="1800" w:type="dxa"/>
          </w:tcPr>
          <w:p w14:paraId="75784189" w14:textId="77777777" w:rsidR="00A72020" w:rsidRPr="00CB27F5" w:rsidRDefault="00A72020" w:rsidP="008E07E5">
            <w:pPr>
              <w:rPr>
                <w:b/>
              </w:rPr>
            </w:pPr>
          </w:p>
        </w:tc>
        <w:tc>
          <w:tcPr>
            <w:tcW w:w="2160" w:type="dxa"/>
          </w:tcPr>
          <w:p w14:paraId="21771AB5" w14:textId="77777777" w:rsidR="00A72020" w:rsidRDefault="00A72020" w:rsidP="008E07E5">
            <w:pPr>
              <w:jc w:val="center"/>
              <w:rPr>
                <w:b/>
              </w:rPr>
            </w:pPr>
            <w:r w:rsidRPr="00CB27F5">
              <w:rPr>
                <w:b/>
              </w:rPr>
              <w:t>Baseline</w:t>
            </w:r>
          </w:p>
          <w:p w14:paraId="714867FE" w14:textId="77777777" w:rsidR="00A72020" w:rsidRPr="00607526" w:rsidRDefault="00A72020" w:rsidP="008E07E5">
            <w:pPr>
              <w:jc w:val="center"/>
            </w:pPr>
            <w:r w:rsidRPr="00607526">
              <w:t>(Mean, SD)</w:t>
            </w:r>
          </w:p>
        </w:tc>
        <w:tc>
          <w:tcPr>
            <w:tcW w:w="2610" w:type="dxa"/>
          </w:tcPr>
          <w:p w14:paraId="01CA7E1A" w14:textId="77777777" w:rsidR="00A72020" w:rsidRDefault="00A72020" w:rsidP="008E07E5">
            <w:pPr>
              <w:jc w:val="center"/>
              <w:rPr>
                <w:b/>
              </w:rPr>
            </w:pPr>
            <w:r w:rsidRPr="00CB27F5">
              <w:rPr>
                <w:b/>
              </w:rPr>
              <w:t>Endpoint</w:t>
            </w:r>
          </w:p>
          <w:p w14:paraId="5054649D" w14:textId="77777777" w:rsidR="00A72020" w:rsidRPr="00CB27F5" w:rsidRDefault="00A72020" w:rsidP="008E07E5">
            <w:pPr>
              <w:jc w:val="center"/>
              <w:rPr>
                <w:b/>
              </w:rPr>
            </w:pPr>
            <w:r w:rsidRPr="00607526">
              <w:t>(Mean, SD)</w:t>
            </w:r>
          </w:p>
        </w:tc>
        <w:tc>
          <w:tcPr>
            <w:tcW w:w="2115" w:type="dxa"/>
          </w:tcPr>
          <w:p w14:paraId="50A4CB94" w14:textId="77777777" w:rsidR="00A72020" w:rsidRDefault="00A72020" w:rsidP="008E07E5">
            <w:pPr>
              <w:jc w:val="center"/>
              <w:rPr>
                <w:b/>
              </w:rPr>
            </w:pPr>
            <w:r>
              <w:rPr>
                <w:b/>
              </w:rPr>
              <w:t>Improvement</w:t>
            </w:r>
          </w:p>
          <w:p w14:paraId="5D22D6DD" w14:textId="77777777" w:rsidR="00A72020" w:rsidRDefault="00A72020" w:rsidP="008E07E5">
            <w:pPr>
              <w:jc w:val="center"/>
              <w:rPr>
                <w:b/>
              </w:rPr>
            </w:pPr>
            <w:r w:rsidRPr="00607526">
              <w:t>(Mean, SD)</w:t>
            </w:r>
          </w:p>
        </w:tc>
        <w:tc>
          <w:tcPr>
            <w:tcW w:w="2115" w:type="dxa"/>
          </w:tcPr>
          <w:p w14:paraId="1C99BDEB" w14:textId="77777777" w:rsidR="00A72020" w:rsidRPr="00CB27F5" w:rsidRDefault="00A72020" w:rsidP="008E07E5">
            <w:pPr>
              <w:jc w:val="center"/>
              <w:rPr>
                <w:b/>
              </w:rPr>
            </w:pPr>
            <w:r>
              <w:rPr>
                <w:b/>
              </w:rPr>
              <w:t>T Statistic (p-value)</w:t>
            </w:r>
          </w:p>
        </w:tc>
      </w:tr>
      <w:tr w:rsidR="00A72020" w14:paraId="368AF9CD" w14:textId="77777777" w:rsidTr="008E07E5">
        <w:tc>
          <w:tcPr>
            <w:tcW w:w="1165" w:type="dxa"/>
            <w:vMerge w:val="restart"/>
          </w:tcPr>
          <w:p w14:paraId="147530A1" w14:textId="77777777" w:rsidR="00A72020" w:rsidRPr="00CB27F5" w:rsidRDefault="00A72020" w:rsidP="008E07E5">
            <w:pPr>
              <w:rPr>
                <w:b/>
              </w:rPr>
            </w:pPr>
            <w:r>
              <w:rPr>
                <w:b/>
              </w:rPr>
              <w:t>Intervention</w:t>
            </w:r>
          </w:p>
        </w:tc>
        <w:tc>
          <w:tcPr>
            <w:tcW w:w="1800" w:type="dxa"/>
          </w:tcPr>
          <w:p w14:paraId="6ED75F4F" w14:textId="77777777" w:rsidR="00A72020" w:rsidRPr="002D3C30" w:rsidRDefault="00A72020" w:rsidP="008E07E5">
            <w:pPr>
              <w:rPr>
                <w:b/>
              </w:rPr>
            </w:pPr>
            <w:r w:rsidRPr="002D3C30">
              <w:rPr>
                <w:b/>
              </w:rPr>
              <w:t>Parent SNAP</w:t>
            </w:r>
          </w:p>
        </w:tc>
        <w:tc>
          <w:tcPr>
            <w:tcW w:w="2160" w:type="dxa"/>
          </w:tcPr>
          <w:p w14:paraId="57705D33" w14:textId="77777777" w:rsidR="00A72020" w:rsidRDefault="00A72020" w:rsidP="008E07E5">
            <w:pPr>
              <w:jc w:val="center"/>
            </w:pPr>
            <w:r>
              <w:t>26.3 (9.4)</w:t>
            </w:r>
          </w:p>
        </w:tc>
        <w:tc>
          <w:tcPr>
            <w:tcW w:w="2610" w:type="dxa"/>
          </w:tcPr>
          <w:p w14:paraId="0CB43EFA" w14:textId="77777777" w:rsidR="00A72020" w:rsidRDefault="00A72020" w:rsidP="008E07E5">
            <w:pPr>
              <w:jc w:val="center"/>
            </w:pPr>
            <w:r>
              <w:t>22.0 (10.0)</w:t>
            </w:r>
          </w:p>
        </w:tc>
        <w:tc>
          <w:tcPr>
            <w:tcW w:w="2115" w:type="dxa"/>
          </w:tcPr>
          <w:p w14:paraId="79E0C14D" w14:textId="77777777" w:rsidR="00A72020" w:rsidRDefault="00A72020" w:rsidP="008E07E5">
            <w:pPr>
              <w:jc w:val="center"/>
            </w:pPr>
            <w:r>
              <w:t>4.3 (9.5)</w:t>
            </w:r>
          </w:p>
        </w:tc>
        <w:tc>
          <w:tcPr>
            <w:tcW w:w="2115" w:type="dxa"/>
          </w:tcPr>
          <w:p w14:paraId="3E64A7ED" w14:textId="77777777" w:rsidR="00A72020" w:rsidRDefault="00A72020" w:rsidP="008E07E5">
            <w:pPr>
              <w:jc w:val="center"/>
            </w:pPr>
            <w:r>
              <w:t>3.66 (0.0005)</w:t>
            </w:r>
          </w:p>
        </w:tc>
      </w:tr>
      <w:tr w:rsidR="00A72020" w14:paraId="68BB86A0" w14:textId="77777777" w:rsidTr="008E07E5">
        <w:tc>
          <w:tcPr>
            <w:tcW w:w="1165" w:type="dxa"/>
            <w:vMerge/>
          </w:tcPr>
          <w:p w14:paraId="0C9E0AFD" w14:textId="77777777" w:rsidR="00A72020" w:rsidRPr="00CB27F5" w:rsidRDefault="00A72020" w:rsidP="008E07E5">
            <w:pPr>
              <w:rPr>
                <w:b/>
              </w:rPr>
            </w:pPr>
          </w:p>
        </w:tc>
        <w:tc>
          <w:tcPr>
            <w:tcW w:w="1800" w:type="dxa"/>
          </w:tcPr>
          <w:p w14:paraId="26183366" w14:textId="77777777" w:rsidR="00A72020" w:rsidRPr="002D3C30" w:rsidRDefault="00A72020" w:rsidP="008E07E5">
            <w:pPr>
              <w:rPr>
                <w:b/>
              </w:rPr>
            </w:pPr>
            <w:r w:rsidRPr="002D3C30">
              <w:rPr>
                <w:b/>
              </w:rPr>
              <w:t>Teacher SNAP</w:t>
            </w:r>
          </w:p>
        </w:tc>
        <w:tc>
          <w:tcPr>
            <w:tcW w:w="2160" w:type="dxa"/>
          </w:tcPr>
          <w:p w14:paraId="09789F55" w14:textId="77777777" w:rsidR="00A72020" w:rsidRDefault="00A72020" w:rsidP="008E07E5">
            <w:pPr>
              <w:jc w:val="center"/>
            </w:pPr>
            <w:r>
              <w:t>24.1 (11.7)</w:t>
            </w:r>
          </w:p>
        </w:tc>
        <w:tc>
          <w:tcPr>
            <w:tcW w:w="2610" w:type="dxa"/>
          </w:tcPr>
          <w:p w14:paraId="73853A18" w14:textId="77777777" w:rsidR="00A72020" w:rsidRDefault="00A72020" w:rsidP="008E07E5">
            <w:pPr>
              <w:jc w:val="center"/>
            </w:pPr>
            <w:r>
              <w:t>24.3 (11.1)</w:t>
            </w:r>
          </w:p>
        </w:tc>
        <w:tc>
          <w:tcPr>
            <w:tcW w:w="2115" w:type="dxa"/>
          </w:tcPr>
          <w:p w14:paraId="5912B017" w14:textId="77777777" w:rsidR="00A72020" w:rsidRDefault="00A72020" w:rsidP="008E07E5">
            <w:pPr>
              <w:jc w:val="center"/>
            </w:pPr>
            <w:r>
              <w:t>-0.1 (8.3)</w:t>
            </w:r>
          </w:p>
        </w:tc>
        <w:tc>
          <w:tcPr>
            <w:tcW w:w="2115" w:type="dxa"/>
          </w:tcPr>
          <w:p w14:paraId="3CFA487C" w14:textId="77777777" w:rsidR="00A72020" w:rsidRDefault="00A72020" w:rsidP="008E07E5">
            <w:pPr>
              <w:jc w:val="center"/>
            </w:pPr>
            <w:r>
              <w:t>-0.06 (0.95)</w:t>
            </w:r>
          </w:p>
        </w:tc>
      </w:tr>
      <w:tr w:rsidR="00A72020" w14:paraId="011A06B8" w14:textId="77777777" w:rsidTr="008E07E5">
        <w:tc>
          <w:tcPr>
            <w:tcW w:w="1165" w:type="dxa"/>
            <w:vMerge/>
          </w:tcPr>
          <w:p w14:paraId="7D289032" w14:textId="77777777" w:rsidR="00A72020" w:rsidRPr="00CB27F5" w:rsidRDefault="00A72020" w:rsidP="008E07E5">
            <w:pPr>
              <w:rPr>
                <w:b/>
              </w:rPr>
            </w:pPr>
          </w:p>
        </w:tc>
        <w:tc>
          <w:tcPr>
            <w:tcW w:w="1800" w:type="dxa"/>
          </w:tcPr>
          <w:p w14:paraId="1830D9D5" w14:textId="77777777" w:rsidR="00A72020" w:rsidRPr="002D3C30" w:rsidRDefault="00A72020" w:rsidP="008E07E5">
            <w:pPr>
              <w:rPr>
                <w:b/>
              </w:rPr>
            </w:pPr>
            <w:r w:rsidRPr="002D3C30">
              <w:rPr>
                <w:b/>
              </w:rPr>
              <w:t>Clinician SNAP</w:t>
            </w:r>
          </w:p>
        </w:tc>
        <w:tc>
          <w:tcPr>
            <w:tcW w:w="2160" w:type="dxa"/>
          </w:tcPr>
          <w:p w14:paraId="25218A09" w14:textId="77777777" w:rsidR="00A72020" w:rsidRDefault="00A72020" w:rsidP="008E07E5">
            <w:pPr>
              <w:jc w:val="center"/>
            </w:pPr>
            <w:r>
              <w:t>27.0 (6.7)</w:t>
            </w:r>
          </w:p>
        </w:tc>
        <w:tc>
          <w:tcPr>
            <w:tcW w:w="2610" w:type="dxa"/>
          </w:tcPr>
          <w:p w14:paraId="12B943F4" w14:textId="77777777" w:rsidR="00A72020" w:rsidRDefault="00A72020" w:rsidP="008E07E5">
            <w:pPr>
              <w:jc w:val="center"/>
            </w:pPr>
            <w:r>
              <w:t>24.6 (8.0)</w:t>
            </w:r>
          </w:p>
        </w:tc>
        <w:tc>
          <w:tcPr>
            <w:tcW w:w="2115" w:type="dxa"/>
          </w:tcPr>
          <w:p w14:paraId="6870A275" w14:textId="77777777" w:rsidR="00A72020" w:rsidRDefault="00A72020" w:rsidP="008E07E5">
            <w:pPr>
              <w:jc w:val="center"/>
            </w:pPr>
            <w:r>
              <w:t>2.4 (5.6)</w:t>
            </w:r>
          </w:p>
        </w:tc>
        <w:tc>
          <w:tcPr>
            <w:tcW w:w="2115" w:type="dxa"/>
          </w:tcPr>
          <w:p w14:paraId="441552E5" w14:textId="77777777" w:rsidR="00A72020" w:rsidRDefault="00A72020" w:rsidP="008E07E5">
            <w:pPr>
              <w:jc w:val="center"/>
            </w:pPr>
            <w:r>
              <w:t>3.49 (0.0009)</w:t>
            </w:r>
          </w:p>
        </w:tc>
      </w:tr>
      <w:tr w:rsidR="00A72020" w14:paraId="6F0488BD" w14:textId="77777777" w:rsidTr="008E07E5">
        <w:tc>
          <w:tcPr>
            <w:tcW w:w="1165" w:type="dxa"/>
            <w:vMerge w:val="restart"/>
          </w:tcPr>
          <w:p w14:paraId="5E80670E" w14:textId="77777777" w:rsidR="00A72020" w:rsidRPr="00CB27F5" w:rsidRDefault="00A72020" w:rsidP="008E07E5">
            <w:pPr>
              <w:rPr>
                <w:b/>
              </w:rPr>
            </w:pPr>
            <w:r>
              <w:rPr>
                <w:b/>
              </w:rPr>
              <w:t>TAU</w:t>
            </w:r>
          </w:p>
        </w:tc>
        <w:tc>
          <w:tcPr>
            <w:tcW w:w="1800" w:type="dxa"/>
          </w:tcPr>
          <w:p w14:paraId="7EFE7659" w14:textId="77777777" w:rsidR="00A72020" w:rsidRPr="002D3C30" w:rsidRDefault="00A72020" w:rsidP="008E07E5">
            <w:pPr>
              <w:rPr>
                <w:b/>
              </w:rPr>
            </w:pPr>
            <w:r w:rsidRPr="002D3C30">
              <w:rPr>
                <w:b/>
              </w:rPr>
              <w:t>Parent SNAP</w:t>
            </w:r>
          </w:p>
        </w:tc>
        <w:tc>
          <w:tcPr>
            <w:tcW w:w="2160" w:type="dxa"/>
          </w:tcPr>
          <w:p w14:paraId="030F4014" w14:textId="77777777" w:rsidR="00A72020" w:rsidRDefault="00A72020" w:rsidP="008E07E5">
            <w:pPr>
              <w:jc w:val="center"/>
            </w:pPr>
            <w:r>
              <w:t>26.7 (10.5)</w:t>
            </w:r>
          </w:p>
        </w:tc>
        <w:tc>
          <w:tcPr>
            <w:tcW w:w="2610" w:type="dxa"/>
          </w:tcPr>
          <w:p w14:paraId="7B19E999" w14:textId="77777777" w:rsidR="00A72020" w:rsidRDefault="00A72020" w:rsidP="008E07E5">
            <w:pPr>
              <w:jc w:val="center"/>
            </w:pPr>
            <w:r>
              <w:t>23.9 (9.2)</w:t>
            </w:r>
          </w:p>
        </w:tc>
        <w:tc>
          <w:tcPr>
            <w:tcW w:w="2115" w:type="dxa"/>
          </w:tcPr>
          <w:p w14:paraId="2C23847A" w14:textId="77777777" w:rsidR="00A72020" w:rsidRDefault="00A72020" w:rsidP="008E07E5">
            <w:pPr>
              <w:jc w:val="center"/>
            </w:pPr>
            <w:r>
              <w:t>2.8 (8.4)</w:t>
            </w:r>
          </w:p>
        </w:tc>
        <w:tc>
          <w:tcPr>
            <w:tcW w:w="2115" w:type="dxa"/>
          </w:tcPr>
          <w:p w14:paraId="699E0A78" w14:textId="77777777" w:rsidR="00A72020" w:rsidRDefault="00A72020" w:rsidP="008E07E5">
            <w:pPr>
              <w:jc w:val="center"/>
            </w:pPr>
            <w:r>
              <w:t>2.71 (0.0085)</w:t>
            </w:r>
          </w:p>
        </w:tc>
      </w:tr>
      <w:tr w:rsidR="00A72020" w14:paraId="583486A7" w14:textId="77777777" w:rsidTr="008E07E5">
        <w:tc>
          <w:tcPr>
            <w:tcW w:w="1165" w:type="dxa"/>
            <w:vMerge/>
          </w:tcPr>
          <w:p w14:paraId="1BFEB120" w14:textId="77777777" w:rsidR="00A72020" w:rsidRPr="00CB27F5" w:rsidRDefault="00A72020" w:rsidP="008E07E5">
            <w:pPr>
              <w:rPr>
                <w:b/>
              </w:rPr>
            </w:pPr>
          </w:p>
        </w:tc>
        <w:tc>
          <w:tcPr>
            <w:tcW w:w="1800" w:type="dxa"/>
          </w:tcPr>
          <w:p w14:paraId="14DDD2D9" w14:textId="77777777" w:rsidR="00A72020" w:rsidRPr="002D3C30" w:rsidRDefault="00A72020" w:rsidP="008E07E5">
            <w:pPr>
              <w:rPr>
                <w:b/>
              </w:rPr>
            </w:pPr>
            <w:r w:rsidRPr="002D3C30">
              <w:rPr>
                <w:b/>
              </w:rPr>
              <w:t>Teacher SNAP</w:t>
            </w:r>
          </w:p>
        </w:tc>
        <w:tc>
          <w:tcPr>
            <w:tcW w:w="2160" w:type="dxa"/>
          </w:tcPr>
          <w:p w14:paraId="1CEE877B" w14:textId="77777777" w:rsidR="00A72020" w:rsidRDefault="00A72020" w:rsidP="008E07E5">
            <w:pPr>
              <w:jc w:val="center"/>
            </w:pPr>
            <w:r>
              <w:t>23.7 (11.8)</w:t>
            </w:r>
          </w:p>
        </w:tc>
        <w:tc>
          <w:tcPr>
            <w:tcW w:w="2610" w:type="dxa"/>
          </w:tcPr>
          <w:p w14:paraId="05D03974" w14:textId="77777777" w:rsidR="00A72020" w:rsidRDefault="00A72020" w:rsidP="008E07E5">
            <w:pPr>
              <w:jc w:val="center"/>
            </w:pPr>
            <w:r>
              <w:t>25.4 (11.8)</w:t>
            </w:r>
          </w:p>
        </w:tc>
        <w:tc>
          <w:tcPr>
            <w:tcW w:w="2115" w:type="dxa"/>
          </w:tcPr>
          <w:p w14:paraId="2038BA5C" w14:textId="77777777" w:rsidR="00A72020" w:rsidRDefault="00A72020" w:rsidP="008E07E5">
            <w:pPr>
              <w:jc w:val="center"/>
            </w:pPr>
            <w:r>
              <w:t>-1.7 (7.1)</w:t>
            </w:r>
          </w:p>
        </w:tc>
        <w:tc>
          <w:tcPr>
            <w:tcW w:w="2115" w:type="dxa"/>
          </w:tcPr>
          <w:p w14:paraId="3B521D22" w14:textId="77777777" w:rsidR="00A72020" w:rsidRDefault="00A72020" w:rsidP="008E07E5">
            <w:pPr>
              <w:jc w:val="center"/>
            </w:pPr>
            <w:r>
              <w:t>-1.88 (0.06)</w:t>
            </w:r>
          </w:p>
        </w:tc>
      </w:tr>
      <w:tr w:rsidR="00A72020" w14:paraId="23626F66" w14:textId="77777777" w:rsidTr="008E07E5">
        <w:tc>
          <w:tcPr>
            <w:tcW w:w="1165" w:type="dxa"/>
            <w:vMerge/>
          </w:tcPr>
          <w:p w14:paraId="721EA4AF" w14:textId="77777777" w:rsidR="00A72020" w:rsidRPr="00CB27F5" w:rsidRDefault="00A72020" w:rsidP="008E07E5">
            <w:pPr>
              <w:rPr>
                <w:b/>
              </w:rPr>
            </w:pPr>
          </w:p>
        </w:tc>
        <w:tc>
          <w:tcPr>
            <w:tcW w:w="1800" w:type="dxa"/>
          </w:tcPr>
          <w:p w14:paraId="1CA0BC9F" w14:textId="77777777" w:rsidR="00A72020" w:rsidRPr="002D3C30" w:rsidRDefault="00A72020" w:rsidP="008E07E5">
            <w:pPr>
              <w:rPr>
                <w:b/>
              </w:rPr>
            </w:pPr>
            <w:r w:rsidRPr="002D3C30">
              <w:rPr>
                <w:b/>
              </w:rPr>
              <w:t>Clinician SNAP</w:t>
            </w:r>
          </w:p>
        </w:tc>
        <w:tc>
          <w:tcPr>
            <w:tcW w:w="2160" w:type="dxa"/>
          </w:tcPr>
          <w:p w14:paraId="5D70DABB" w14:textId="77777777" w:rsidR="00A72020" w:rsidRDefault="00A72020" w:rsidP="008E07E5">
            <w:pPr>
              <w:jc w:val="center"/>
            </w:pPr>
            <w:r>
              <w:t>27.8 (7.5)</w:t>
            </w:r>
          </w:p>
        </w:tc>
        <w:tc>
          <w:tcPr>
            <w:tcW w:w="2610" w:type="dxa"/>
          </w:tcPr>
          <w:p w14:paraId="4D840FE6" w14:textId="77777777" w:rsidR="00A72020" w:rsidRDefault="00A72020" w:rsidP="008E07E5">
            <w:pPr>
              <w:jc w:val="center"/>
            </w:pPr>
            <w:r>
              <w:t>25.4 (7.1)</w:t>
            </w:r>
          </w:p>
        </w:tc>
        <w:tc>
          <w:tcPr>
            <w:tcW w:w="2115" w:type="dxa"/>
          </w:tcPr>
          <w:p w14:paraId="5E62CDD5" w14:textId="77777777" w:rsidR="00A72020" w:rsidRDefault="00A72020" w:rsidP="008E07E5">
            <w:pPr>
              <w:jc w:val="center"/>
            </w:pPr>
            <w:r>
              <w:t>2.4 (6.5)</w:t>
            </w:r>
          </w:p>
        </w:tc>
        <w:tc>
          <w:tcPr>
            <w:tcW w:w="2115" w:type="dxa"/>
          </w:tcPr>
          <w:p w14:paraId="0F7F5812" w14:textId="77777777" w:rsidR="00A72020" w:rsidRDefault="00A72020" w:rsidP="008E07E5">
            <w:pPr>
              <w:jc w:val="center"/>
            </w:pPr>
            <w:r>
              <w:t>3.02 (0.0037)</w:t>
            </w:r>
          </w:p>
        </w:tc>
      </w:tr>
    </w:tbl>
    <w:p w14:paraId="12587320" w14:textId="77777777" w:rsidR="00A72020" w:rsidRDefault="00A72020" w:rsidP="00A72020">
      <w:r>
        <w:t>All 66 children participated in both the Intervention and TAU assessments. Half of the children participated in the Intervention first and were then evaluated before and after TAU. The other half were first evaluated before and after TAU and then before and after the Intervention.</w:t>
      </w:r>
    </w:p>
    <w:p w14:paraId="664548A5" w14:textId="77777777" w:rsidR="00A72020" w:rsidRDefault="00A72020" w:rsidP="00A72020">
      <w:pPr>
        <w:rPr>
          <w:b/>
        </w:rPr>
      </w:pPr>
    </w:p>
    <w:p w14:paraId="79489EF5" w14:textId="77777777" w:rsidR="00A72020" w:rsidRDefault="00A72020" w:rsidP="00A72020">
      <w:bookmarkStart w:id="0" w:name="_GoBack"/>
      <w:bookmarkEnd w:id="0"/>
    </w:p>
    <w:sectPr w:rsidR="00A72020" w:rsidSect="00BC5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20"/>
    <w:rsid w:val="00106784"/>
    <w:rsid w:val="002616A6"/>
    <w:rsid w:val="0085212C"/>
    <w:rsid w:val="00A72020"/>
    <w:rsid w:val="00BC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F71D"/>
  <w15:chartTrackingRefBased/>
  <w15:docId w15:val="{AB1B8EF1-66A8-FD46-AD8F-18BCD6D0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0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Wexler, Bruce</dc:creator>
  <cp:keywords/>
  <dc:description/>
  <cp:lastModifiedBy>Wexler, Bruce</cp:lastModifiedBy>
  <cp:revision>1</cp:revision>
  <dcterms:created xsi:type="dcterms:W3CDTF">2019-11-24T18:04:00Z</dcterms:created>
  <dcterms:modified xsi:type="dcterms:W3CDTF">2019-11-24T18:11:00Z</dcterms:modified>
</cp:coreProperties>
</file>