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B9" w:rsidRPr="00801896" w:rsidRDefault="00341CB9" w:rsidP="00341CB9">
      <w:pPr>
        <w:rPr>
          <w:rFonts w:asciiTheme="minorHAnsi" w:hAnsiTheme="minorHAnsi"/>
          <w:color w:val="000000"/>
          <w:sz w:val="22"/>
          <w:lang w:val="en-US" w:eastAsia="en-AU"/>
        </w:rPr>
      </w:pPr>
      <w:r w:rsidRPr="00801896">
        <w:rPr>
          <w:rFonts w:asciiTheme="minorHAnsi" w:hAnsiTheme="minorHAnsi"/>
          <w:b/>
          <w:bCs/>
          <w:color w:val="000000"/>
          <w:sz w:val="22"/>
          <w:lang w:val="en-US" w:eastAsia="en-AU"/>
        </w:rPr>
        <w:t>Supplementary Table 1:</w:t>
      </w:r>
      <w:r w:rsidRPr="00801896">
        <w:rPr>
          <w:rFonts w:asciiTheme="minorHAnsi" w:hAnsiTheme="minorHAnsi"/>
          <w:color w:val="000000"/>
          <w:sz w:val="22"/>
          <w:lang w:val="en-US" w:eastAsia="en-AU"/>
        </w:rPr>
        <w:t xml:space="preserve"> Motor assessment scorings in FEP patients and healthy controls (One-way </w:t>
      </w:r>
      <w:proofErr w:type="spellStart"/>
      <w:r w:rsidRPr="00801896">
        <w:rPr>
          <w:rFonts w:asciiTheme="minorHAnsi" w:hAnsiTheme="minorHAnsi"/>
          <w:color w:val="000000"/>
          <w:sz w:val="22"/>
          <w:lang w:val="en-US" w:eastAsia="en-AU"/>
        </w:rPr>
        <w:t>Anova</w:t>
      </w:r>
      <w:proofErr w:type="spellEnd"/>
      <w:r w:rsidRPr="00801896">
        <w:rPr>
          <w:rFonts w:asciiTheme="minorHAnsi" w:hAnsiTheme="minorHAnsi"/>
          <w:color w:val="000000"/>
          <w:sz w:val="22"/>
          <w:lang w:val="en-US" w:eastAsia="en-AU"/>
        </w:rPr>
        <w:t>)</w:t>
      </w:r>
    </w:p>
    <w:p w:rsidR="00341CB9" w:rsidRPr="00801896" w:rsidRDefault="00341CB9" w:rsidP="00341CB9">
      <w:pPr>
        <w:rPr>
          <w:rFonts w:asciiTheme="minorHAnsi" w:hAnsiTheme="minorHAnsi"/>
          <w:lang w:val="en-US"/>
        </w:rPr>
      </w:pPr>
    </w:p>
    <w:tbl>
      <w:tblPr>
        <w:tblW w:w="10801" w:type="dxa"/>
        <w:tblInd w:w="93" w:type="dxa"/>
        <w:tblLook w:val="00A0" w:firstRow="1" w:lastRow="0" w:firstColumn="1" w:lastColumn="0" w:noHBand="0" w:noVBand="0"/>
      </w:tblPr>
      <w:tblGrid>
        <w:gridCol w:w="549"/>
        <w:gridCol w:w="1526"/>
        <w:gridCol w:w="4108"/>
        <w:gridCol w:w="1289"/>
        <w:gridCol w:w="935"/>
        <w:gridCol w:w="948"/>
        <w:gridCol w:w="754"/>
        <w:gridCol w:w="223"/>
        <w:gridCol w:w="222"/>
        <w:gridCol w:w="247"/>
      </w:tblGrid>
      <w:tr w:rsidR="00341CB9" w:rsidRPr="00801896" w:rsidTr="00B548E1">
        <w:trPr>
          <w:trHeight w:val="336"/>
        </w:trPr>
        <w:tc>
          <w:tcPr>
            <w:tcW w:w="549" w:type="dxa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b/>
                <w:bCs/>
                <w:color w:val="000000"/>
                <w:lang w:val="en-US" w:eastAsia="en-AU"/>
              </w:rPr>
            </w:pPr>
          </w:p>
        </w:tc>
        <w:tc>
          <w:tcPr>
            <w:tcW w:w="56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color w:val="000000"/>
                <w:lang w:val="en-US" w:eastAsia="en-AU"/>
              </w:rPr>
              <w:t xml:space="preserve">                     </w:t>
            </w:r>
            <w:proofErr w:type="spellStart"/>
            <w:r w:rsidRPr="00801896">
              <w:rPr>
                <w:rFonts w:asciiTheme="minorHAnsi" w:hAnsiTheme="minorHAnsi" w:cs="Arial"/>
                <w:b/>
                <w:bCs/>
                <w:color w:val="000000"/>
                <w:lang w:eastAsia="en-AU"/>
              </w:rPr>
              <w:t>Patients</w:t>
            </w:r>
            <w:proofErr w:type="spellEnd"/>
            <w:r w:rsidRPr="00801896">
              <w:rPr>
                <w:rFonts w:asciiTheme="minorHAnsi" w:hAnsiTheme="minorHAnsi" w:cs="Arial"/>
                <w:b/>
                <w:bCs/>
                <w:color w:val="000000"/>
                <w:lang w:eastAsia="en-AU"/>
              </w:rPr>
              <w:t xml:space="preserve">            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en-AU"/>
              </w:rPr>
            </w:pPr>
            <w:proofErr w:type="spellStart"/>
            <w:r w:rsidRPr="00801896">
              <w:rPr>
                <w:rFonts w:asciiTheme="minorHAnsi" w:hAnsiTheme="minorHAnsi" w:cs="Arial"/>
                <w:b/>
                <w:bCs/>
                <w:color w:val="000000"/>
                <w:lang w:eastAsia="en-AU"/>
              </w:rPr>
              <w:t>Controls</w:t>
            </w:r>
            <w:proofErr w:type="spellEnd"/>
          </w:p>
        </w:tc>
        <w:tc>
          <w:tcPr>
            <w:tcW w:w="18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en-AU"/>
              </w:rPr>
            </w:pPr>
            <w:proofErr w:type="spellStart"/>
            <w:r w:rsidRPr="00801896">
              <w:rPr>
                <w:rFonts w:asciiTheme="minorHAnsi" w:hAnsiTheme="minorHAnsi" w:cs="Arial"/>
                <w:b/>
                <w:bCs/>
                <w:color w:val="000000"/>
                <w:lang w:eastAsia="en-AU"/>
              </w:rPr>
              <w:t>Differences</w:t>
            </w:r>
            <w:proofErr w:type="spellEnd"/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7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  <w:t xml:space="preserve">Variables (x </w:t>
            </w:r>
            <w:r w:rsidRPr="00801896">
              <w:rPr>
                <w:rFonts w:asciiTheme="minorHAnsi" w:hAnsiTheme="minorHAnsi" w:cs="Arial"/>
                <w:b/>
                <w:color w:val="000000"/>
                <w:sz w:val="18"/>
                <w:szCs w:val="20"/>
                <w:lang w:eastAsia="en-AU"/>
              </w:rPr>
              <w:t>± SD)</w:t>
            </w:r>
          </w:p>
        </w:tc>
        <w:tc>
          <w:tcPr>
            <w:tcW w:w="41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1CB9" w:rsidRPr="00801896" w:rsidRDefault="00341CB9" w:rsidP="00B548E1">
            <w:pPr>
              <w:ind w:left="101" w:hanging="101"/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</w:pP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1CB9" w:rsidRPr="00801896" w:rsidRDefault="00341CB9" w:rsidP="00B548E1">
            <w:pPr>
              <w:ind w:left="101" w:hanging="101"/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  <w:t>F-</w:t>
            </w:r>
            <w:proofErr w:type="spellStart"/>
            <w:r w:rsidRPr="00801896"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  <w:t>value</w:t>
            </w:r>
            <w:proofErr w:type="spellEnd"/>
            <w:r w:rsidRPr="00801896"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  <w:t xml:space="preserve">     </w:t>
            </w:r>
          </w:p>
        </w:tc>
        <w:tc>
          <w:tcPr>
            <w:tcW w:w="9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  <w:t>p-</w:t>
            </w:r>
            <w:proofErr w:type="spellStart"/>
            <w:r w:rsidRPr="00801896"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  <w:t>value</w:t>
            </w:r>
            <w:proofErr w:type="spellEnd"/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8"/>
                <w:szCs w:val="20"/>
                <w:lang w:eastAsia="en-AU"/>
              </w:rPr>
              <w:t>Post hoc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6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</w:rPr>
              <w:t>UKU Total score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1.92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2.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341CB9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0.0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9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0.4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341CB9" w:rsidP="00F34B04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</w:t>
            </w:r>
            <w:r w:rsidR="00F34B04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7</w:t>
            </w: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.</w:t>
            </w:r>
            <w:r w:rsidR="00F34B04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F34B04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&lt;</w:t>
            </w:r>
            <w:r w:rsidR="00341CB9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.001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46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UKU Dystonia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0.13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0.4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0.00 ± 0.00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1.</w:t>
            </w:r>
            <w:r w:rsidR="00F34B04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341CB9" w:rsidP="00F34B04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.1</w:t>
            </w:r>
            <w:r w:rsidR="00F34B04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83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</w:pP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46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UKU Rigidity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0.48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0.7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0.04 ± 0.2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F34B04" w:rsidP="00B548E1">
            <w:pPr>
              <w:ind w:left="101" w:hanging="101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8.1</w:t>
            </w:r>
            <w:r w:rsidR="00341CB9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.00</w:t>
            </w:r>
            <w:r w:rsidR="00F34B04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6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UKU </w:t>
            </w:r>
            <w:proofErr w:type="spellStart"/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Hypokinesia</w:t>
            </w:r>
            <w:proofErr w:type="spellEnd"/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5E0EA8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0.65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0.76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0.00 ± 0.00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341CB9" w:rsidP="00F34B04">
            <w:pPr>
              <w:ind w:left="101" w:hanging="101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</w:t>
            </w:r>
            <w:r w:rsidR="00F34B04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6.59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F34B04" w:rsidP="00B548E1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&lt;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.001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6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UKU Dyskinesia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341CB9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0.06 ± 0.3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0.00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0.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341CB9" w:rsidP="00F34B04">
            <w:pPr>
              <w:ind w:left="101" w:hanging="101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0.8</w:t>
            </w:r>
            <w:r w:rsidR="00F34B04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341CB9" w:rsidP="00F34B04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</w:t>
            </w:r>
            <w:r w:rsidR="00F34B04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354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</w:pP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6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UKU Tremor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5E0EA8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0.27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0.49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0.09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0.2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2.</w:t>
            </w:r>
            <w:r w:rsidR="00F34B04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</w:t>
            </w:r>
            <w:r w:rsidR="00F34B04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103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</w:pP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6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UKU </w:t>
            </w:r>
            <w:proofErr w:type="spellStart"/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Akathisia</w:t>
            </w:r>
            <w:proofErr w:type="spellEnd"/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341CB9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0.38 ± 0.6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0.00 ± 0.00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7.</w:t>
            </w:r>
            <w:r w:rsidR="00F34B04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341CB9" w:rsidP="00F34B04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</w:t>
            </w:r>
            <w:r w:rsidR="00F34B04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010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6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BFCRS total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2.27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3.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97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>0.13 ± 0.6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F34B04" w:rsidP="00F34B04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</w:rPr>
              <w:t>6</w:t>
            </w:r>
            <w:r w:rsidR="00341CB9" w:rsidRPr="00801896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341CB9" w:rsidP="00F34B04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</w:rPr>
              <w:t>.0</w:t>
            </w:r>
            <w:r w:rsidR="00F34B04" w:rsidRPr="00801896">
              <w:rPr>
                <w:rFonts w:asciiTheme="minorHAnsi" w:hAnsiTheme="minorHAns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16"/>
                <w:szCs w:val="18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eastAsia="en-AU"/>
              </w:rPr>
              <w:t>P&gt;C 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6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</w:rPr>
              <w:t>NES total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341CB9" w:rsidP="005E0EA8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>13.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>79</w:t>
            </w:r>
            <w:r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± 6.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5.61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4.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51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F34B04" w:rsidP="00B548E1">
            <w:pPr>
              <w:ind w:left="101" w:hanging="10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bCs/>
                <w:sz w:val="20"/>
                <w:szCs w:val="20"/>
                <w:lang w:val="en-US" w:eastAsia="en-AU"/>
              </w:rPr>
              <w:t>31.60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F34B04" w:rsidP="00B548E1">
            <w:pPr>
              <w:ind w:left="101" w:hanging="10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&lt;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.001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1" w:hanging="101"/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46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NES integration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341CB9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2.5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6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1.8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5E0EA8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1.39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1.37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F34B04" w:rsidP="00F34B04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7.61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341CB9" w:rsidP="00F34B04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.0</w:t>
            </w:r>
            <w:r w:rsidR="00F34B04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07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/>
                <w:sz w:val="16"/>
                <w:lang w:val="en-US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46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NES coordination 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341CB9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2.04 ± 2.2</w:t>
            </w:r>
            <w:r w:rsidR="005E0EA8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8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0.35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0.8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F34B04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11.79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341CB9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>.001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/>
                <w:sz w:val="16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/>
        </w:tc>
        <w:tc>
          <w:tcPr>
            <w:tcW w:w="222" w:type="dxa"/>
            <w:shd w:val="clear" w:color="auto" w:fill="auto"/>
          </w:tcPr>
          <w:p w:rsidR="00341CB9" w:rsidRPr="00801896" w:rsidRDefault="00341CB9" w:rsidP="00B548E1"/>
        </w:tc>
        <w:tc>
          <w:tcPr>
            <w:tcW w:w="246" w:type="dxa"/>
            <w:shd w:val="clear" w:color="auto" w:fill="auto"/>
          </w:tcPr>
          <w:p w:rsidR="00341CB9" w:rsidRPr="00801896" w:rsidRDefault="00341CB9" w:rsidP="00B548E1"/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NES </w:t>
            </w:r>
            <w:proofErr w:type="spellStart"/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</w:rPr>
              <w:t>sequencing</w:t>
            </w:r>
            <w:proofErr w:type="spellEnd"/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>2.88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± 2.</w:t>
            </w:r>
            <w:r w:rsidRPr="00801896">
              <w:rPr>
                <w:rFonts w:asciiTheme="minorHAnsi" w:hAnsiTheme="minorHAnsi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1.04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1.2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F34B04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14.16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F34B04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&lt;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.001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/>
                <w:sz w:val="16"/>
                <w:lang w:val="en-US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46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</w:tr>
      <w:tr w:rsidR="00341CB9" w:rsidRPr="00801896" w:rsidTr="00B548E1">
        <w:trPr>
          <w:trHeight w:val="336"/>
        </w:trPr>
        <w:tc>
          <w:tcPr>
            <w:tcW w:w="2075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 NES other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41CB9" w:rsidRPr="00801896" w:rsidRDefault="005E0EA8" w:rsidP="005E0EA8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6.31</w:t>
            </w:r>
            <w:r w:rsidR="00341CB9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 xml:space="preserve"> ± 3.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54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1CB9" w:rsidRPr="00801896" w:rsidRDefault="00341CB9" w:rsidP="00F34B04">
            <w:pPr>
              <w:ind w:left="102" w:hanging="102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AU"/>
              </w:rPr>
            </w:pPr>
            <w:r w:rsidRPr="00801896">
              <w:rPr>
                <w:rFonts w:asciiTheme="minorHAnsi" w:hAnsiTheme="minorHAnsi" w:cs="Arial"/>
                <w:bCs/>
                <w:sz w:val="20"/>
                <w:szCs w:val="20"/>
                <w:lang w:val="en-US" w:eastAsia="en-AU"/>
              </w:rPr>
              <w:t>2.</w:t>
            </w:r>
            <w:r w:rsidR="00F34B04" w:rsidRPr="00801896">
              <w:rPr>
                <w:rFonts w:asciiTheme="minorHAnsi" w:hAnsiTheme="minorHAnsi" w:cs="Arial"/>
                <w:bCs/>
                <w:sz w:val="20"/>
                <w:szCs w:val="20"/>
                <w:lang w:val="en-US" w:eastAsia="en-AU"/>
              </w:rPr>
              <w:t>83</w:t>
            </w:r>
            <w:r w:rsidRPr="00801896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± 2.</w:t>
            </w:r>
            <w:r w:rsidR="00F34B04" w:rsidRPr="00801896"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  <w:t>59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41CB9" w:rsidRPr="00801896" w:rsidRDefault="00F34B04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17.73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1CB9" w:rsidRPr="00801896" w:rsidRDefault="00F34B04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&lt;</w:t>
            </w:r>
            <w:r w:rsidR="00341CB9"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.00</w:t>
            </w:r>
            <w:r w:rsidRPr="00801896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/>
                <w:sz w:val="16"/>
                <w:lang w:val="en-US"/>
              </w:rPr>
            </w:pPr>
            <w:r w:rsidRPr="00801896">
              <w:rPr>
                <w:rFonts w:asciiTheme="minorHAnsi" w:hAnsiTheme="minorHAnsi" w:cs="Arial"/>
                <w:b/>
                <w:bCs/>
                <w:sz w:val="16"/>
                <w:szCs w:val="20"/>
                <w:lang w:val="en-US" w:eastAsia="en-AU"/>
              </w:rPr>
              <w:t>P&gt;C</w:t>
            </w:r>
          </w:p>
        </w:tc>
        <w:tc>
          <w:tcPr>
            <w:tcW w:w="223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  <w:tc>
          <w:tcPr>
            <w:tcW w:w="246" w:type="dxa"/>
            <w:shd w:val="clear" w:color="auto" w:fill="auto"/>
          </w:tcPr>
          <w:p w:rsidR="00341CB9" w:rsidRPr="00801896" w:rsidRDefault="00341CB9" w:rsidP="00B548E1">
            <w:pPr>
              <w:rPr>
                <w:lang w:val="en-US"/>
              </w:rPr>
            </w:pPr>
          </w:p>
        </w:tc>
      </w:tr>
      <w:tr w:rsidR="00341CB9" w:rsidRPr="00801896" w:rsidTr="00B548E1">
        <w:trPr>
          <w:trHeight w:val="336"/>
        </w:trPr>
        <w:tc>
          <w:tcPr>
            <w:tcW w:w="549" w:type="dxa"/>
            <w:shd w:val="clear" w:color="auto" w:fill="auto"/>
            <w:vAlign w:val="center"/>
          </w:tcPr>
          <w:p w:rsidR="00341CB9" w:rsidRPr="00801896" w:rsidRDefault="00341CB9" w:rsidP="00B548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3" w:type="dxa"/>
            <w:gridSpan w:val="3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341CB9" w:rsidRPr="00801896" w:rsidRDefault="00341CB9" w:rsidP="00B548E1">
            <w:pPr>
              <w:ind w:left="102" w:hanging="102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AU"/>
              </w:rPr>
            </w:pPr>
          </w:p>
        </w:tc>
        <w:tc>
          <w:tcPr>
            <w:tcW w:w="223" w:type="dxa"/>
            <w:shd w:val="clear" w:color="auto" w:fill="auto"/>
            <w:vAlign w:val="center"/>
          </w:tcPr>
          <w:p w:rsidR="00341CB9" w:rsidRPr="00801896" w:rsidRDefault="00341CB9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41CB9" w:rsidRPr="00801896" w:rsidRDefault="00341CB9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341CB9" w:rsidRPr="00801896" w:rsidRDefault="00341CB9" w:rsidP="00B548E1">
            <w:pPr>
              <w:spacing w:line="320" w:lineRule="atLeast"/>
              <w:ind w:left="102" w:right="60" w:hanging="10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41CB9" w:rsidRPr="00801896" w:rsidRDefault="00341CB9" w:rsidP="00341CB9">
      <w:pPr>
        <w:rPr>
          <w:rFonts w:asciiTheme="minorHAnsi" w:hAnsiTheme="minorHAnsi"/>
          <w:sz w:val="16"/>
          <w:szCs w:val="16"/>
          <w:lang w:val="en-US" w:eastAsia="en-AU"/>
        </w:rPr>
      </w:pPr>
      <w:r w:rsidRPr="00801896">
        <w:rPr>
          <w:rFonts w:asciiTheme="minorHAnsi" w:hAnsiTheme="minorHAnsi"/>
          <w:sz w:val="16"/>
          <w:szCs w:val="16"/>
          <w:lang w:val="en-US" w:eastAsia="en-AU"/>
        </w:rPr>
        <w:t xml:space="preserve">SD: standard deviation. CASH: Comprehensive Assessment Symptom History. </w:t>
      </w:r>
      <w:proofErr w:type="spellStart"/>
      <w:r w:rsidRPr="00801896">
        <w:rPr>
          <w:rFonts w:asciiTheme="minorHAnsi" w:hAnsiTheme="minorHAnsi"/>
          <w:sz w:val="16"/>
          <w:szCs w:val="16"/>
          <w:lang w:val="en-US" w:eastAsia="en-AU"/>
        </w:rPr>
        <w:t>Dx</w:t>
      </w:r>
      <w:proofErr w:type="spellEnd"/>
      <w:r w:rsidRPr="00801896">
        <w:rPr>
          <w:rFonts w:asciiTheme="minorHAnsi" w:hAnsiTheme="minorHAnsi"/>
          <w:sz w:val="16"/>
          <w:szCs w:val="16"/>
          <w:lang w:val="en-US" w:eastAsia="en-AU"/>
        </w:rPr>
        <w:t xml:space="preserve">: diagnosis. </w:t>
      </w:r>
      <w:proofErr w:type="spellStart"/>
      <w:r w:rsidRPr="00801896">
        <w:rPr>
          <w:rFonts w:asciiTheme="minorHAnsi" w:hAnsiTheme="minorHAnsi"/>
          <w:sz w:val="16"/>
          <w:szCs w:val="16"/>
          <w:lang w:val="en-US" w:eastAsia="en-AU"/>
        </w:rPr>
        <w:t>CPZ_day</w:t>
      </w:r>
      <w:proofErr w:type="spellEnd"/>
      <w:r w:rsidRPr="00801896">
        <w:rPr>
          <w:rFonts w:asciiTheme="minorHAnsi" w:hAnsiTheme="minorHAnsi"/>
          <w:sz w:val="16"/>
          <w:szCs w:val="16"/>
          <w:lang w:val="en-US" w:eastAsia="en-AU"/>
        </w:rPr>
        <w:t xml:space="preserve">: daily mean chlorpromazine equivalent dose. </w:t>
      </w:r>
    </w:p>
    <w:p w:rsidR="00341CB9" w:rsidRPr="00801896" w:rsidRDefault="00341CB9" w:rsidP="00341CB9">
      <w:pPr>
        <w:rPr>
          <w:rFonts w:asciiTheme="minorHAnsi" w:hAnsiTheme="minorHAnsi"/>
          <w:sz w:val="16"/>
          <w:szCs w:val="16"/>
          <w:lang w:val="en-US" w:eastAsia="en-AU"/>
        </w:rPr>
      </w:pPr>
      <w:proofErr w:type="spellStart"/>
      <w:r w:rsidRPr="00801896">
        <w:rPr>
          <w:rFonts w:asciiTheme="minorHAnsi" w:hAnsiTheme="minorHAnsi"/>
          <w:color w:val="000000"/>
          <w:sz w:val="16"/>
          <w:szCs w:val="16"/>
          <w:lang w:val="en-US" w:eastAsia="en-AU"/>
        </w:rPr>
        <w:t>CPZ_Total</w:t>
      </w:r>
      <w:proofErr w:type="spellEnd"/>
      <w:r w:rsidRPr="00801896">
        <w:rPr>
          <w:rFonts w:asciiTheme="minorHAnsi" w:hAnsiTheme="minorHAnsi"/>
          <w:color w:val="000000"/>
          <w:sz w:val="16"/>
          <w:szCs w:val="16"/>
          <w:lang w:val="en-US" w:eastAsia="en-AU"/>
        </w:rPr>
        <w:t xml:space="preserve"> exposure: Total </w:t>
      </w:r>
      <w:r w:rsidRPr="00801896">
        <w:rPr>
          <w:rFonts w:asciiTheme="minorHAnsi" w:hAnsiTheme="minorHAnsi"/>
          <w:sz w:val="16"/>
          <w:szCs w:val="16"/>
          <w:lang w:val="en-US" w:eastAsia="en-AU"/>
        </w:rPr>
        <w:t>chlorpromazine equivalent dose</w:t>
      </w:r>
      <w:proofErr w:type="gramStart"/>
      <w:r w:rsidRPr="00801896">
        <w:rPr>
          <w:rFonts w:asciiTheme="minorHAnsi" w:hAnsiTheme="minorHAnsi"/>
          <w:sz w:val="16"/>
          <w:szCs w:val="16"/>
          <w:lang w:val="en-US" w:eastAsia="en-AU"/>
        </w:rPr>
        <w:t xml:space="preserve">;  </w:t>
      </w:r>
      <w:proofErr w:type="spellStart"/>
      <w:r w:rsidRPr="00801896">
        <w:rPr>
          <w:rFonts w:asciiTheme="minorHAnsi" w:hAnsiTheme="minorHAnsi"/>
          <w:sz w:val="16"/>
          <w:szCs w:val="16"/>
          <w:lang w:val="en-US" w:eastAsia="en-AU"/>
        </w:rPr>
        <w:t>n.s</w:t>
      </w:r>
      <w:proofErr w:type="spellEnd"/>
      <w:proofErr w:type="gramEnd"/>
      <w:r w:rsidRPr="00801896">
        <w:rPr>
          <w:rFonts w:asciiTheme="minorHAnsi" w:hAnsiTheme="minorHAnsi"/>
          <w:sz w:val="16"/>
          <w:szCs w:val="16"/>
          <w:lang w:val="en-US" w:eastAsia="en-AU"/>
        </w:rPr>
        <w:t>.= non-significant</w:t>
      </w:r>
    </w:p>
    <w:p w:rsidR="00341CB9" w:rsidRPr="00801896" w:rsidRDefault="00341CB9" w:rsidP="00341CB9">
      <w:pPr>
        <w:rPr>
          <w:rFonts w:asciiTheme="minorHAnsi" w:hAnsiTheme="minorHAnsi"/>
          <w:sz w:val="16"/>
          <w:szCs w:val="16"/>
          <w:lang w:val="en-US"/>
        </w:rPr>
      </w:pPr>
      <w:r w:rsidRPr="00801896">
        <w:rPr>
          <w:rFonts w:asciiTheme="minorHAnsi" w:hAnsiTheme="minorHAnsi"/>
          <w:sz w:val="16"/>
          <w:szCs w:val="16"/>
          <w:vertAlign w:val="superscript"/>
          <w:lang w:val="en-US" w:eastAsia="en-AU"/>
        </w:rPr>
        <w:t>a</w:t>
      </w:r>
      <w:r w:rsidRPr="00801896">
        <w:rPr>
          <w:rFonts w:asciiTheme="minorHAnsi" w:hAnsiTheme="minorHAnsi"/>
          <w:sz w:val="16"/>
          <w:szCs w:val="16"/>
          <w:lang w:val="en-US"/>
        </w:rPr>
        <w:t xml:space="preserve">= Schizophrenia spectrum disorder included schizophrenia, </w:t>
      </w:r>
      <w:proofErr w:type="spellStart"/>
      <w:r w:rsidRPr="00801896">
        <w:rPr>
          <w:rFonts w:asciiTheme="minorHAnsi" w:hAnsiTheme="minorHAnsi"/>
          <w:sz w:val="16"/>
          <w:szCs w:val="16"/>
          <w:lang w:val="en-US"/>
        </w:rPr>
        <w:t>schizophreniform</w:t>
      </w:r>
      <w:proofErr w:type="spellEnd"/>
      <w:r w:rsidRPr="00801896">
        <w:rPr>
          <w:rFonts w:asciiTheme="minorHAnsi" w:hAnsiTheme="minorHAnsi"/>
          <w:sz w:val="16"/>
          <w:szCs w:val="16"/>
          <w:lang w:val="en-US"/>
        </w:rPr>
        <w:t xml:space="preserve"> and schizoaffective disorders</w:t>
      </w:r>
    </w:p>
    <w:p w:rsidR="00341CB9" w:rsidRPr="00801896" w:rsidRDefault="00341CB9" w:rsidP="00341CB9">
      <w:pPr>
        <w:rPr>
          <w:rFonts w:asciiTheme="minorHAnsi" w:hAnsiTheme="minorHAnsi" w:cs="Arial"/>
          <w:sz w:val="16"/>
          <w:szCs w:val="16"/>
          <w:lang w:val="en-US" w:eastAsia="en-AU"/>
        </w:rPr>
      </w:pPr>
    </w:p>
    <w:p w:rsidR="00341CB9" w:rsidRPr="00801896" w:rsidRDefault="00341CB9" w:rsidP="00341CB9">
      <w:pPr>
        <w:rPr>
          <w:rFonts w:asciiTheme="minorHAnsi" w:hAnsiTheme="minorHAnsi" w:cs="Arial"/>
          <w:sz w:val="16"/>
          <w:szCs w:val="16"/>
          <w:lang w:val="en-US" w:eastAsia="en-AU"/>
        </w:rPr>
      </w:pPr>
      <w:r w:rsidRPr="00801896">
        <w:rPr>
          <w:rFonts w:asciiTheme="minorHAnsi" w:hAnsiTheme="minorHAnsi" w:cs="Arial"/>
          <w:sz w:val="16"/>
          <w:szCs w:val="16"/>
          <w:lang w:val="en-US" w:eastAsia="en-AU"/>
        </w:rPr>
        <w:t>P= Patients. S= Siblings. C= Controls. UKU: **. BFCRS: Bush-Francis Catatonia Rating Scale. NES: Neurological Evaluation Scale</w:t>
      </w:r>
    </w:p>
    <w:p w:rsidR="00341CB9" w:rsidRPr="00801896" w:rsidRDefault="00341CB9" w:rsidP="00341CB9">
      <w:pPr>
        <w:rPr>
          <w:rFonts w:asciiTheme="minorHAnsi" w:hAnsiTheme="minorHAnsi"/>
          <w:lang w:val="en-US"/>
        </w:rPr>
      </w:pPr>
    </w:p>
    <w:p w:rsidR="00341CB9" w:rsidRPr="00801896" w:rsidRDefault="00341CB9" w:rsidP="00341CB9">
      <w:pPr>
        <w:rPr>
          <w:rFonts w:asciiTheme="minorHAnsi" w:hAnsiTheme="minorHAnsi"/>
          <w:sz w:val="16"/>
          <w:szCs w:val="16"/>
          <w:lang w:val="en-US"/>
        </w:rPr>
      </w:pPr>
      <w:r w:rsidRPr="00801896">
        <w:br w:type="page"/>
      </w:r>
    </w:p>
    <w:tbl>
      <w:tblPr>
        <w:tblW w:w="1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76"/>
        <w:gridCol w:w="1349"/>
        <w:gridCol w:w="1418"/>
        <w:gridCol w:w="1763"/>
        <w:gridCol w:w="1825"/>
        <w:gridCol w:w="1940"/>
      </w:tblGrid>
      <w:tr w:rsidR="00341CB9" w:rsidRPr="00801896" w:rsidTr="00B548E1">
        <w:tc>
          <w:tcPr>
            <w:tcW w:w="11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2C2C01">
            <w:pPr>
              <w:pageBreakBefore/>
              <w:spacing w:before="120" w:after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b/>
                <w:bCs/>
                <w:color w:val="000000"/>
                <w:sz w:val="22"/>
                <w:lang w:val="en-US" w:eastAsia="en-AU"/>
              </w:rPr>
              <w:lastRenderedPageBreak/>
              <w:t>Supplementary Table 2.</w:t>
            </w:r>
            <w:r w:rsidRPr="0080189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801896">
              <w:rPr>
                <w:rFonts w:asciiTheme="minorHAnsi" w:hAnsiTheme="minorHAnsi"/>
                <w:sz w:val="22"/>
                <w:szCs w:val="18"/>
                <w:lang w:val="en-US"/>
              </w:rPr>
              <w:t xml:space="preserve">Descriptive data and significant differences in MRI neuroimaging measures of FEP patients and healthy controls </w:t>
            </w:r>
            <w:r w:rsidR="002C2C01" w:rsidRPr="00801896">
              <w:rPr>
                <w:rFonts w:asciiTheme="minorHAnsi" w:hAnsiTheme="minorHAnsi"/>
                <w:sz w:val="22"/>
                <w:szCs w:val="18"/>
                <w:lang w:val="en-US"/>
              </w:rPr>
              <w:t>(repeated measures MANOVA)</w:t>
            </w:r>
          </w:p>
        </w:tc>
      </w:tr>
      <w:tr w:rsidR="00341CB9" w:rsidRPr="00801896" w:rsidTr="00341CB9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proofErr w:type="spellStart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Fractional</w:t>
            </w:r>
            <w:proofErr w:type="spellEnd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anisotropy</w:t>
            </w:r>
            <w:proofErr w:type="spellEnd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(FA)</w:t>
            </w:r>
            <w:r w:rsidRPr="00801896">
              <w:rPr>
                <w:rFonts w:asciiTheme="minorHAnsi" w:hAnsiTheme="minorHAnsi"/>
                <w:b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Mean </w:t>
            </w:r>
            <w:proofErr w:type="spellStart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Diffusivity</w:t>
            </w:r>
            <w:proofErr w:type="spellEnd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(MD)</w:t>
            </w:r>
            <w:r w:rsidRPr="00801896">
              <w:rPr>
                <w:rFonts w:asciiTheme="minorHAnsi" w:hAnsiTheme="minorHAnsi"/>
                <w:vertAlign w:val="superscript"/>
                <w:lang w:val="en-US"/>
              </w:rPr>
              <w:t xml:space="preserve"> 2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Relaxometry</w:t>
            </w:r>
            <w:proofErr w:type="spellEnd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(R2*)</w:t>
            </w:r>
            <w:r w:rsidRPr="00801896">
              <w:rPr>
                <w:rFonts w:asciiTheme="minorHAnsi" w:hAnsiTheme="minorHAnsi"/>
                <w:vertAlign w:val="superscript"/>
                <w:lang w:val="en-US"/>
              </w:rPr>
              <w:t xml:space="preserve"> 3</w:t>
            </w:r>
          </w:p>
        </w:tc>
      </w:tr>
      <w:tr w:rsidR="00341CB9" w:rsidRPr="00801896" w:rsidTr="00B548E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proofErr w:type="spellStart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Patient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Control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proofErr w:type="spellStart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Patient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Control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proofErr w:type="spellStart"/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Patient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Control</w:t>
            </w:r>
          </w:p>
        </w:tc>
      </w:tr>
      <w:tr w:rsidR="00341CB9" w:rsidRPr="00801896" w:rsidTr="00B548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Left</w:t>
            </w:r>
            <w:proofErr w:type="spellEnd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Caudate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54348D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0.1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0.01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54348D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0.2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0.2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0.96 ± 0.07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0.90 ± 0.18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54348D" w:rsidP="0054348D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26.24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±3.8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54348D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24.99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2.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341CB9" w:rsidRPr="00801896" w:rsidTr="00B548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Right</w:t>
            </w:r>
            <w:proofErr w:type="spellEnd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Caudate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0.18 ± 0.02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54348D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0.2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0.2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0.87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± 0.05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0.86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± 0.1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16.76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1.6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16.22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1.3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341CB9" w:rsidRPr="00801896" w:rsidTr="00B548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Left</w:t>
            </w:r>
            <w:proofErr w:type="spellEnd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Putamen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54348D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0.22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0.02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54348D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0.30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0.17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0.75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± 0.01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0.73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± 0.12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25.15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4.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23.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97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2.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36</w:t>
            </w:r>
          </w:p>
        </w:tc>
      </w:tr>
      <w:tr w:rsidR="00341CB9" w:rsidRPr="00801896" w:rsidTr="00B548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Right Putamen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0.21 ± 0.01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54348D" w:rsidP="0054348D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0.30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0.1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0.75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± 0.01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0.73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± 0.12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341CB9" w:rsidP="0054348D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32.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46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6.6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31.05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3.6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341CB9" w:rsidRPr="00801896" w:rsidTr="00B548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 xml:space="preserve">Left Globus </w:t>
            </w: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Pallidus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0.30 ± 0.0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0.35 ± 0.1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0.75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± 0.0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0.74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± 0.12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B548E1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41.75 ± 5.9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41.69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3.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84</w:t>
            </w:r>
          </w:p>
        </w:tc>
      </w:tr>
      <w:tr w:rsidR="00341CB9" w:rsidRPr="00801896" w:rsidTr="00B548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 xml:space="preserve">Right  Globus </w:t>
            </w: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Pallidus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0.34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0.39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0.1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>0.74</w:t>
            </w:r>
            <w:r w:rsidR="00341CB9"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± 0.0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0.73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± 0.1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55.45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6.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55.26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6.4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341CB9" w:rsidRPr="00801896" w:rsidTr="00B548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Left</w:t>
            </w:r>
            <w:proofErr w:type="spellEnd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Accumbens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0.20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0.0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0.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0.2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0.82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± 0.04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0.79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± 0.1</w:t>
            </w:r>
            <w:r w:rsidR="0054348D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54348D" w:rsidP="0054348D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17.50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± 4.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CB9" w:rsidRPr="00801896" w:rsidRDefault="0054348D" w:rsidP="0054348D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17.15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2.8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341CB9" w:rsidRPr="00801896" w:rsidTr="00B548E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ind w:left="60" w:right="60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 xml:space="preserve">Right </w:t>
            </w:r>
            <w:proofErr w:type="spellStart"/>
            <w:r w:rsidRPr="00801896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>Accumbens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0.20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0.0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0.30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0.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0.78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± 0.02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341CB9" w:rsidP="00B548E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0.77 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± 0.12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36.93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6.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B9" w:rsidRPr="00801896" w:rsidRDefault="0054348D" w:rsidP="0054348D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35.30</w:t>
            </w:r>
            <w:r w:rsidR="00341CB9"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± 3.9</w:t>
            </w:r>
            <w:r w:rsidRPr="0080189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9</w:t>
            </w:r>
          </w:p>
        </w:tc>
      </w:tr>
    </w:tbl>
    <w:p w:rsidR="00341CB9" w:rsidRPr="00801896" w:rsidRDefault="00341CB9" w:rsidP="00341CB9">
      <w:pPr>
        <w:rPr>
          <w:rFonts w:asciiTheme="minorHAnsi" w:hAnsiTheme="minorHAnsi"/>
          <w:lang w:val="en-US"/>
        </w:rPr>
      </w:pPr>
    </w:p>
    <w:p w:rsidR="00341CB9" w:rsidRPr="00801896" w:rsidRDefault="00341CB9" w:rsidP="00341CB9">
      <w:pPr>
        <w:rPr>
          <w:rFonts w:asciiTheme="minorHAnsi" w:hAnsiTheme="minorHAnsi"/>
          <w:sz w:val="16"/>
          <w:szCs w:val="16"/>
          <w:lang w:val="en-US"/>
        </w:rPr>
      </w:pPr>
      <w:r w:rsidRPr="00801896">
        <w:rPr>
          <w:rFonts w:asciiTheme="minorHAnsi" w:hAnsiTheme="minorHAnsi"/>
          <w:sz w:val="16"/>
          <w:szCs w:val="16"/>
          <w:vertAlign w:val="superscript"/>
          <w:lang w:val="en-US"/>
        </w:rPr>
        <w:t>1</w:t>
      </w:r>
      <w:r w:rsidRPr="00801896">
        <w:rPr>
          <w:rFonts w:asciiTheme="minorHAnsi" w:hAnsiTheme="minorHAnsi"/>
          <w:sz w:val="16"/>
          <w:szCs w:val="16"/>
          <w:lang w:val="en-US"/>
        </w:rPr>
        <w:t>: FEP patients showed significantly lower in all FA measures than healthy control</w:t>
      </w:r>
      <w:r w:rsidR="00FB3817" w:rsidRPr="00801896">
        <w:rPr>
          <w:rFonts w:asciiTheme="minorHAnsi" w:hAnsiTheme="minorHAnsi"/>
          <w:sz w:val="16"/>
          <w:szCs w:val="16"/>
          <w:lang w:val="en-US"/>
        </w:rPr>
        <w:t>s</w:t>
      </w:r>
      <w:r w:rsidRPr="00801896">
        <w:rPr>
          <w:rFonts w:asciiTheme="minorHAnsi" w:hAnsiTheme="minorHAnsi"/>
          <w:sz w:val="16"/>
          <w:szCs w:val="16"/>
          <w:lang w:val="en-US"/>
        </w:rPr>
        <w:t xml:space="preserve"> (p</w:t>
      </w:r>
      <w:r w:rsidRPr="00801896">
        <w:rPr>
          <w:rFonts w:asciiTheme="minorHAnsi" w:hAnsiTheme="minorHAnsi" w:cs="Calibri"/>
          <w:sz w:val="16"/>
          <w:szCs w:val="16"/>
          <w:lang w:val="en-US"/>
        </w:rPr>
        <w:t>≤</w:t>
      </w:r>
      <w:r w:rsidRPr="00801896">
        <w:rPr>
          <w:rFonts w:asciiTheme="minorHAnsi" w:hAnsiTheme="minorHAnsi"/>
          <w:sz w:val="16"/>
          <w:szCs w:val="16"/>
          <w:lang w:val="en-US"/>
        </w:rPr>
        <w:t xml:space="preserve">0.05). </w:t>
      </w:r>
    </w:p>
    <w:p w:rsidR="00341CB9" w:rsidRPr="00801896" w:rsidRDefault="00341CB9" w:rsidP="00341CB9">
      <w:pPr>
        <w:rPr>
          <w:rFonts w:asciiTheme="minorHAnsi" w:hAnsiTheme="minorHAnsi"/>
          <w:sz w:val="16"/>
          <w:szCs w:val="16"/>
          <w:lang w:val="en-US"/>
        </w:rPr>
      </w:pPr>
      <w:r w:rsidRPr="00801896">
        <w:rPr>
          <w:rFonts w:asciiTheme="minorHAnsi" w:hAnsiTheme="minorHAnsi"/>
          <w:sz w:val="16"/>
          <w:szCs w:val="16"/>
          <w:vertAlign w:val="superscript"/>
          <w:lang w:val="en-US"/>
        </w:rPr>
        <w:t>2</w:t>
      </w:r>
      <w:r w:rsidRPr="00801896">
        <w:rPr>
          <w:rFonts w:asciiTheme="minorHAnsi" w:hAnsiTheme="minorHAnsi"/>
          <w:sz w:val="16"/>
          <w:szCs w:val="16"/>
          <w:lang w:val="en-US"/>
        </w:rPr>
        <w:t>: No significant differences between groups on MD measures were found</w:t>
      </w:r>
    </w:p>
    <w:p w:rsidR="00341CB9" w:rsidRPr="00341CB9" w:rsidRDefault="00341CB9" w:rsidP="00341CB9">
      <w:pPr>
        <w:rPr>
          <w:rFonts w:asciiTheme="minorHAnsi" w:hAnsiTheme="minorHAnsi"/>
          <w:sz w:val="16"/>
          <w:szCs w:val="16"/>
          <w:lang w:val="en-US"/>
        </w:rPr>
      </w:pPr>
      <w:r w:rsidRPr="00801896">
        <w:rPr>
          <w:rFonts w:asciiTheme="minorHAnsi" w:hAnsiTheme="minorHAnsi"/>
          <w:sz w:val="16"/>
          <w:szCs w:val="16"/>
          <w:vertAlign w:val="superscript"/>
          <w:lang w:val="en-US"/>
        </w:rPr>
        <w:t>3</w:t>
      </w:r>
      <w:r w:rsidRPr="00801896">
        <w:rPr>
          <w:rFonts w:asciiTheme="minorHAnsi" w:hAnsiTheme="minorHAnsi"/>
          <w:sz w:val="16"/>
          <w:szCs w:val="16"/>
          <w:lang w:val="en-US"/>
        </w:rPr>
        <w:t>: There were no significant differences between FEP patients and healthy controls in R2* measures</w:t>
      </w:r>
      <w:bookmarkStart w:id="0" w:name="_GoBack"/>
      <w:bookmarkEnd w:id="0"/>
    </w:p>
    <w:p w:rsidR="00341CB9" w:rsidRPr="00341CB9" w:rsidRDefault="00341CB9" w:rsidP="00341CB9">
      <w:pPr>
        <w:rPr>
          <w:rFonts w:asciiTheme="minorHAnsi" w:hAnsiTheme="minorHAnsi"/>
          <w:sz w:val="16"/>
          <w:szCs w:val="16"/>
          <w:lang w:val="en-US"/>
        </w:rPr>
      </w:pPr>
    </w:p>
    <w:p w:rsidR="00341CB9" w:rsidRPr="00341CB9" w:rsidRDefault="00341CB9" w:rsidP="00341CB9">
      <w:pPr>
        <w:rPr>
          <w:sz w:val="16"/>
          <w:szCs w:val="16"/>
          <w:lang w:val="en-US"/>
        </w:rPr>
      </w:pPr>
    </w:p>
    <w:p w:rsidR="00356087" w:rsidRPr="00341CB9" w:rsidRDefault="00356087">
      <w:pPr>
        <w:rPr>
          <w:lang w:val="en-US"/>
        </w:rPr>
      </w:pPr>
    </w:p>
    <w:sectPr w:rsidR="00356087" w:rsidRPr="00341CB9" w:rsidSect="00920AC6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CB"/>
    <w:rsid w:val="002B03DB"/>
    <w:rsid w:val="002C2C01"/>
    <w:rsid w:val="00341CB9"/>
    <w:rsid w:val="00356087"/>
    <w:rsid w:val="004A14ED"/>
    <w:rsid w:val="0054348D"/>
    <w:rsid w:val="005E0EA8"/>
    <w:rsid w:val="007356E6"/>
    <w:rsid w:val="00801896"/>
    <w:rsid w:val="009160E4"/>
    <w:rsid w:val="00D21A89"/>
    <w:rsid w:val="00EB67CB"/>
    <w:rsid w:val="00F34B04"/>
    <w:rsid w:val="00F5189A"/>
    <w:rsid w:val="00F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C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C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Torres, Ana Mª (CIB)</dc:creator>
  <cp:lastModifiedBy>Sánchez Torres, Ana Mª (CIB)</cp:lastModifiedBy>
  <cp:revision>2</cp:revision>
  <dcterms:created xsi:type="dcterms:W3CDTF">2019-08-26T10:14:00Z</dcterms:created>
  <dcterms:modified xsi:type="dcterms:W3CDTF">2019-08-26T10:14:00Z</dcterms:modified>
</cp:coreProperties>
</file>