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C1D0" w14:textId="77777777" w:rsidR="00CE5BCE" w:rsidRPr="00315A74" w:rsidRDefault="00CE5BCE" w:rsidP="00CE5BCE">
      <w:pPr>
        <w:spacing w:line="360" w:lineRule="auto"/>
        <w:jc w:val="both"/>
        <w:rPr>
          <w:rFonts w:ascii="Arial" w:hAnsi="Arial" w:cs="Arial"/>
          <w:sz w:val="20"/>
          <w:szCs w:val="20"/>
          <w:lang w:val="en-US"/>
        </w:rPr>
      </w:pPr>
      <w:r w:rsidRPr="00315A74">
        <w:rPr>
          <w:rFonts w:ascii="Arial" w:hAnsi="Arial" w:cs="Arial"/>
          <w:b/>
          <w:sz w:val="20"/>
          <w:szCs w:val="20"/>
          <w:lang w:val="en-US"/>
        </w:rPr>
        <w:t>Image acquisition protocols</w:t>
      </w:r>
    </w:p>
    <w:p w14:paraId="0E66B60D" w14:textId="7696855F" w:rsidR="00463018" w:rsidRPr="00315A74" w:rsidRDefault="00CE5BCE" w:rsidP="00CE5BCE">
      <w:pPr>
        <w:spacing w:line="360" w:lineRule="auto"/>
        <w:rPr>
          <w:rFonts w:ascii="Arial" w:hAnsi="Arial" w:cs="Arial"/>
          <w:sz w:val="20"/>
          <w:szCs w:val="20"/>
          <w:lang w:val="en-US"/>
        </w:rPr>
      </w:pPr>
      <w:r w:rsidRPr="00315A74">
        <w:rPr>
          <w:rFonts w:ascii="Arial" w:eastAsia="Helvetica" w:hAnsi="Arial" w:cs="Arial"/>
          <w:color w:val="000000"/>
          <w:sz w:val="20"/>
          <w:szCs w:val="20"/>
          <w:lang w:val="en-US"/>
        </w:rPr>
        <w:t xml:space="preserve">All MRI scans were acquired at the Danish Research Centre for Magnetic Resonance (DRCMR) at Copenhagen University Hospital Hvidovre using a 3 Tesla Siemens </w:t>
      </w:r>
      <w:proofErr w:type="spellStart"/>
      <w:r w:rsidRPr="00315A74">
        <w:rPr>
          <w:rFonts w:ascii="Arial" w:eastAsia="Helvetica" w:hAnsi="Arial" w:cs="Arial"/>
          <w:color w:val="000000"/>
          <w:sz w:val="20"/>
          <w:szCs w:val="20"/>
          <w:lang w:val="en-US"/>
        </w:rPr>
        <w:t>Verio</w:t>
      </w:r>
      <w:proofErr w:type="spellEnd"/>
      <w:r w:rsidRPr="00315A74">
        <w:rPr>
          <w:rFonts w:ascii="Arial" w:eastAsia="Helvetica" w:hAnsi="Arial" w:cs="Arial"/>
          <w:color w:val="000000"/>
          <w:sz w:val="20"/>
          <w:szCs w:val="20"/>
          <w:lang w:val="en-US"/>
        </w:rPr>
        <w:t xml:space="preserve"> scanner </w:t>
      </w:r>
      <w:r w:rsidRPr="00315A74">
        <w:rPr>
          <w:rFonts w:ascii="Arial" w:hAnsi="Arial" w:cs="Arial"/>
          <w:sz w:val="20"/>
          <w:szCs w:val="20"/>
          <w:lang w:val="en-US"/>
        </w:rPr>
        <w:t xml:space="preserve">(Siemens Trio, Erlangen, Germany) </w:t>
      </w:r>
      <w:r w:rsidRPr="00315A74">
        <w:rPr>
          <w:rFonts w:ascii="Arial" w:eastAsia="Helvetica" w:hAnsi="Arial" w:cs="Arial"/>
          <w:color w:val="000000"/>
          <w:sz w:val="20"/>
          <w:szCs w:val="20"/>
          <w:lang w:val="en-US"/>
        </w:rPr>
        <w:t>and a 32-channel head array receive coil. During the performance of the card paradigm Blood-oxygen-level Dependent (</w:t>
      </w:r>
      <w:r w:rsidRPr="00315A74">
        <w:rPr>
          <w:rFonts w:ascii="Arial" w:hAnsi="Arial" w:cs="Arial"/>
          <w:sz w:val="20"/>
          <w:szCs w:val="20"/>
          <w:lang w:val="en-US"/>
        </w:rPr>
        <w:t>BOLD) sensitive fMRI was acquired using a T2*-weighted gradient echo-planar imaging (EPI) sequence. A total of 312 volumes were acquired using</w:t>
      </w:r>
      <w:r w:rsidRPr="00315A74">
        <w:rPr>
          <w:rFonts w:ascii="Arial" w:eastAsia="Helvetica" w:hAnsi="Arial" w:cs="Arial"/>
          <w:sz w:val="20"/>
          <w:szCs w:val="20"/>
          <w:lang w:val="en-US"/>
        </w:rPr>
        <w:t xml:space="preserve"> parallel imaging (GRAPPA) </w:t>
      </w:r>
      <w:r w:rsidRPr="00315A74">
        <w:rPr>
          <w:rFonts w:ascii="Arial" w:eastAsia="Helvetica" w:hAnsi="Arial" w:cs="Arial"/>
          <w:color w:val="000000"/>
          <w:sz w:val="20"/>
          <w:szCs w:val="20"/>
          <w:lang w:val="en-US"/>
        </w:rPr>
        <w:t>and whole-brain field of view (</w:t>
      </w:r>
      <w:r w:rsidRPr="00315A74">
        <w:rPr>
          <w:rFonts w:ascii="Arial" w:eastAsia="Helvetica" w:hAnsi="Arial" w:cs="Arial"/>
          <w:sz w:val="20"/>
          <w:szCs w:val="20"/>
          <w:lang w:val="en-US"/>
        </w:rPr>
        <w:t>acceleration</w:t>
      </w:r>
      <w:r w:rsidRPr="00315A74">
        <w:rPr>
          <w:rFonts w:ascii="Arial" w:eastAsia="Helvetica" w:hAnsi="Arial" w:cs="Arial"/>
          <w:color w:val="000000"/>
          <w:sz w:val="20"/>
          <w:szCs w:val="20"/>
          <w:lang w:val="en-US"/>
        </w:rPr>
        <w:t xml:space="preserve"> factor = 2, FOV = 192 mm</w:t>
      </w:r>
      <w:r w:rsidRPr="00315A74">
        <w:rPr>
          <w:rFonts w:ascii="Arial" w:eastAsia="Helvetica" w:hAnsi="Arial" w:cs="Arial"/>
          <w:color w:val="000000"/>
          <w:sz w:val="20"/>
          <w:szCs w:val="20"/>
          <w:vertAlign w:val="superscript"/>
          <w:lang w:val="en-US"/>
        </w:rPr>
        <w:t>2</w:t>
      </w:r>
      <w:r w:rsidRPr="00315A74">
        <w:rPr>
          <w:rFonts w:ascii="Arial" w:eastAsia="Helvetica" w:hAnsi="Arial" w:cs="Arial"/>
          <w:color w:val="000000"/>
          <w:sz w:val="20"/>
          <w:szCs w:val="20"/>
          <w:lang w:val="en-US"/>
        </w:rPr>
        <w:t xml:space="preserve">, matrix size = </w:t>
      </w:r>
      <w:r w:rsidRPr="00315A74">
        <w:rPr>
          <w:rFonts w:ascii="Arial" w:hAnsi="Arial" w:cs="Arial"/>
          <w:sz w:val="20"/>
          <w:szCs w:val="20"/>
          <w:lang w:val="en-US"/>
        </w:rPr>
        <w:t xml:space="preserve">64 x 64, imaging plane = </w:t>
      </w:r>
      <w:r w:rsidRPr="00315A74">
        <w:rPr>
          <w:rFonts w:ascii="Arial" w:eastAsia="Helvetica" w:hAnsi="Arial" w:cs="Arial"/>
          <w:color w:val="000000"/>
          <w:sz w:val="20"/>
          <w:szCs w:val="20"/>
          <w:lang w:val="en-US"/>
        </w:rPr>
        <w:t xml:space="preserve">axial, slice thickness = 3 mm, no. of slices = 42, acquisition order = interleaved upwards, echo time = 30 </w:t>
      </w:r>
      <w:proofErr w:type="spellStart"/>
      <w:r w:rsidRPr="00315A74">
        <w:rPr>
          <w:rFonts w:ascii="Arial" w:eastAsia="Helvetica" w:hAnsi="Arial" w:cs="Arial"/>
          <w:color w:val="000000"/>
          <w:sz w:val="20"/>
          <w:szCs w:val="20"/>
          <w:lang w:val="en-US"/>
        </w:rPr>
        <w:t>ms</w:t>
      </w:r>
      <w:proofErr w:type="spellEnd"/>
      <w:r w:rsidRPr="00315A74">
        <w:rPr>
          <w:rFonts w:ascii="Arial" w:eastAsia="Helvetica" w:hAnsi="Arial" w:cs="Arial"/>
          <w:color w:val="000000"/>
          <w:sz w:val="20"/>
          <w:szCs w:val="20"/>
          <w:lang w:val="en-US"/>
        </w:rPr>
        <w:t xml:space="preserve">, repetition time = 2320 </w:t>
      </w:r>
      <w:proofErr w:type="spellStart"/>
      <w:r w:rsidRPr="00315A74">
        <w:rPr>
          <w:rFonts w:ascii="Arial" w:eastAsia="Helvetica" w:hAnsi="Arial" w:cs="Arial"/>
          <w:color w:val="000000"/>
          <w:sz w:val="20"/>
          <w:szCs w:val="20"/>
          <w:lang w:val="en-US"/>
        </w:rPr>
        <w:t>ms</w:t>
      </w:r>
      <w:proofErr w:type="spellEnd"/>
      <w:r w:rsidRPr="00315A74">
        <w:rPr>
          <w:rFonts w:ascii="Arial" w:eastAsia="Helvetica" w:hAnsi="Arial" w:cs="Arial"/>
          <w:color w:val="000000"/>
          <w:sz w:val="20"/>
          <w:szCs w:val="20"/>
          <w:lang w:val="en-US"/>
        </w:rPr>
        <w:t>, flip angle = 80°).</w:t>
      </w:r>
      <w:r w:rsidR="000A7B87" w:rsidRPr="00315A74">
        <w:rPr>
          <w:rFonts w:ascii="Arial" w:eastAsia="Helvetica" w:hAnsi="Arial" w:cs="Arial"/>
          <w:color w:val="000000"/>
          <w:sz w:val="20"/>
          <w:szCs w:val="20"/>
          <w:lang w:val="en-US"/>
        </w:rPr>
        <w:t xml:space="preserve"> </w:t>
      </w:r>
      <w:r w:rsidRPr="00315A74">
        <w:rPr>
          <w:rFonts w:ascii="Arial" w:eastAsia="Helvetica" w:hAnsi="Arial" w:cs="Arial"/>
          <w:color w:val="000000"/>
          <w:sz w:val="20"/>
          <w:szCs w:val="20"/>
          <w:lang w:val="en-US"/>
        </w:rPr>
        <w:t>The BOLD images were registered to T1-weighted structural images which were acquired using an MPRAGE sequence (FOV = 230 mm</w:t>
      </w:r>
      <w:r w:rsidRPr="00315A74">
        <w:rPr>
          <w:rFonts w:ascii="Arial" w:eastAsia="Helvetica" w:hAnsi="Arial" w:cs="Arial"/>
          <w:color w:val="000000"/>
          <w:sz w:val="20"/>
          <w:szCs w:val="20"/>
          <w:vertAlign w:val="superscript"/>
          <w:lang w:val="en-US"/>
        </w:rPr>
        <w:t>2</w:t>
      </w:r>
      <w:r w:rsidRPr="00315A74">
        <w:rPr>
          <w:rFonts w:ascii="Arial" w:eastAsia="Helvetica" w:hAnsi="Arial" w:cs="Arial"/>
          <w:color w:val="000000"/>
          <w:sz w:val="20"/>
          <w:szCs w:val="20"/>
          <w:lang w:val="en-US"/>
        </w:rPr>
        <w:t xml:space="preserve">, ST = 1.9 mm, no. of slices = </w:t>
      </w:r>
      <w:r w:rsidRPr="00315A74">
        <w:rPr>
          <w:rFonts w:ascii="Arial" w:hAnsi="Arial" w:cs="Arial"/>
          <w:sz w:val="20"/>
          <w:szCs w:val="20"/>
          <w:lang w:val="en-US"/>
        </w:rPr>
        <w:t xml:space="preserve">224, </w:t>
      </w:r>
      <w:r w:rsidRPr="00315A74">
        <w:rPr>
          <w:rFonts w:ascii="Arial" w:eastAsia="Helvetica" w:hAnsi="Arial" w:cs="Arial"/>
          <w:color w:val="000000"/>
          <w:sz w:val="20"/>
          <w:szCs w:val="20"/>
          <w:lang w:val="en-US"/>
        </w:rPr>
        <w:t xml:space="preserve">slice thickness = 1 mm, repetition time = 1900 </w:t>
      </w:r>
      <w:proofErr w:type="spellStart"/>
      <w:r w:rsidRPr="00315A74">
        <w:rPr>
          <w:rFonts w:ascii="Arial" w:eastAsia="Helvetica" w:hAnsi="Arial" w:cs="Arial"/>
          <w:color w:val="000000"/>
          <w:sz w:val="20"/>
          <w:szCs w:val="20"/>
          <w:lang w:val="en-US"/>
        </w:rPr>
        <w:t>ms</w:t>
      </w:r>
      <w:proofErr w:type="spellEnd"/>
      <w:r w:rsidRPr="00315A74">
        <w:rPr>
          <w:rFonts w:ascii="Arial" w:eastAsia="Helvetica" w:hAnsi="Arial" w:cs="Arial"/>
          <w:color w:val="000000"/>
          <w:sz w:val="20"/>
          <w:szCs w:val="20"/>
          <w:lang w:val="en-US"/>
        </w:rPr>
        <w:t xml:space="preserve">, echo time = 2320 </w:t>
      </w:r>
      <w:proofErr w:type="spellStart"/>
      <w:r w:rsidRPr="00315A74">
        <w:rPr>
          <w:rFonts w:ascii="Arial" w:eastAsia="Helvetica" w:hAnsi="Arial" w:cs="Arial"/>
          <w:color w:val="000000"/>
          <w:sz w:val="20"/>
          <w:szCs w:val="20"/>
          <w:lang w:val="en-US"/>
        </w:rPr>
        <w:t>ms</w:t>
      </w:r>
      <w:proofErr w:type="spellEnd"/>
      <w:r w:rsidRPr="00315A74">
        <w:rPr>
          <w:rFonts w:ascii="Arial" w:eastAsia="Helvetica" w:hAnsi="Arial" w:cs="Arial"/>
          <w:color w:val="000000"/>
          <w:sz w:val="20"/>
          <w:szCs w:val="20"/>
          <w:lang w:val="en-US"/>
        </w:rPr>
        <w:t xml:space="preserve">, flip angle = 9°). </w:t>
      </w:r>
      <w:r w:rsidRPr="00315A74">
        <w:rPr>
          <w:rFonts w:ascii="Arial" w:hAnsi="Arial" w:cs="Arial"/>
          <w:sz w:val="20"/>
          <w:szCs w:val="20"/>
          <w:lang w:val="en-US"/>
        </w:rPr>
        <w:t xml:space="preserve">A standard </w:t>
      </w:r>
      <w:r w:rsidRPr="00315A74">
        <w:rPr>
          <w:rFonts w:ascii="Arial" w:eastAsia="Helvetica" w:hAnsi="Arial" w:cs="Arial"/>
          <w:bCs/>
          <w:color w:val="000000"/>
          <w:sz w:val="20"/>
          <w:szCs w:val="20"/>
          <w:lang w:val="en-US"/>
        </w:rPr>
        <w:t>B</w:t>
      </w:r>
      <w:r w:rsidRPr="00315A74">
        <w:rPr>
          <w:rFonts w:ascii="Arial" w:eastAsia="Helvetica" w:hAnsi="Arial" w:cs="Arial"/>
          <w:bCs/>
          <w:color w:val="000000"/>
          <w:sz w:val="20"/>
          <w:szCs w:val="20"/>
          <w:vertAlign w:val="subscript"/>
          <w:lang w:val="en-US"/>
        </w:rPr>
        <w:t>0</w:t>
      </w:r>
      <w:r w:rsidRPr="00315A74">
        <w:rPr>
          <w:rFonts w:ascii="Arial" w:eastAsia="Helvetica" w:hAnsi="Arial" w:cs="Arial"/>
          <w:bCs/>
          <w:color w:val="000000"/>
          <w:sz w:val="20"/>
          <w:szCs w:val="20"/>
          <w:lang w:val="en-US"/>
        </w:rPr>
        <w:t xml:space="preserve"> field map sequence was also acquired with the same field-of-view and resolution as the fMRI sequence and used for geometric distortions correction of the BOLD images. </w:t>
      </w:r>
      <w:r w:rsidRPr="00315A74">
        <w:rPr>
          <w:rFonts w:ascii="Arial" w:hAnsi="Arial" w:cs="Arial"/>
          <w:sz w:val="20"/>
          <w:szCs w:val="20"/>
          <w:lang w:val="en-US"/>
        </w:rPr>
        <w:t>A good image quality at acquisition time was ascertained by visual inspection of all individual images.</w:t>
      </w:r>
    </w:p>
    <w:p w14:paraId="3E8D2341" w14:textId="478E3979" w:rsidR="00AE399F" w:rsidRPr="00315A74" w:rsidRDefault="00AE399F" w:rsidP="00CE5BCE">
      <w:pPr>
        <w:spacing w:line="360" w:lineRule="auto"/>
        <w:rPr>
          <w:rFonts w:ascii="Arial" w:hAnsi="Arial" w:cs="Arial"/>
          <w:sz w:val="20"/>
          <w:szCs w:val="20"/>
          <w:lang w:val="en-US"/>
        </w:rPr>
      </w:pPr>
    </w:p>
    <w:p w14:paraId="4403F891" w14:textId="77777777" w:rsidR="00AE399F" w:rsidRPr="00315A74" w:rsidRDefault="00AE399F" w:rsidP="00AE399F">
      <w:pPr>
        <w:spacing w:line="360" w:lineRule="auto"/>
        <w:jc w:val="both"/>
        <w:rPr>
          <w:rFonts w:ascii="Arial" w:hAnsi="Arial" w:cs="Arial"/>
          <w:b/>
          <w:sz w:val="20"/>
          <w:szCs w:val="20"/>
          <w:lang w:val="en-US"/>
        </w:rPr>
      </w:pPr>
      <w:r w:rsidRPr="00315A74">
        <w:rPr>
          <w:rFonts w:ascii="Arial" w:hAnsi="Arial" w:cs="Arial"/>
          <w:b/>
          <w:sz w:val="20"/>
          <w:szCs w:val="20"/>
          <w:lang w:val="en-US"/>
        </w:rPr>
        <w:t>The card guessing fMRI paradigm</w:t>
      </w:r>
    </w:p>
    <w:p w14:paraId="6763AB17" w14:textId="6464E72B" w:rsidR="00AE399F" w:rsidRPr="00315A74" w:rsidRDefault="00AE399F" w:rsidP="00AE399F">
      <w:pPr>
        <w:spacing w:line="360" w:lineRule="auto"/>
        <w:jc w:val="both"/>
        <w:rPr>
          <w:rFonts w:ascii="Arial" w:hAnsi="Arial" w:cs="Arial"/>
          <w:sz w:val="20"/>
          <w:szCs w:val="20"/>
          <w:lang w:val="en-US"/>
        </w:rPr>
      </w:pPr>
      <w:r w:rsidRPr="00315A74">
        <w:rPr>
          <w:rFonts w:ascii="Arial" w:hAnsi="Arial" w:cs="Arial"/>
          <w:sz w:val="20"/>
          <w:szCs w:val="20"/>
          <w:lang w:val="en-US"/>
        </w:rPr>
        <w:t xml:space="preserve">The fMRI paradigm was a card guessing game adapted from Chase et al. </w:t>
      </w:r>
      <w:r w:rsidRPr="00315A74">
        <w:rPr>
          <w:rFonts w:ascii="Arial" w:hAnsi="Arial" w:cs="Arial"/>
          <w:sz w:val="20"/>
          <w:szCs w:val="20"/>
          <w:lang w:val="en-US"/>
        </w:rPr>
        <w:fldChar w:fldCharType="begin" w:fldLock="1"/>
      </w:r>
      <w:r w:rsidR="005024E2">
        <w:rPr>
          <w:rFonts w:ascii="Arial" w:hAnsi="Arial" w:cs="Arial"/>
          <w:sz w:val="20"/>
          <w:szCs w:val="20"/>
          <w:lang w:val="en-US"/>
        </w:rPr>
        <w:instrText>ADDIN CSL_CITATION {"citationItems":[{"id":"ITEM-1","itemData":{"DOI":"10.1038/tp.2017.60","ISBN":"2158-3188","ISSN":"2158-3188","PMID":"28418404","abstract":"High trait impulsive sensation seeking (ISS) is common in 18-25-year olds, and is associated with risky decision-making and deleterious outcomes. We examined relationships among: activity in reward regions previously associated with ISS during an ISS-relevant context, uncertain reward expectancy (RE), using fMRI; ISS impulsivity and sensation-seeking subcomponents; and risky decision-making in 100, transdiagnostically recruited 18-25-year olds. ISS, anhedonia, anxiety, depression and mania were measured using self-report scales; clinician-administered scales also assessed the latter four. A post-scan risky decision-making task measured 'risky' (possible win/loss/mixed/neutral) fMRI-task versus 'sure thing' stimuli. 'Bias' reflected risky over safe choices. Uncertain RE-related activity in left ventrolateral prefrontal cortex and bilateral ventral striatum was positively associated with an ISS composite score, comprising impulsivity and sensation-seeking-fun-seeking subcomponents (ISSc; P</w:instrText>
      </w:r>
      <w:r w:rsidR="005024E2">
        <w:rPr>
          <w:rFonts w:ascii="Cambria Math" w:hAnsi="Cambria Math" w:cs="Cambria Math"/>
          <w:sz w:val="20"/>
          <w:szCs w:val="20"/>
          <w:lang w:val="en-US"/>
        </w:rPr>
        <w:instrText>⩽</w:instrText>
      </w:r>
      <w:r w:rsidR="005024E2">
        <w:rPr>
          <w:rFonts w:ascii="Arial" w:hAnsi="Arial" w:cs="Arial"/>
          <w:sz w:val="20"/>
          <w:szCs w:val="20"/>
          <w:lang w:val="en-US"/>
        </w:rPr>
        <w:instrText>0.001). Bias positively associated with sensation seeking-experience seeking (ES; P=0.003). This relationship was moderated by ISSc (P=0.009): it was evident only in high ISSc individuals. Whole-brain analyses showed a positive relationship between: uncertain RE-related left ventrolateral prefrontal cortical activity and ISSc; uncertain RE-related visual attention and motor preparation neural network activity and ES; and uncertain RE-related dorsal anterior cingulate cortical activity and bias, specifically in high ISSc participants (all ps&lt;0.05, peak-level, family-wise error corrected). We identify an indirect pathway linking greater levels of uncertain RE-related activity in reward, visual attention and motor networks with greater risky decision-making, via positive relationships with impulsivity, fun seeking and ES. These objective neural markers of high ISS can guide new treatment developments for young adults with high levels of this debilitating personality trait.","author":[{"dropping-particle":"","family":"Chase","given":"H. W.","non-dropping-particle":"","parse-names":false,"suffix":""},{"dropping-particle":"","family":"Fournier","given":"J. C.","non-dropping-particle":"","parse-names":false,"suffix":""},{"dropping-particle":"","family":"Bertocci","given":"M. A.","non-dropping-particle":"","parse-names":false,"suffix":""},{"dropping-particle":"","family":"Greenberg","given":"T.","non-dropping-particle":"","parse-names":false,"suffix":""},{"dropping-particle":"","family":"Aslam","given":"H.","non-dropping-particle":"","parse-names":false,"suffix":""},{"dropping-particle":"","family":"Stiffler","given":"R.","non-dropping-particle":"","parse-names":false,"suffix":""},{"dropping-particle":"","family":"Lockovich","given":"J.","non-dropping-particle":"","parse-names":false,"suffix":""},{"dropping-particle":"","family":"Graur","given":"S.","non-dropping-particle":"","parse-names":false,"suffix":""},{"dropping-particle":"","family":"Bebko","given":"G.","non-dropping-particle":"","parse-names":false,"suffix":""},{"dropping-particle":"","family":"Forbes","given":"E. E.","non-dropping-particle":"","parse-names":false,"suffix":""},{"dropping-particle":"","family":"Phillips","given":"M. L.","non-dropping-particle":"","parse-names":false,"suffix":""}],"container-title":"Translational Psychiatry","id":"ITEM-1","issue":"4","issued":{"date-parts":[["2017","4","18"]]},"page":"e1096","title":"A pathway linking reward circuitry, impulsive sensation-seeking and risky decision-making in young adults: identifying neural markers for new interventions","type":"article-journal","volume":"7"},"suppress-author":1,"uris":["http://www.mendeley.com/documents/?uuid=e7bed91f-7eeb-482e-8670-b3dfc86aaf0a"]}],"mendeley":{"formattedCitation":"(2017)","plainTextFormattedCitation":"(2017)","previouslyFormattedCitation":"(2017)"},"properties":{"noteIndex":0},"schema":"https://github.com/citation-style-language/schema/raw/master/csl-citation.json"}</w:instrText>
      </w:r>
      <w:r w:rsidRPr="00315A74">
        <w:rPr>
          <w:rFonts w:ascii="Arial" w:hAnsi="Arial" w:cs="Arial"/>
          <w:sz w:val="20"/>
          <w:szCs w:val="20"/>
          <w:lang w:val="en-US"/>
        </w:rPr>
        <w:fldChar w:fldCharType="separate"/>
      </w:r>
      <w:r w:rsidR="00FE3107" w:rsidRPr="00315A74">
        <w:rPr>
          <w:rFonts w:ascii="Arial" w:hAnsi="Arial" w:cs="Arial"/>
          <w:noProof/>
          <w:sz w:val="20"/>
          <w:szCs w:val="20"/>
          <w:lang w:val="en-US"/>
        </w:rPr>
        <w:t>(2017)</w:t>
      </w:r>
      <w:r w:rsidRPr="00315A74">
        <w:rPr>
          <w:rFonts w:ascii="Arial" w:hAnsi="Arial" w:cs="Arial"/>
          <w:sz w:val="20"/>
          <w:szCs w:val="20"/>
          <w:lang w:val="en-US"/>
        </w:rPr>
        <w:fldChar w:fldCharType="end"/>
      </w:r>
      <w:r w:rsidRPr="00315A74">
        <w:rPr>
          <w:rFonts w:ascii="Arial" w:hAnsi="Arial" w:cs="Arial"/>
          <w:sz w:val="20"/>
          <w:szCs w:val="20"/>
          <w:lang w:val="en-US"/>
        </w:rPr>
        <w:t xml:space="preserve"> and designed to assess neural responses to </w:t>
      </w:r>
      <w:r w:rsidR="000A7B87" w:rsidRPr="00315A74">
        <w:rPr>
          <w:rFonts w:ascii="Arial" w:hAnsi="Arial" w:cs="Arial"/>
          <w:sz w:val="20"/>
          <w:szCs w:val="20"/>
          <w:lang w:val="en-US"/>
        </w:rPr>
        <w:t>expected value (</w:t>
      </w:r>
      <w:r w:rsidRPr="00315A74">
        <w:rPr>
          <w:rFonts w:ascii="Arial" w:hAnsi="Arial" w:cs="Arial"/>
          <w:sz w:val="20"/>
          <w:szCs w:val="20"/>
          <w:lang w:val="en-US"/>
        </w:rPr>
        <w:t>EV</w:t>
      </w:r>
      <w:r w:rsidR="000A7B87" w:rsidRPr="00315A74">
        <w:rPr>
          <w:rFonts w:ascii="Arial" w:hAnsi="Arial" w:cs="Arial"/>
          <w:sz w:val="20"/>
          <w:szCs w:val="20"/>
          <w:lang w:val="en-US"/>
        </w:rPr>
        <w:t>)</w:t>
      </w:r>
      <w:r w:rsidRPr="00315A74">
        <w:rPr>
          <w:rFonts w:ascii="Arial" w:hAnsi="Arial" w:cs="Arial"/>
          <w:sz w:val="20"/>
          <w:szCs w:val="20"/>
          <w:lang w:val="en-US"/>
        </w:rPr>
        <w:t xml:space="preserve"> and </w:t>
      </w:r>
      <w:r w:rsidR="000A7B87" w:rsidRPr="00315A74">
        <w:rPr>
          <w:rFonts w:ascii="Arial" w:hAnsi="Arial" w:cs="Arial"/>
          <w:sz w:val="20"/>
          <w:szCs w:val="20"/>
          <w:lang w:val="en-US"/>
        </w:rPr>
        <w:t xml:space="preserve">reward prediction error </w:t>
      </w:r>
      <w:r w:rsidR="00111FCF">
        <w:rPr>
          <w:rFonts w:ascii="Arial" w:hAnsi="Arial" w:cs="Arial"/>
          <w:sz w:val="20"/>
          <w:szCs w:val="20"/>
          <w:lang w:val="en-US"/>
        </w:rPr>
        <w:t>(</w:t>
      </w:r>
      <w:r w:rsidRPr="00315A74">
        <w:rPr>
          <w:rFonts w:ascii="Arial" w:hAnsi="Arial" w:cs="Arial"/>
          <w:sz w:val="20"/>
          <w:szCs w:val="20"/>
          <w:lang w:val="en-US"/>
        </w:rPr>
        <w:t>RPE</w:t>
      </w:r>
      <w:r w:rsidR="00111FCF">
        <w:rPr>
          <w:rFonts w:ascii="Arial" w:hAnsi="Arial" w:cs="Arial"/>
          <w:sz w:val="20"/>
          <w:szCs w:val="20"/>
          <w:lang w:val="en-US"/>
        </w:rPr>
        <w:t xml:space="preserve">), </w:t>
      </w:r>
      <w:r w:rsidRPr="00315A74">
        <w:rPr>
          <w:rFonts w:ascii="Arial" w:hAnsi="Arial" w:cs="Arial"/>
          <w:sz w:val="20"/>
          <w:szCs w:val="20"/>
          <w:lang w:val="en-US"/>
        </w:rPr>
        <w:t xml:space="preserve">(Figure 1). Each trial started with a </w:t>
      </w:r>
      <w:r w:rsidRPr="00315A74">
        <w:rPr>
          <w:rFonts w:ascii="Arial" w:hAnsi="Arial" w:cs="Arial"/>
          <w:i/>
          <w:sz w:val="20"/>
          <w:szCs w:val="20"/>
          <w:lang w:val="en-US"/>
        </w:rPr>
        <w:t>choice</w:t>
      </w:r>
      <w:r w:rsidRPr="00315A74">
        <w:rPr>
          <w:rFonts w:ascii="Arial" w:hAnsi="Arial" w:cs="Arial"/>
          <w:sz w:val="20"/>
          <w:szCs w:val="20"/>
          <w:lang w:val="en-US"/>
        </w:rPr>
        <w:t xml:space="preserve"> event where the participant guessed by button press if the value of a card shown later will be higher or lower than 5. The choice was made visible by either the “high” or “low” words. The choice event had a fixed duration of 3 s. Next followed an </w:t>
      </w:r>
      <w:r w:rsidRPr="00315A74">
        <w:rPr>
          <w:rFonts w:ascii="Arial" w:hAnsi="Arial" w:cs="Arial"/>
          <w:i/>
          <w:sz w:val="20"/>
          <w:szCs w:val="20"/>
          <w:lang w:val="en-US"/>
        </w:rPr>
        <w:t>anticipation</w:t>
      </w:r>
      <w:r w:rsidRPr="00315A74">
        <w:rPr>
          <w:rFonts w:ascii="Arial" w:hAnsi="Arial" w:cs="Arial"/>
          <w:sz w:val="20"/>
          <w:szCs w:val="20"/>
          <w:lang w:val="en-US"/>
        </w:rPr>
        <w:t xml:space="preserve"> event when one of four possible prediction conditions symbols were shown with a jittered duration of 2-6 seconds: </w:t>
      </w:r>
      <w:proofErr w:type="spellStart"/>
      <w:r w:rsidRPr="00315A74">
        <w:rPr>
          <w:rFonts w:ascii="Arial" w:hAnsi="Arial" w:cs="Arial"/>
          <w:sz w:val="20"/>
          <w:szCs w:val="20"/>
          <w:lang w:val="en-US"/>
        </w:rPr>
        <w:t>i</w:t>
      </w:r>
      <w:proofErr w:type="spellEnd"/>
      <w:r w:rsidRPr="00315A74">
        <w:rPr>
          <w:rFonts w:ascii="Arial" w:hAnsi="Arial" w:cs="Arial"/>
          <w:sz w:val="20"/>
          <w:szCs w:val="20"/>
          <w:lang w:val="en-US"/>
        </w:rPr>
        <w:t xml:space="preserve">) a deck of cards accompanied by an arrow pointing upwards was associated with a possible gain or neutral outcome, ii) a deck of cards accompanied by an arrow pointing downwards was associated with a possible loss or neutral outcome, iii) a deck of cards accompanied by both an arrow pointing up -and downwards was associated with a possible gain or loss, and lastly iv) a deck of cards with no arrows represented no possible gain or loss. The trial ended with a predetermined outcome event when the value of the card to be guessed was shown for 500 </w:t>
      </w:r>
      <w:proofErr w:type="spellStart"/>
      <w:r w:rsidRPr="00315A74">
        <w:rPr>
          <w:rFonts w:ascii="Arial" w:hAnsi="Arial" w:cs="Arial"/>
          <w:sz w:val="20"/>
          <w:szCs w:val="20"/>
          <w:lang w:val="en-US"/>
        </w:rPr>
        <w:t>ms</w:t>
      </w:r>
      <w:proofErr w:type="spellEnd"/>
      <w:r w:rsidRPr="00315A74">
        <w:rPr>
          <w:rFonts w:ascii="Arial" w:hAnsi="Arial" w:cs="Arial"/>
          <w:sz w:val="20"/>
          <w:szCs w:val="20"/>
          <w:lang w:val="en-US"/>
        </w:rPr>
        <w:t xml:space="preserve"> followed by a feedback symbol for 500 </w:t>
      </w:r>
      <w:proofErr w:type="spellStart"/>
      <w:r w:rsidRPr="00315A74">
        <w:rPr>
          <w:rFonts w:ascii="Arial" w:hAnsi="Arial" w:cs="Arial"/>
          <w:sz w:val="20"/>
          <w:szCs w:val="20"/>
          <w:lang w:val="en-US"/>
        </w:rPr>
        <w:t>ms.</w:t>
      </w:r>
      <w:proofErr w:type="spellEnd"/>
      <w:r w:rsidRPr="00315A74">
        <w:rPr>
          <w:rFonts w:ascii="Arial" w:hAnsi="Arial" w:cs="Arial"/>
          <w:sz w:val="20"/>
          <w:szCs w:val="20"/>
          <w:lang w:val="en-US"/>
        </w:rPr>
        <w:t xml:space="preserve"> This value was a random number between 1-4 for low cards or 6-9 for high cards, and the feedback could be one of three symbols: a green dollar symbol accompanied by an arrow pointing upwards represented gain (6 DKK), a red dollar symbol with accompanied by an arrow pointing downwards represented loss (4.5 DKK), and a yellow circle represented neutral outcome (0 DKK). The feedback with either high or low cards was given so that each of the four reward anticipation conditions ended up with ten correct and ten incorrect trials. Between trials a fixation cross with duration of jittered 0.5-1.5 seconds was shown. The paradigm had a total duration of 12 minutes and consisted of 80 repetitions of the trial with each of the four different prediction conditions appearing 20 times in randomized order. Every participant received a net gain of 30 DKK following the fMRI investigation.</w:t>
      </w:r>
    </w:p>
    <w:p w14:paraId="1562BC7C" w14:textId="75A77814" w:rsidR="00AE399F" w:rsidRPr="00315A74" w:rsidRDefault="00AE399F" w:rsidP="00CE5BCE">
      <w:pPr>
        <w:spacing w:line="360" w:lineRule="auto"/>
        <w:rPr>
          <w:rFonts w:ascii="Arial" w:hAnsi="Arial" w:cs="Arial"/>
          <w:sz w:val="20"/>
          <w:szCs w:val="20"/>
          <w:lang w:val="en-US"/>
        </w:rPr>
      </w:pPr>
    </w:p>
    <w:p w14:paraId="6B007139" w14:textId="77777777" w:rsidR="00315A74" w:rsidRDefault="00315A74">
      <w:pPr>
        <w:rPr>
          <w:rFonts w:ascii="Arial" w:hAnsi="Arial" w:cs="Arial"/>
          <w:b/>
          <w:sz w:val="20"/>
          <w:szCs w:val="20"/>
          <w:lang w:val="en-US"/>
        </w:rPr>
      </w:pPr>
      <w:r>
        <w:rPr>
          <w:rFonts w:ascii="Arial" w:hAnsi="Arial" w:cs="Arial"/>
          <w:b/>
          <w:sz w:val="20"/>
          <w:szCs w:val="20"/>
          <w:lang w:val="en-US"/>
        </w:rPr>
        <w:br w:type="page"/>
      </w:r>
    </w:p>
    <w:p w14:paraId="30B7A3B6" w14:textId="378BD13B" w:rsidR="00D55950" w:rsidRPr="00315A74" w:rsidRDefault="00D55950" w:rsidP="00CE5BCE">
      <w:pPr>
        <w:spacing w:line="360" w:lineRule="auto"/>
        <w:jc w:val="both"/>
        <w:rPr>
          <w:rFonts w:ascii="Arial" w:hAnsi="Arial" w:cs="Arial"/>
          <w:b/>
          <w:sz w:val="20"/>
          <w:szCs w:val="20"/>
          <w:lang w:val="en-US"/>
        </w:rPr>
      </w:pPr>
      <w:bookmarkStart w:id="0" w:name="_GoBack"/>
      <w:bookmarkEnd w:id="0"/>
      <w:r w:rsidRPr="00315A74">
        <w:rPr>
          <w:rFonts w:ascii="Arial" w:hAnsi="Arial" w:cs="Arial"/>
          <w:b/>
          <w:sz w:val="20"/>
          <w:szCs w:val="20"/>
          <w:lang w:val="en-US"/>
        </w:rPr>
        <w:lastRenderedPageBreak/>
        <w:t xml:space="preserve">Definition of the </w:t>
      </w:r>
      <w:r w:rsidR="003158CB" w:rsidRPr="00315A74">
        <w:rPr>
          <w:rFonts w:ascii="Arial" w:hAnsi="Arial" w:cs="Arial"/>
          <w:b/>
          <w:sz w:val="20"/>
          <w:szCs w:val="20"/>
          <w:lang w:val="en-US"/>
        </w:rPr>
        <w:t>r</w:t>
      </w:r>
      <w:r w:rsidRPr="00315A74">
        <w:rPr>
          <w:rFonts w:ascii="Arial" w:hAnsi="Arial" w:cs="Arial"/>
          <w:b/>
          <w:sz w:val="20"/>
          <w:szCs w:val="20"/>
          <w:lang w:val="en-US"/>
        </w:rPr>
        <w:t>egions</w:t>
      </w:r>
      <w:r w:rsidR="003158CB" w:rsidRPr="00315A74">
        <w:rPr>
          <w:rFonts w:ascii="Arial" w:hAnsi="Arial" w:cs="Arial"/>
          <w:b/>
          <w:sz w:val="20"/>
          <w:szCs w:val="20"/>
          <w:lang w:val="en-US"/>
        </w:rPr>
        <w:t xml:space="preserve"> o</w:t>
      </w:r>
      <w:r w:rsidRPr="00315A74">
        <w:rPr>
          <w:rFonts w:ascii="Arial" w:hAnsi="Arial" w:cs="Arial"/>
          <w:b/>
          <w:sz w:val="20"/>
          <w:szCs w:val="20"/>
          <w:lang w:val="en-US"/>
        </w:rPr>
        <w:t>f</w:t>
      </w:r>
      <w:r w:rsidR="003158CB" w:rsidRPr="00315A74">
        <w:rPr>
          <w:rFonts w:ascii="Arial" w:hAnsi="Arial" w:cs="Arial"/>
          <w:b/>
          <w:sz w:val="20"/>
          <w:szCs w:val="20"/>
          <w:lang w:val="en-US"/>
        </w:rPr>
        <w:t xml:space="preserve"> i</w:t>
      </w:r>
      <w:r w:rsidR="00CE5BCE" w:rsidRPr="00315A74">
        <w:rPr>
          <w:rFonts w:ascii="Arial" w:hAnsi="Arial" w:cs="Arial"/>
          <w:b/>
          <w:sz w:val="20"/>
          <w:szCs w:val="20"/>
          <w:lang w:val="en-US"/>
        </w:rPr>
        <w:t>nterest</w:t>
      </w:r>
    </w:p>
    <w:p w14:paraId="10105A55" w14:textId="75CDD67A" w:rsidR="00CE5BCE" w:rsidRPr="00315A74" w:rsidRDefault="00CE5BCE" w:rsidP="00CE5BCE">
      <w:pPr>
        <w:spacing w:line="360" w:lineRule="auto"/>
        <w:jc w:val="both"/>
        <w:rPr>
          <w:rFonts w:ascii="Arial" w:hAnsi="Arial" w:cs="Arial"/>
          <w:sz w:val="20"/>
          <w:szCs w:val="20"/>
          <w:lang w:val="en-US"/>
        </w:rPr>
      </w:pPr>
      <w:r w:rsidRPr="00315A74">
        <w:rPr>
          <w:rFonts w:ascii="Arial" w:hAnsi="Arial" w:cs="Arial"/>
          <w:sz w:val="20"/>
          <w:szCs w:val="20"/>
          <w:lang w:val="en-US"/>
        </w:rPr>
        <w:t>Based on our a priori hypothesis</w:t>
      </w:r>
      <w:r w:rsidR="00157D47" w:rsidRPr="00315A74">
        <w:rPr>
          <w:rFonts w:ascii="Arial" w:hAnsi="Arial" w:cs="Arial"/>
          <w:sz w:val="20"/>
          <w:szCs w:val="20"/>
          <w:lang w:val="en-US"/>
        </w:rPr>
        <w:t xml:space="preserve"> (se Introduction)</w:t>
      </w:r>
      <w:r w:rsidRPr="00315A74">
        <w:rPr>
          <w:rFonts w:ascii="Arial" w:hAnsi="Arial" w:cs="Arial"/>
          <w:sz w:val="20"/>
          <w:szCs w:val="20"/>
          <w:lang w:val="en-US"/>
        </w:rPr>
        <w:t xml:space="preserve">, we </w:t>
      </w:r>
      <w:r w:rsidR="004E127F" w:rsidRPr="00315A74">
        <w:rPr>
          <w:rFonts w:ascii="Arial" w:hAnsi="Arial" w:cs="Arial"/>
          <w:sz w:val="20"/>
          <w:szCs w:val="20"/>
          <w:lang w:val="en-US"/>
        </w:rPr>
        <w:t>first</w:t>
      </w:r>
      <w:r w:rsidRPr="00315A74">
        <w:rPr>
          <w:rFonts w:ascii="Arial" w:hAnsi="Arial" w:cs="Arial"/>
          <w:sz w:val="20"/>
          <w:szCs w:val="20"/>
          <w:lang w:val="en-US"/>
        </w:rPr>
        <w:t xml:space="preserve"> limited our search</w:t>
      </w:r>
      <w:r w:rsidR="00D55950" w:rsidRPr="00315A74">
        <w:rPr>
          <w:rFonts w:ascii="Arial" w:hAnsi="Arial" w:cs="Arial"/>
          <w:sz w:val="20"/>
          <w:szCs w:val="20"/>
          <w:lang w:val="en-US"/>
        </w:rPr>
        <w:t xml:space="preserve"> volume</w:t>
      </w:r>
      <w:r w:rsidRPr="00315A74">
        <w:rPr>
          <w:rFonts w:ascii="Arial" w:hAnsi="Arial" w:cs="Arial"/>
          <w:sz w:val="20"/>
          <w:szCs w:val="20"/>
          <w:lang w:val="en-US"/>
        </w:rPr>
        <w:t xml:space="preserve"> for the encoding of the </w:t>
      </w:r>
      <w:r w:rsidR="00CB4309">
        <w:rPr>
          <w:rFonts w:ascii="Arial" w:hAnsi="Arial" w:cs="Arial"/>
          <w:sz w:val="20"/>
          <w:szCs w:val="20"/>
          <w:lang w:val="en-US"/>
        </w:rPr>
        <w:t>reward signals</w:t>
      </w:r>
      <w:r w:rsidRPr="00315A74">
        <w:rPr>
          <w:rFonts w:ascii="Arial" w:hAnsi="Arial" w:cs="Arial"/>
          <w:sz w:val="20"/>
          <w:szCs w:val="20"/>
          <w:lang w:val="en-US"/>
        </w:rPr>
        <w:t xml:space="preserve"> to</w:t>
      </w:r>
      <w:r w:rsidR="00CB4309">
        <w:rPr>
          <w:rFonts w:ascii="Arial" w:hAnsi="Arial" w:cs="Arial"/>
          <w:sz w:val="20"/>
          <w:szCs w:val="20"/>
          <w:lang w:val="en-US"/>
        </w:rPr>
        <w:t xml:space="preserve"> </w:t>
      </w:r>
      <w:r w:rsidR="00760F9E" w:rsidRPr="00315A74">
        <w:rPr>
          <w:rFonts w:ascii="Arial" w:hAnsi="Arial" w:cs="Arial"/>
          <w:sz w:val="20"/>
          <w:szCs w:val="20"/>
          <w:lang w:val="en-US"/>
        </w:rPr>
        <w:t xml:space="preserve">bilateral </w:t>
      </w:r>
      <w:r w:rsidR="00CB4309">
        <w:rPr>
          <w:rFonts w:ascii="Arial" w:hAnsi="Arial" w:cs="Arial"/>
          <w:sz w:val="20"/>
          <w:szCs w:val="20"/>
          <w:lang w:val="en-US"/>
        </w:rPr>
        <w:t>ventral striatum</w:t>
      </w:r>
      <w:r w:rsidR="00D55950" w:rsidRPr="00315A74">
        <w:rPr>
          <w:rFonts w:ascii="Arial" w:hAnsi="Arial" w:cs="Arial"/>
          <w:sz w:val="20"/>
          <w:szCs w:val="20"/>
          <w:lang w:val="en-US"/>
        </w:rPr>
        <w:t xml:space="preserve"> </w:t>
      </w:r>
      <w:r w:rsidR="000A7B87" w:rsidRPr="00315A74">
        <w:rPr>
          <w:rFonts w:ascii="Arial" w:hAnsi="Arial" w:cs="Arial"/>
          <w:sz w:val="20"/>
          <w:szCs w:val="20"/>
          <w:lang w:val="en-US"/>
        </w:rPr>
        <w:t>region-of-interest (</w:t>
      </w:r>
      <w:r w:rsidR="00D55950" w:rsidRPr="00315A74">
        <w:rPr>
          <w:rFonts w:ascii="Arial" w:hAnsi="Arial" w:cs="Arial"/>
          <w:sz w:val="20"/>
          <w:szCs w:val="20"/>
          <w:lang w:val="en-US"/>
        </w:rPr>
        <w:t>ROI</w:t>
      </w:r>
      <w:r w:rsidR="000A7B87" w:rsidRPr="00315A74">
        <w:rPr>
          <w:rFonts w:ascii="Arial" w:hAnsi="Arial" w:cs="Arial"/>
          <w:sz w:val="20"/>
          <w:szCs w:val="20"/>
          <w:lang w:val="en-US"/>
        </w:rPr>
        <w:t>)</w:t>
      </w:r>
      <w:r w:rsidRPr="00315A74">
        <w:rPr>
          <w:rFonts w:ascii="Arial" w:hAnsi="Arial" w:cs="Arial"/>
          <w:sz w:val="20"/>
          <w:szCs w:val="20"/>
          <w:lang w:val="en-US"/>
        </w:rPr>
        <w:t xml:space="preserve">. </w:t>
      </w:r>
      <w:r w:rsidR="00CB4309">
        <w:rPr>
          <w:rFonts w:ascii="Arial" w:hAnsi="Arial" w:cs="Arial"/>
          <w:sz w:val="20"/>
          <w:szCs w:val="20"/>
          <w:lang w:val="en-US"/>
        </w:rPr>
        <w:t xml:space="preserve">Ventral striatum was defined as nucleus accumbens according to the </w:t>
      </w:r>
      <w:r w:rsidR="005024E2" w:rsidRPr="005024E2">
        <w:rPr>
          <w:rFonts w:ascii="Arial" w:hAnsi="Arial" w:cs="Arial"/>
          <w:sz w:val="20"/>
          <w:szCs w:val="20"/>
          <w:lang w:val="en-US"/>
        </w:rPr>
        <w:t>Oxford-</w:t>
      </w:r>
      <w:proofErr w:type="spellStart"/>
      <w:r w:rsidR="005024E2" w:rsidRPr="005024E2">
        <w:rPr>
          <w:rFonts w:ascii="Arial" w:hAnsi="Arial" w:cs="Arial"/>
          <w:sz w:val="20"/>
          <w:szCs w:val="20"/>
          <w:lang w:val="en-US"/>
        </w:rPr>
        <w:t>Imanova</w:t>
      </w:r>
      <w:proofErr w:type="spellEnd"/>
      <w:r w:rsidR="005024E2" w:rsidRPr="005024E2">
        <w:rPr>
          <w:rFonts w:ascii="Arial" w:hAnsi="Arial" w:cs="Arial"/>
          <w:sz w:val="20"/>
          <w:szCs w:val="20"/>
          <w:lang w:val="en-US"/>
        </w:rPr>
        <w:t xml:space="preserve"> Striatal Structural Atlas </w:t>
      </w:r>
      <w:r w:rsidR="005024E2" w:rsidRPr="005024E2">
        <w:rPr>
          <w:rFonts w:ascii="Arial" w:hAnsi="Arial" w:cs="Arial"/>
          <w:sz w:val="20"/>
          <w:szCs w:val="20"/>
          <w:lang w:val="en-US"/>
        </w:rPr>
        <w:fldChar w:fldCharType="begin" w:fldLock="1"/>
      </w:r>
      <w:r w:rsidR="005024E2">
        <w:rPr>
          <w:rFonts w:ascii="Arial" w:hAnsi="Arial" w:cs="Arial"/>
          <w:sz w:val="20"/>
          <w:szCs w:val="20"/>
          <w:lang w:val="en-US"/>
        </w:rPr>
        <w:instrText>ADDIN CSL_CITATION {"citationItems":[{"id":"ITEM-1","itemData":{"DOI":"10.1016/j.neuroimage.2010.06.044","ISSN":"1095-9572","PMID":"20600980","abstract":"[(11)C]-(+)-PHNO is a D3 preferring PET radioligand which has recently opened the possibility of imaging D3 receptors in the human brain in vivo. This imaging tool allows characterisation of the distribution of D3 receptors in vivo and further investigation of their functional role. The specific [(11)C]-(+)-PHNO signal is a mixture of D3 and D2 components with the relative magnitude of each component determined by the regional receptor densities. An accurate and reproducible delineation of regions of interest (ROI) is therefore important for optimal analysis of human PET data. We present a set of anatomical guidelines for the delineation of D3 relevant ROIs including substantia nigra, hypothalamus, ventral pallidum/substantia innominata, ventral striatum, globus pallidus and thalamus. Delineation of these structures using this approach allowed for high intra- and inter-operator reproducibility. Subsequently we used a selective D3 antagonist to dissect the total [(11)C]-(+)-PHNO signal in each region into its D3 and D2 components and estimated the regional fraction of the D3 signal (f(PHNO)(D3)). In descending order of magnitude the following results for the f(PHNO)(D3) were obtained: hypothalamus=100%, substantia nigra=100%, ventral pallidum/substantia innominata=75%, globus pallidus=65%, thalamus=43%, ventral striatum=26% and precommissural-ventral putamen=6%. An automated approach for the delineation of these anatomical regions of interest was also developed and investigated in terms of its reproducibility and accuracy.","author":[{"dropping-particle":"","family":"Tziortzi","given":"Andri C","non-dropping-particle":"","parse-names":false,"suffix":""},{"dropping-particle":"","family":"Searle","given":"Graham E","non-dropping-particle":"","parse-names":false,"suffix":""},{"dropping-particle":"","family":"Tzimopoulou","given":"Sofia","non-dropping-particle":"","parse-names":false,"suffix":""},{"dropping-particle":"","family":"Salinas","given":"Cristian","non-dropping-particle":"","parse-names":false,"suffix":""},{"dropping-particle":"","family":"Beaver","given":"John D","non-dropping-particle":"","parse-names":false,"suffix":""},{"dropping-particle":"","family":"Jenkinson","given":"Mark","non-dropping-particle":"","parse-names":false,"suffix":""},{"dropping-particle":"","family":"Laruelle","given":"Marc","non-dropping-particle":"","parse-names":false,"suffix":""},{"dropping-particle":"","family":"Rabiner","given":"Eugenii A","non-dropping-particle":"","parse-names":false,"suffix":""},{"dropping-particle":"","family":"Gunn","given":"Roger N","non-dropping-particle":"","parse-names":false,"suffix":""}],"container-title":"NeuroImage","id":"ITEM-1","issue":"1","issued":{"date-parts":[["2011","1","1"]]},"page":"264-77","title":"Imaging dopamine receptors in humans with [11C]-(+)-PHNO: dissection of D3 signal and anatomy.","type":"article-journal","volume":"54"},"uris":["http://www.mendeley.com/documents/?uuid=3a464706-eab5-4cdb-b58f-22c50ab598ea"]}],"mendeley":{"formattedCitation":"(Tziortzi &lt;i&gt;et al.&lt;/i&gt; 2011)","plainTextFormattedCitation":"(Tziortzi et al. 2011)","previouslyFormattedCitation":"&lt;sup&gt;47&lt;/sup&gt;"},"properties":{"noteIndex":0},"schema":"https://github.com/citation-style-language/schema/raw/master/csl-citation.json"}</w:instrText>
      </w:r>
      <w:r w:rsidR="005024E2" w:rsidRPr="005024E2">
        <w:rPr>
          <w:rFonts w:ascii="Arial" w:hAnsi="Arial" w:cs="Arial"/>
          <w:sz w:val="20"/>
          <w:szCs w:val="20"/>
          <w:lang w:val="en-US"/>
        </w:rPr>
        <w:fldChar w:fldCharType="separate"/>
      </w:r>
      <w:r w:rsidR="005024E2" w:rsidRPr="005024E2">
        <w:rPr>
          <w:rFonts w:ascii="Arial" w:hAnsi="Arial" w:cs="Arial"/>
          <w:noProof/>
          <w:sz w:val="20"/>
          <w:szCs w:val="20"/>
          <w:lang w:val="en-US"/>
        </w:rPr>
        <w:t xml:space="preserve">(Tziortzi </w:t>
      </w:r>
      <w:r w:rsidR="005024E2" w:rsidRPr="005024E2">
        <w:rPr>
          <w:rFonts w:ascii="Arial" w:hAnsi="Arial" w:cs="Arial"/>
          <w:i/>
          <w:noProof/>
          <w:sz w:val="20"/>
          <w:szCs w:val="20"/>
          <w:lang w:val="en-US"/>
        </w:rPr>
        <w:t>et al.</w:t>
      </w:r>
      <w:r w:rsidR="005024E2" w:rsidRPr="005024E2">
        <w:rPr>
          <w:rFonts w:ascii="Arial" w:hAnsi="Arial" w:cs="Arial"/>
          <w:noProof/>
          <w:sz w:val="20"/>
          <w:szCs w:val="20"/>
          <w:lang w:val="en-US"/>
        </w:rPr>
        <w:t xml:space="preserve"> 2011)</w:t>
      </w:r>
      <w:r w:rsidR="005024E2" w:rsidRPr="005024E2">
        <w:rPr>
          <w:rFonts w:ascii="Arial" w:hAnsi="Arial" w:cs="Arial"/>
          <w:sz w:val="20"/>
          <w:szCs w:val="20"/>
          <w:lang w:val="en-US"/>
        </w:rPr>
        <w:fldChar w:fldCharType="end"/>
      </w:r>
      <w:r w:rsidR="005024E2" w:rsidRPr="005024E2">
        <w:rPr>
          <w:rFonts w:ascii="Arial" w:hAnsi="Arial" w:cs="Arial"/>
          <w:sz w:val="20"/>
          <w:szCs w:val="20"/>
          <w:lang w:val="en-US"/>
        </w:rPr>
        <w:t>.</w:t>
      </w:r>
      <w:r w:rsidR="005024E2">
        <w:rPr>
          <w:rFonts w:ascii="Arial" w:hAnsi="Arial" w:cs="Arial"/>
          <w:sz w:val="20"/>
          <w:szCs w:val="20"/>
          <w:lang w:val="en-US"/>
        </w:rPr>
        <w:t xml:space="preserve"> </w:t>
      </w:r>
      <w:r w:rsidR="004E127F" w:rsidRPr="00315A74">
        <w:rPr>
          <w:rFonts w:ascii="Arial" w:hAnsi="Arial" w:cs="Arial"/>
          <w:sz w:val="20"/>
          <w:szCs w:val="20"/>
          <w:lang w:val="en-US"/>
        </w:rPr>
        <w:t xml:space="preserve">We secondly explored for significant effects in the entire </w:t>
      </w:r>
      <w:r w:rsidR="000A7B87" w:rsidRPr="00315A74">
        <w:rPr>
          <w:rFonts w:ascii="Arial" w:hAnsi="Arial" w:cs="Arial"/>
          <w:sz w:val="20"/>
          <w:szCs w:val="20"/>
          <w:lang w:val="en-US"/>
        </w:rPr>
        <w:t>prefrontal cortex</w:t>
      </w:r>
      <w:r w:rsidR="004E127F" w:rsidRPr="00315A74">
        <w:rPr>
          <w:rFonts w:ascii="Arial" w:hAnsi="Arial" w:cs="Arial"/>
          <w:sz w:val="20"/>
          <w:szCs w:val="20"/>
          <w:lang w:val="en-US"/>
        </w:rPr>
        <w:t xml:space="preserve">. </w:t>
      </w:r>
      <w:r w:rsidRPr="00315A74">
        <w:rPr>
          <w:rFonts w:ascii="Arial" w:hAnsi="Arial" w:cs="Arial"/>
          <w:sz w:val="20"/>
          <w:szCs w:val="20"/>
          <w:lang w:val="en-US"/>
        </w:rPr>
        <w:t xml:space="preserve">The </w:t>
      </w:r>
      <w:r w:rsidR="000A7B87" w:rsidRPr="00315A74">
        <w:rPr>
          <w:rFonts w:ascii="Arial" w:hAnsi="Arial" w:cs="Arial"/>
          <w:sz w:val="20"/>
          <w:szCs w:val="20"/>
          <w:lang w:val="en-US"/>
        </w:rPr>
        <w:t>prefrontal cortex</w:t>
      </w:r>
      <w:r w:rsidRPr="00315A74">
        <w:rPr>
          <w:rFonts w:ascii="Arial" w:hAnsi="Arial" w:cs="Arial"/>
          <w:sz w:val="20"/>
          <w:szCs w:val="20"/>
          <w:lang w:val="en-US"/>
        </w:rPr>
        <w:t xml:space="preserve"> was defined by adding</w:t>
      </w:r>
      <w:r w:rsidR="00760F9E" w:rsidRPr="00315A74">
        <w:rPr>
          <w:rFonts w:ascii="Arial" w:hAnsi="Arial" w:cs="Arial"/>
          <w:sz w:val="20"/>
          <w:szCs w:val="20"/>
          <w:lang w:val="en-US"/>
        </w:rPr>
        <w:t xml:space="preserve"> bilateral </w:t>
      </w:r>
      <w:r w:rsidRPr="00315A74">
        <w:rPr>
          <w:rFonts w:ascii="Arial" w:hAnsi="Arial" w:cs="Arial"/>
          <w:sz w:val="20"/>
          <w:szCs w:val="20"/>
          <w:lang w:val="en-US"/>
        </w:rPr>
        <w:t xml:space="preserve">cortical regions anterior to the precentral sulcus: superior, middle and inferior frontal gyri, the frontal medial cortex, ventrolateral, medial orbitofrontal and </w:t>
      </w:r>
      <w:proofErr w:type="spellStart"/>
      <w:r w:rsidRPr="00315A74">
        <w:rPr>
          <w:rFonts w:ascii="Arial" w:hAnsi="Arial" w:cs="Arial"/>
          <w:sz w:val="20"/>
          <w:szCs w:val="20"/>
          <w:lang w:val="en-US"/>
        </w:rPr>
        <w:t>subgenual</w:t>
      </w:r>
      <w:proofErr w:type="spellEnd"/>
      <w:r w:rsidRPr="00315A74">
        <w:rPr>
          <w:rFonts w:ascii="Arial" w:hAnsi="Arial" w:cs="Arial"/>
          <w:sz w:val="20"/>
          <w:szCs w:val="20"/>
          <w:lang w:val="en-US"/>
        </w:rPr>
        <w:t xml:space="preserve"> cortices and the frontal poles. </w:t>
      </w:r>
      <w:r w:rsidR="004E127F" w:rsidRPr="00315A74">
        <w:rPr>
          <w:rFonts w:ascii="Arial" w:hAnsi="Arial" w:cs="Arial"/>
          <w:sz w:val="20"/>
          <w:szCs w:val="20"/>
          <w:lang w:val="en-US"/>
        </w:rPr>
        <w:t xml:space="preserve">The </w:t>
      </w:r>
      <w:r w:rsidR="000A7B87" w:rsidRPr="00315A74">
        <w:rPr>
          <w:rFonts w:ascii="Arial" w:hAnsi="Arial" w:cs="Arial"/>
          <w:sz w:val="20"/>
          <w:szCs w:val="20"/>
          <w:lang w:val="en-US"/>
        </w:rPr>
        <w:t>prefrontal</w:t>
      </w:r>
      <w:r w:rsidR="004E127F" w:rsidRPr="00315A74">
        <w:rPr>
          <w:rFonts w:ascii="Arial" w:hAnsi="Arial" w:cs="Arial"/>
          <w:sz w:val="20"/>
          <w:szCs w:val="20"/>
          <w:lang w:val="en-US"/>
        </w:rPr>
        <w:t xml:space="preserve"> ROI further included the insula and anterior cingulate cortex. </w:t>
      </w:r>
      <w:r w:rsidR="005024E2">
        <w:rPr>
          <w:rFonts w:ascii="Arial" w:hAnsi="Arial" w:cs="Arial"/>
          <w:sz w:val="20"/>
          <w:szCs w:val="20"/>
          <w:lang w:val="en-US"/>
        </w:rPr>
        <w:t>The prefrontal structures</w:t>
      </w:r>
      <w:r w:rsidRPr="00315A74">
        <w:rPr>
          <w:rFonts w:ascii="Arial" w:hAnsi="Arial" w:cs="Arial"/>
          <w:sz w:val="20"/>
          <w:szCs w:val="20"/>
          <w:lang w:val="en-US"/>
        </w:rPr>
        <w:t xml:space="preserve"> were based on the Howard-Oxford Cortical Structural Atlas </w:t>
      </w:r>
      <w:r w:rsidRPr="00315A74">
        <w:rPr>
          <w:rFonts w:ascii="Arial" w:hAnsi="Arial" w:cs="Arial"/>
          <w:sz w:val="20"/>
          <w:szCs w:val="20"/>
          <w:lang w:val="en-US"/>
        </w:rPr>
        <w:fldChar w:fldCharType="begin" w:fldLock="1"/>
      </w:r>
      <w:r w:rsidR="005024E2">
        <w:rPr>
          <w:rFonts w:ascii="Arial" w:hAnsi="Arial" w:cs="Arial"/>
          <w:sz w:val="20"/>
          <w:szCs w:val="20"/>
          <w:lang w:val="en-US"/>
        </w:rPr>
        <w:instrText>ADDIN CSL_CITATION {"citationItems":[{"id":"ITEM-1","itemData":{"DOI":"10.1016/j.neuroimage.2006.01.021","ISBN":"1053-8119 (Print)\\n1053-8119 (Linking)","ISSN":"10538119","PMID":"16530430","abstract":"In this study, we have assessed the validity and reliability of an automated labeling system that we have developed for subdividing the human cerebral cortex on magnetic resonance images into gyral based regions of interest (ROIs). Using a dataset of 40 MRI scans we manually identified 34 cortical ROIs in each of the individual hemispheres. This information was then encoded in the form of an atlas that was utilized to automatically label ROIs. To examine the validity, as well as the intra- and inter-rater reliability of the automated system, we used both intraclass correlation coefficients (ICC), and a new method known as mean distance maps, to assess the degree of mismatch between the manual and the automated sets of ROIs. When compared with the manual ROIs, the automated ROIs were highly accurate, with an average ICC of 0.835 across all of the ROIs, and a mean distance error of less than 1??mm. Intra- and inter-rater comparisons yielded little to no difference between the sets of ROIs. These findings suggest that the automated method we have developed for subdividing the human cerebral cortex into standard gyral-based neuroanatomical regions is both anatomically valid and reliable. This method may be useful for both morphometric and functional studies of the cerebral cortex as well as for clinical investigations aimed at tracking the evolution of disease-induced changes over time, including clinical trials in which MRI-based measures are used to examine response to treatment. ?? 2006 Elsevier Inc. All rights reserved.","author":[{"dropping-particle":"","family":"Desikan","given":"Rahul S.","non-dropping-particle":"","parse-names":false,"suffix":""},{"dropping-particle":"","family":"Ségonne","given":"Florent","non-dropping-particle":"","parse-names":false,"suffix":""},{"dropping-particle":"","family":"Fischl","given":"Bruce","non-dropping-particle":"","parse-names":false,"suffix":""},{"dropping-particle":"","family":"Quinn","given":"Brian T.","non-dropping-particle":"","parse-names":false,"suffix":""},{"dropping-particle":"","family":"Dickerson","given":"Bradford C.","non-dropping-particle":"","parse-names":false,"suffix":""},{"dropping-particle":"","family":"Blacker","given":"Deborah","non-dropping-particle":"","parse-names":false,"suffix":""},{"dropping-particle":"","family":"Buckner","given":"Randy L.","non-dropping-particle":"","parse-names":false,"suffix":""},{"dropping-particle":"","family":"Dale","given":"Anders M.","non-dropping-particle":"","parse-names":false,"suffix":""},{"dropping-particle":"","family":"Maguire","given":"R. Paul","non-dropping-particle":"","parse-names":false,"suffix":""},{"dropping-particle":"","family":"Hyman","given":"Bradley T.","non-dropping-particle":"","parse-names":false,"suffix":""},{"dropping-particle":"","family":"Albert","given":"Marilyn S.","non-dropping-particle":"","parse-names":false,"suffix":""},{"dropping-particle":"","family":"Killiany","given":"Ronald J.","non-dropping-particle":"","parse-names":false,"suffix":""}],"container-title":"NeuroImage","id":"ITEM-1","issue":"3","issued":{"date-parts":[["2006"]]},"page":"968-980","title":"An automated labeling system for subdividing the human cerebral cortex on MRI scans into gyral based regions of interest","type":"article-journal","volume":"31"},"uris":["http://www.mendeley.com/documents/?uuid=fbd56bfc-79a8-40a3-aa81-b9a90ac3da96"]}],"mendeley":{"formattedCitation":"(Desikan &lt;i&gt;et al.&lt;/i&gt; 2006)","plainTextFormattedCitation":"(Desikan et al. 2006)","previouslyFormattedCitation":"(Desikan &lt;i&gt;et al.&lt;/i&gt; 2006)"},"properties":{"noteIndex":0},"schema":"https://github.com/citation-style-language/schema/raw/master/csl-citation.json"}</w:instrText>
      </w:r>
      <w:r w:rsidRPr="00315A74">
        <w:rPr>
          <w:rFonts w:ascii="Arial" w:hAnsi="Arial" w:cs="Arial"/>
          <w:sz w:val="20"/>
          <w:szCs w:val="20"/>
          <w:lang w:val="en-US"/>
        </w:rPr>
        <w:fldChar w:fldCharType="separate"/>
      </w:r>
      <w:r w:rsidR="00FE3107" w:rsidRPr="00315A74">
        <w:rPr>
          <w:rFonts w:ascii="Arial" w:hAnsi="Arial" w:cs="Arial"/>
          <w:noProof/>
          <w:sz w:val="20"/>
          <w:szCs w:val="20"/>
          <w:lang w:val="en-US"/>
        </w:rPr>
        <w:t xml:space="preserve">(Desikan </w:t>
      </w:r>
      <w:r w:rsidR="00FE3107" w:rsidRPr="00315A74">
        <w:rPr>
          <w:rFonts w:ascii="Arial" w:hAnsi="Arial" w:cs="Arial"/>
          <w:i/>
          <w:noProof/>
          <w:sz w:val="20"/>
          <w:szCs w:val="20"/>
          <w:lang w:val="en-US"/>
        </w:rPr>
        <w:t>et al.</w:t>
      </w:r>
      <w:r w:rsidR="00FE3107" w:rsidRPr="00315A74">
        <w:rPr>
          <w:rFonts w:ascii="Arial" w:hAnsi="Arial" w:cs="Arial"/>
          <w:noProof/>
          <w:sz w:val="20"/>
          <w:szCs w:val="20"/>
          <w:lang w:val="en-US"/>
        </w:rPr>
        <w:t xml:space="preserve"> 2006)</w:t>
      </w:r>
      <w:r w:rsidRPr="00315A74">
        <w:rPr>
          <w:rFonts w:ascii="Arial" w:hAnsi="Arial" w:cs="Arial"/>
          <w:sz w:val="20"/>
          <w:szCs w:val="20"/>
          <w:lang w:val="en-US"/>
        </w:rPr>
        <w:fldChar w:fldCharType="end"/>
      </w:r>
      <w:r w:rsidRPr="00315A74">
        <w:rPr>
          <w:rFonts w:ascii="Arial" w:hAnsi="Arial" w:cs="Arial"/>
          <w:sz w:val="20"/>
          <w:szCs w:val="20"/>
          <w:lang w:val="en-US"/>
        </w:rPr>
        <w:t xml:space="preserve"> thresholded at 25%. </w:t>
      </w:r>
      <w:r w:rsidR="005024E2" w:rsidRPr="00315A74">
        <w:rPr>
          <w:rFonts w:ascii="Arial" w:hAnsi="Arial" w:cs="Arial"/>
          <w:sz w:val="20"/>
          <w:szCs w:val="20"/>
          <w:lang w:val="en-US"/>
        </w:rPr>
        <w:t xml:space="preserve">The ROIs were generated using the </w:t>
      </w:r>
      <w:proofErr w:type="spellStart"/>
      <w:r w:rsidR="005024E2" w:rsidRPr="00315A74">
        <w:rPr>
          <w:rFonts w:ascii="Arial" w:hAnsi="Arial" w:cs="Arial"/>
          <w:sz w:val="20"/>
          <w:szCs w:val="20"/>
          <w:lang w:val="en-US"/>
        </w:rPr>
        <w:t>FSLeyes</w:t>
      </w:r>
      <w:proofErr w:type="spellEnd"/>
      <w:r w:rsidR="005024E2" w:rsidRPr="00315A74">
        <w:rPr>
          <w:rFonts w:ascii="Arial" w:hAnsi="Arial" w:cs="Arial"/>
          <w:sz w:val="20"/>
          <w:szCs w:val="20"/>
          <w:lang w:val="en-US"/>
        </w:rPr>
        <w:t xml:space="preserve"> tool </w:t>
      </w:r>
      <w:r w:rsidR="005024E2">
        <w:rPr>
          <w:rFonts w:ascii="Arial" w:hAnsi="Arial" w:cs="Arial"/>
          <w:sz w:val="20"/>
          <w:szCs w:val="20"/>
          <w:lang w:val="en-US"/>
        </w:rPr>
        <w:t xml:space="preserve">in </w:t>
      </w:r>
      <w:r w:rsidR="005024E2" w:rsidRPr="00315A74">
        <w:rPr>
          <w:rFonts w:ascii="Arial" w:hAnsi="Arial" w:cs="Arial"/>
          <w:sz w:val="20"/>
          <w:szCs w:val="20"/>
          <w:lang w:val="en-US"/>
        </w:rPr>
        <w:t>FSL 6.0.1</w:t>
      </w:r>
      <w:r w:rsidR="005024E2">
        <w:rPr>
          <w:rFonts w:ascii="Arial" w:hAnsi="Arial" w:cs="Arial"/>
          <w:sz w:val="20"/>
          <w:szCs w:val="20"/>
          <w:lang w:val="en-US"/>
        </w:rPr>
        <w:t>.</w:t>
      </w:r>
    </w:p>
    <w:p w14:paraId="5E6620DB" w14:textId="77777777" w:rsidR="00AE399F" w:rsidRPr="00315A74" w:rsidRDefault="00AE399F" w:rsidP="00CE5BCE">
      <w:pPr>
        <w:spacing w:line="360" w:lineRule="auto"/>
        <w:jc w:val="both"/>
        <w:rPr>
          <w:rFonts w:ascii="Arial" w:hAnsi="Arial" w:cs="Arial"/>
          <w:sz w:val="20"/>
          <w:szCs w:val="20"/>
          <w:lang w:val="en-US"/>
        </w:rPr>
      </w:pPr>
    </w:p>
    <w:p w14:paraId="0F075152" w14:textId="77777777" w:rsidR="00575999" w:rsidRPr="00315A74" w:rsidRDefault="00575999" w:rsidP="00CE5BCE">
      <w:pPr>
        <w:spacing w:line="360" w:lineRule="auto"/>
        <w:jc w:val="both"/>
        <w:rPr>
          <w:rFonts w:ascii="Arial" w:hAnsi="Arial" w:cs="Arial"/>
          <w:sz w:val="20"/>
          <w:szCs w:val="20"/>
          <w:lang w:val="en-US"/>
        </w:rPr>
      </w:pPr>
    </w:p>
    <w:p w14:paraId="26C76F83" w14:textId="77777777" w:rsidR="00575999" w:rsidRPr="00315A74" w:rsidRDefault="00575999" w:rsidP="00CE5BCE">
      <w:pPr>
        <w:spacing w:line="360" w:lineRule="auto"/>
        <w:jc w:val="both"/>
        <w:rPr>
          <w:rFonts w:ascii="Arial" w:hAnsi="Arial" w:cs="Arial"/>
          <w:b/>
          <w:sz w:val="20"/>
          <w:szCs w:val="20"/>
          <w:lang w:val="en-US"/>
        </w:rPr>
      </w:pPr>
      <w:r w:rsidRPr="00315A74">
        <w:rPr>
          <w:rFonts w:ascii="Arial" w:hAnsi="Arial" w:cs="Arial"/>
          <w:b/>
          <w:sz w:val="20"/>
          <w:szCs w:val="20"/>
          <w:lang w:val="en-US"/>
        </w:rPr>
        <w:t>Reference</w:t>
      </w:r>
    </w:p>
    <w:p w14:paraId="028840AA" w14:textId="4029B662" w:rsidR="005024E2" w:rsidRPr="005024E2" w:rsidRDefault="004514D7" w:rsidP="005024E2">
      <w:pPr>
        <w:widowControl w:val="0"/>
        <w:autoSpaceDE w:val="0"/>
        <w:autoSpaceDN w:val="0"/>
        <w:adjustRightInd w:val="0"/>
        <w:spacing w:line="360" w:lineRule="auto"/>
        <w:rPr>
          <w:rFonts w:ascii="Arial" w:hAnsi="Arial" w:cs="Arial"/>
          <w:noProof/>
          <w:sz w:val="20"/>
          <w:lang w:val="en-US"/>
        </w:rPr>
      </w:pPr>
      <w:r w:rsidRPr="00315A74">
        <w:rPr>
          <w:rFonts w:ascii="Arial" w:hAnsi="Arial" w:cs="Arial"/>
          <w:sz w:val="20"/>
          <w:szCs w:val="20"/>
          <w:lang w:val="en-US"/>
        </w:rPr>
        <w:fldChar w:fldCharType="begin" w:fldLock="1"/>
      </w:r>
      <w:r w:rsidRPr="00315A74">
        <w:rPr>
          <w:rFonts w:ascii="Arial" w:hAnsi="Arial" w:cs="Arial"/>
          <w:sz w:val="20"/>
          <w:szCs w:val="20"/>
          <w:lang w:val="en-US"/>
        </w:rPr>
        <w:instrText xml:space="preserve">ADDIN Mendeley Bibliography CSL_BIBLIOGRAPHY </w:instrText>
      </w:r>
      <w:r w:rsidRPr="00315A74">
        <w:rPr>
          <w:rFonts w:ascii="Arial" w:hAnsi="Arial" w:cs="Arial"/>
          <w:sz w:val="20"/>
          <w:szCs w:val="20"/>
          <w:lang w:val="en-US"/>
        </w:rPr>
        <w:fldChar w:fldCharType="separate"/>
      </w:r>
      <w:r w:rsidR="005024E2" w:rsidRPr="005024E2">
        <w:rPr>
          <w:rFonts w:ascii="Arial" w:hAnsi="Arial" w:cs="Arial"/>
          <w:b/>
          <w:bCs/>
          <w:noProof/>
          <w:sz w:val="20"/>
          <w:lang w:val="en-US"/>
        </w:rPr>
        <w:t>Chase HW, Fournier JC, Bertocci MA, Greenberg T, Aslam H, Stiffler R, Lockovich J, Graur S, Bebko G, Forbes EE, Phillips ML</w:t>
      </w:r>
      <w:r w:rsidR="005024E2" w:rsidRPr="005024E2">
        <w:rPr>
          <w:rFonts w:ascii="Arial" w:hAnsi="Arial" w:cs="Arial"/>
          <w:noProof/>
          <w:sz w:val="20"/>
          <w:lang w:val="en-US"/>
        </w:rPr>
        <w:t xml:space="preserve"> (2017). A pathway linking reward circuitry, impulsive sensation-seeking and risky decision-making in young adults: identifying neural markers for new interventions. </w:t>
      </w:r>
      <w:r w:rsidR="005024E2" w:rsidRPr="005024E2">
        <w:rPr>
          <w:rFonts w:ascii="Arial" w:hAnsi="Arial" w:cs="Arial"/>
          <w:i/>
          <w:iCs/>
          <w:noProof/>
          <w:sz w:val="20"/>
          <w:lang w:val="en-US"/>
        </w:rPr>
        <w:t>Translational Psychiatry</w:t>
      </w:r>
      <w:r w:rsidR="005024E2" w:rsidRPr="005024E2">
        <w:rPr>
          <w:rFonts w:ascii="Arial" w:hAnsi="Arial" w:cs="Arial"/>
          <w:noProof/>
          <w:sz w:val="20"/>
          <w:lang w:val="en-US"/>
        </w:rPr>
        <w:t xml:space="preserve"> </w:t>
      </w:r>
      <w:r w:rsidR="005024E2" w:rsidRPr="005024E2">
        <w:rPr>
          <w:rFonts w:ascii="Arial" w:hAnsi="Arial" w:cs="Arial"/>
          <w:b/>
          <w:bCs/>
          <w:noProof/>
          <w:sz w:val="20"/>
          <w:lang w:val="en-US"/>
        </w:rPr>
        <w:t>7</w:t>
      </w:r>
      <w:r w:rsidR="005024E2" w:rsidRPr="005024E2">
        <w:rPr>
          <w:rFonts w:ascii="Arial" w:hAnsi="Arial" w:cs="Arial"/>
          <w:noProof/>
          <w:sz w:val="20"/>
          <w:lang w:val="en-US"/>
        </w:rPr>
        <w:t>, e1096.</w:t>
      </w:r>
    </w:p>
    <w:p w14:paraId="40255867" w14:textId="77777777" w:rsidR="005024E2" w:rsidRPr="005024E2" w:rsidRDefault="005024E2" w:rsidP="005024E2">
      <w:pPr>
        <w:widowControl w:val="0"/>
        <w:autoSpaceDE w:val="0"/>
        <w:autoSpaceDN w:val="0"/>
        <w:adjustRightInd w:val="0"/>
        <w:spacing w:line="360" w:lineRule="auto"/>
        <w:rPr>
          <w:rFonts w:ascii="Arial" w:hAnsi="Arial" w:cs="Arial"/>
          <w:noProof/>
          <w:sz w:val="20"/>
          <w:lang w:val="en-US"/>
        </w:rPr>
      </w:pPr>
      <w:r w:rsidRPr="005024E2">
        <w:rPr>
          <w:rFonts w:ascii="Arial" w:hAnsi="Arial" w:cs="Arial"/>
          <w:b/>
          <w:bCs/>
          <w:noProof/>
          <w:sz w:val="20"/>
          <w:lang w:val="en-US"/>
        </w:rPr>
        <w:t>Desikan RS, Ségonne F, Fischl B, Quinn BT, Dickerson BC, Blacker D, Buckner RL, Dale AM, Maguire RP, Hyman BT, Albert MS, Killiany RJ</w:t>
      </w:r>
      <w:r w:rsidRPr="005024E2">
        <w:rPr>
          <w:rFonts w:ascii="Arial" w:hAnsi="Arial" w:cs="Arial"/>
          <w:noProof/>
          <w:sz w:val="20"/>
          <w:lang w:val="en-US"/>
        </w:rPr>
        <w:t xml:space="preserve"> (2006). An automated labeling system for subdividing the human cerebral cortex on MRI scans into gyral based regions of interest. </w:t>
      </w:r>
      <w:r w:rsidRPr="005024E2">
        <w:rPr>
          <w:rFonts w:ascii="Arial" w:hAnsi="Arial" w:cs="Arial"/>
          <w:i/>
          <w:iCs/>
          <w:noProof/>
          <w:sz w:val="20"/>
          <w:lang w:val="en-US"/>
        </w:rPr>
        <w:t>NeuroImage</w:t>
      </w:r>
      <w:r w:rsidRPr="005024E2">
        <w:rPr>
          <w:rFonts w:ascii="Arial" w:hAnsi="Arial" w:cs="Arial"/>
          <w:noProof/>
          <w:sz w:val="20"/>
          <w:lang w:val="en-US"/>
        </w:rPr>
        <w:t xml:space="preserve"> </w:t>
      </w:r>
      <w:r w:rsidRPr="005024E2">
        <w:rPr>
          <w:rFonts w:ascii="Arial" w:hAnsi="Arial" w:cs="Arial"/>
          <w:b/>
          <w:bCs/>
          <w:noProof/>
          <w:sz w:val="20"/>
          <w:lang w:val="en-US"/>
        </w:rPr>
        <w:t>31</w:t>
      </w:r>
      <w:r w:rsidRPr="005024E2">
        <w:rPr>
          <w:rFonts w:ascii="Arial" w:hAnsi="Arial" w:cs="Arial"/>
          <w:noProof/>
          <w:sz w:val="20"/>
          <w:lang w:val="en-US"/>
        </w:rPr>
        <w:t>, 968–980.</w:t>
      </w:r>
    </w:p>
    <w:p w14:paraId="73BD4C6C" w14:textId="77777777" w:rsidR="005024E2" w:rsidRPr="005024E2" w:rsidRDefault="005024E2" w:rsidP="005024E2">
      <w:pPr>
        <w:widowControl w:val="0"/>
        <w:autoSpaceDE w:val="0"/>
        <w:autoSpaceDN w:val="0"/>
        <w:adjustRightInd w:val="0"/>
        <w:spacing w:line="360" w:lineRule="auto"/>
        <w:rPr>
          <w:rFonts w:ascii="Arial" w:hAnsi="Arial" w:cs="Arial"/>
          <w:noProof/>
          <w:sz w:val="20"/>
        </w:rPr>
      </w:pPr>
      <w:r w:rsidRPr="005024E2">
        <w:rPr>
          <w:rFonts w:ascii="Arial" w:hAnsi="Arial" w:cs="Arial"/>
          <w:b/>
          <w:bCs/>
          <w:noProof/>
          <w:sz w:val="20"/>
          <w:lang w:val="en-US"/>
        </w:rPr>
        <w:t>Tziortzi AC, Searle GE, Tzimopoulou S, Salinas C, Beaver JD, Jenkinson M, Laruelle M, Rabiner EA, Gunn RN</w:t>
      </w:r>
      <w:r w:rsidRPr="005024E2">
        <w:rPr>
          <w:rFonts w:ascii="Arial" w:hAnsi="Arial" w:cs="Arial"/>
          <w:noProof/>
          <w:sz w:val="20"/>
          <w:lang w:val="en-US"/>
        </w:rPr>
        <w:t xml:space="preserve"> (2011). Imaging dopamine receptors in humans with [11C]-(+)-PHNO: dissection of D3 signal and anatomy. </w:t>
      </w:r>
      <w:r w:rsidRPr="005024E2">
        <w:rPr>
          <w:rFonts w:ascii="Arial" w:hAnsi="Arial" w:cs="Arial"/>
          <w:i/>
          <w:iCs/>
          <w:noProof/>
          <w:sz w:val="20"/>
          <w:lang w:val="en-US"/>
        </w:rPr>
        <w:t>NeuroImage</w:t>
      </w:r>
      <w:r w:rsidRPr="005024E2">
        <w:rPr>
          <w:rFonts w:ascii="Arial" w:hAnsi="Arial" w:cs="Arial"/>
          <w:noProof/>
          <w:sz w:val="20"/>
          <w:lang w:val="en-US"/>
        </w:rPr>
        <w:t xml:space="preserve"> </w:t>
      </w:r>
      <w:r w:rsidRPr="005024E2">
        <w:rPr>
          <w:rFonts w:ascii="Arial" w:hAnsi="Arial" w:cs="Arial"/>
          <w:b/>
          <w:bCs/>
          <w:noProof/>
          <w:sz w:val="20"/>
          <w:lang w:val="en-US"/>
        </w:rPr>
        <w:t>54</w:t>
      </w:r>
      <w:r w:rsidRPr="005024E2">
        <w:rPr>
          <w:rFonts w:ascii="Arial" w:hAnsi="Arial" w:cs="Arial"/>
          <w:noProof/>
          <w:sz w:val="20"/>
          <w:lang w:val="en-US"/>
        </w:rPr>
        <w:t>, 264–77.</w:t>
      </w:r>
    </w:p>
    <w:p w14:paraId="10015D20" w14:textId="43E58E13" w:rsidR="004514D7" w:rsidRPr="00315A74" w:rsidRDefault="004514D7" w:rsidP="005024E2">
      <w:pPr>
        <w:widowControl w:val="0"/>
        <w:autoSpaceDE w:val="0"/>
        <w:autoSpaceDN w:val="0"/>
        <w:adjustRightInd w:val="0"/>
        <w:spacing w:line="360" w:lineRule="auto"/>
        <w:rPr>
          <w:rFonts w:ascii="Arial" w:hAnsi="Arial" w:cs="Arial"/>
          <w:sz w:val="20"/>
          <w:szCs w:val="20"/>
          <w:lang w:val="en-US"/>
        </w:rPr>
      </w:pPr>
      <w:r w:rsidRPr="00315A74">
        <w:rPr>
          <w:rFonts w:ascii="Arial" w:hAnsi="Arial" w:cs="Arial"/>
          <w:sz w:val="20"/>
          <w:szCs w:val="20"/>
          <w:lang w:val="en-US"/>
        </w:rPr>
        <w:fldChar w:fldCharType="end"/>
      </w:r>
    </w:p>
    <w:p w14:paraId="1F5E500C" w14:textId="77777777" w:rsidR="00575999" w:rsidRPr="00315A74" w:rsidRDefault="00575999" w:rsidP="00CE5BCE">
      <w:pPr>
        <w:spacing w:line="360" w:lineRule="auto"/>
        <w:jc w:val="both"/>
        <w:rPr>
          <w:rFonts w:ascii="Arial" w:hAnsi="Arial" w:cs="Arial"/>
          <w:sz w:val="20"/>
          <w:szCs w:val="20"/>
          <w:lang w:val="en-US"/>
        </w:rPr>
      </w:pPr>
    </w:p>
    <w:p w14:paraId="0031916A" w14:textId="77777777" w:rsidR="00CE5BCE" w:rsidRPr="00315A74" w:rsidRDefault="00CE5BCE" w:rsidP="00CE5BCE">
      <w:pPr>
        <w:spacing w:line="360" w:lineRule="auto"/>
        <w:rPr>
          <w:rFonts w:ascii="Arial" w:hAnsi="Arial" w:cs="Arial"/>
          <w:sz w:val="20"/>
          <w:szCs w:val="20"/>
          <w:lang w:val="en-US"/>
        </w:rPr>
      </w:pPr>
    </w:p>
    <w:sectPr w:rsidR="00CE5BCE" w:rsidRPr="00315A74" w:rsidSect="00E1535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C0"/>
    <w:rsid w:val="0000503D"/>
    <w:rsid w:val="00026D73"/>
    <w:rsid w:val="000A7B87"/>
    <w:rsid w:val="000C37DA"/>
    <w:rsid w:val="001001D3"/>
    <w:rsid w:val="00111FCF"/>
    <w:rsid w:val="00157D47"/>
    <w:rsid w:val="001936FF"/>
    <w:rsid w:val="00195DE1"/>
    <w:rsid w:val="00222652"/>
    <w:rsid w:val="002C2F65"/>
    <w:rsid w:val="002D67C3"/>
    <w:rsid w:val="003158CB"/>
    <w:rsid w:val="00315A74"/>
    <w:rsid w:val="004514D7"/>
    <w:rsid w:val="004E127F"/>
    <w:rsid w:val="005024E2"/>
    <w:rsid w:val="00575999"/>
    <w:rsid w:val="00655073"/>
    <w:rsid w:val="00760F9E"/>
    <w:rsid w:val="00764DC0"/>
    <w:rsid w:val="007D11BF"/>
    <w:rsid w:val="008C1A50"/>
    <w:rsid w:val="008F59A4"/>
    <w:rsid w:val="0097493E"/>
    <w:rsid w:val="00A75FE6"/>
    <w:rsid w:val="00AE399F"/>
    <w:rsid w:val="00B61D9B"/>
    <w:rsid w:val="00C16926"/>
    <w:rsid w:val="00C3633F"/>
    <w:rsid w:val="00CB4309"/>
    <w:rsid w:val="00CC7A70"/>
    <w:rsid w:val="00CE5BCE"/>
    <w:rsid w:val="00D55950"/>
    <w:rsid w:val="00E1535E"/>
    <w:rsid w:val="00E62AD9"/>
    <w:rsid w:val="00F37A84"/>
    <w:rsid w:val="00FC3A24"/>
    <w:rsid w:val="00FD6993"/>
    <w:rsid w:val="00FE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5E3F"/>
  <w14:defaultImageDpi w14:val="32767"/>
  <w15:chartTrackingRefBased/>
  <w15:docId w15:val="{F35E82DF-4532-904A-B24A-CF4EF55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BCE"/>
    <w:rPr>
      <w:rFonts w:ascii="Times New Roman" w:eastAsia="Times New Roman" w:hAnsi="Times New Roman" w:cs="Times New Roman"/>
      <w:lang w:val="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3769-5C8B-2B47-B58A-22CAD184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Macoveanu</dc:creator>
  <cp:keywords/>
  <dc:description/>
  <cp:lastModifiedBy>Julian Macoveanu</cp:lastModifiedBy>
  <cp:revision>6</cp:revision>
  <dcterms:created xsi:type="dcterms:W3CDTF">2019-11-14T18:18:00Z</dcterms:created>
  <dcterms:modified xsi:type="dcterms:W3CDTF">2019-11-14T18:39:00Z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http://www.zotero.org/styles/biological-psychiatry</vt:lpwstr>
  </property>
  <property fmtid="{D5CDD505-2E9C-101B-9397-08002B2CF9AE}" pid="3" name="Mendeley Recent Style Name 0_1">
    <vt:lpwstr>Biological Psychiatry</vt:lpwstr>
  </property>
  <property fmtid="{D5CDD505-2E9C-101B-9397-08002B2CF9AE}" pid="4" name="Mendeley Recent Style Id 1_1">
    <vt:lpwstr>http://www.zotero.org/styles/harvard1</vt:lpwstr>
  </property>
  <property fmtid="{D5CDD505-2E9C-101B-9397-08002B2CF9AE}" pid="5" name="Mendeley Recent Style Name 1_1">
    <vt:lpwstr>Harvard reference format 1 (deprecated)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http://www.zotero.org/styles/international-journal-of-bipolar-disorders</vt:lpwstr>
  </property>
  <property fmtid="{D5CDD505-2E9C-101B-9397-08002B2CF9AE}" pid="9" name="Mendeley Recent Style Name 3_1">
    <vt:lpwstr>International Journal of Bipolar Disorders</vt:lpwstr>
  </property>
  <property fmtid="{D5CDD505-2E9C-101B-9397-08002B2CF9AE}" pid="10" name="Mendeley Recent Style Id 4_1">
    <vt:lpwstr>http://www.zotero.org/styles/jama</vt:lpwstr>
  </property>
  <property fmtid="{D5CDD505-2E9C-101B-9397-08002B2CF9AE}" pid="11" name="Mendeley Recent Style Name 4_1">
    <vt:lpwstr>JAMA (The Journal of the American Medical Association)</vt:lpwstr>
  </property>
  <property fmtid="{D5CDD505-2E9C-101B-9397-08002B2CF9AE}" pid="12" name="Mendeley Recent Style Id 5_1">
    <vt:lpwstr>http://www.zotero.org/styles/journal-of-psychiatry-and-neuroscience</vt:lpwstr>
  </property>
  <property fmtid="{D5CDD505-2E9C-101B-9397-08002B2CF9AE}" pid="13" name="Mendeley Recent Style Name 5_1">
    <vt:lpwstr>Journal of Psychiatry &amp; Neuroscience</vt:lpwstr>
  </property>
  <property fmtid="{D5CDD505-2E9C-101B-9397-08002B2CF9AE}" pid="14" name="Mendeley Recent Style Id 6_1">
    <vt:lpwstr>http://www.zotero.org/styles/journal-of-psychophysiology</vt:lpwstr>
  </property>
  <property fmtid="{D5CDD505-2E9C-101B-9397-08002B2CF9AE}" pid="15" name="Mendeley Recent Style Name 6_1">
    <vt:lpwstr>Journal of Psychophysiology</vt:lpwstr>
  </property>
  <property fmtid="{D5CDD505-2E9C-101B-9397-08002B2CF9AE}" pid="16" name="Mendeley Recent Style Id 7_1">
    <vt:lpwstr>http://www.zotero.org/styles/nature-neuroscience</vt:lpwstr>
  </property>
  <property fmtid="{D5CDD505-2E9C-101B-9397-08002B2CF9AE}" pid="17" name="Mendeley Recent Style Name 7_1">
    <vt:lpwstr>Nature Neuroscience</vt:lpwstr>
  </property>
  <property fmtid="{D5CDD505-2E9C-101B-9397-08002B2CF9AE}" pid="18" name="Mendeley Recent Style Id 8_1">
    <vt:lpwstr>http://www.zotero.org/styles/psychological-medicine</vt:lpwstr>
  </property>
  <property fmtid="{D5CDD505-2E9C-101B-9397-08002B2CF9AE}" pid="19" name="Mendeley Recent Style Name 8_1">
    <vt:lpwstr>Psychological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http://www.zotero.org/styles/psychological-medicine</vt:lpwstr>
  </property>
  <property fmtid="{D5CDD505-2E9C-101B-9397-08002B2CF9AE}" pid="23" name="Mendeley Document_1">
    <vt:lpwstr>True</vt:lpwstr>
  </property>
  <property fmtid="{D5CDD505-2E9C-101B-9397-08002B2CF9AE}" pid="24" name="Mendeley Unique User Id_1">
    <vt:lpwstr>80240010-e2d7-3542-a2cd-5290bf7eac82</vt:lpwstr>
  </property>
</Properties>
</file>