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CBE77" w14:textId="32CD266A" w:rsidR="00684086" w:rsidRPr="00063BD9" w:rsidRDefault="00684086" w:rsidP="00684086">
      <w:pPr>
        <w:pStyle w:val="NormalWeb"/>
        <w:widowControl w:val="0"/>
        <w:snapToGrid w:val="0"/>
        <w:spacing w:before="0" w:beforeAutospacing="0" w:after="0" w:afterAutospacing="0" w:line="480" w:lineRule="auto"/>
        <w:jc w:val="center"/>
      </w:pPr>
      <w:bookmarkStart w:id="0" w:name="_GoBack"/>
      <w:bookmarkEnd w:id="0"/>
      <w:r>
        <w:rPr>
          <w:b/>
        </w:rPr>
        <w:t>Sample 1</w:t>
      </w:r>
    </w:p>
    <w:p w14:paraId="63342295" w14:textId="77777777" w:rsidR="00684086" w:rsidRPr="00063BD9" w:rsidRDefault="00684086" w:rsidP="00684086">
      <w:pPr>
        <w:widowControl w:val="0"/>
        <w:snapToGrid w:val="0"/>
        <w:spacing w:line="480" w:lineRule="auto"/>
        <w:ind w:firstLine="720"/>
      </w:pPr>
      <w:r w:rsidRPr="00063BD9">
        <w:t>The distribution of sex/</w:t>
      </w:r>
      <w:r>
        <w:t>age</w:t>
      </w:r>
      <w:r w:rsidRPr="00063BD9">
        <w:t xml:space="preserve"> categories for which there was maximum phallometric response among the 902 patients was as follows: 444 (49.2%) had their maximum response to stimuli depicting adult females; 108 (12.0%) to pubescent females; 92 (10.2%) to older prepubescent females; 38 (4.2%) to younger prepubescent females; 28 (3.1%) to younger prepubescent males; 14 (1.6%) to older prepubescent males; 108 (12.0%) to pubescent males; and 41 (4.5%) to adult males. There were 29 patients whose maximum response was tied between at least two categories, and they were not counted in the aforementioned distribution report.</w:t>
      </w:r>
      <w:r>
        <w:t xml:space="preserve"> </w:t>
      </w:r>
      <w:r>
        <w:tab/>
      </w:r>
    </w:p>
    <w:p w14:paraId="5A3479A2" w14:textId="5384269C" w:rsidR="00684086" w:rsidRPr="00063BD9" w:rsidRDefault="00684086" w:rsidP="00684086">
      <w:pPr>
        <w:pStyle w:val="NormalWeb"/>
        <w:widowControl w:val="0"/>
        <w:snapToGrid w:val="0"/>
        <w:spacing w:before="0" w:beforeAutospacing="0" w:after="0" w:afterAutospacing="0" w:line="480" w:lineRule="auto"/>
        <w:jc w:val="center"/>
      </w:pPr>
      <w:r>
        <w:rPr>
          <w:b/>
        </w:rPr>
        <w:t>Sample 2</w:t>
      </w:r>
    </w:p>
    <w:p w14:paraId="4A813808" w14:textId="77777777" w:rsidR="00684086" w:rsidRPr="00063BD9" w:rsidRDefault="00684086" w:rsidP="00684086">
      <w:pPr>
        <w:widowControl w:val="0"/>
        <w:snapToGrid w:val="0"/>
        <w:spacing w:line="480" w:lineRule="auto"/>
        <w:ind w:firstLine="720"/>
      </w:pPr>
      <w:r w:rsidRPr="00063BD9">
        <w:t>The distribution of sex/maturity categories for which there was maximum phallometric response among the 2,278 patients was as follows: 1,062 (46.6%) had their maximum response to stimuli depicting adult females; 767 (33.7%) to pubescent females; 131 (5.8%) to prepubescent females; 111 (4.9%) to prepubescent males; 94 (4.1%) to pubescent males; and 101 (4.4%) to adult males. There were 12 patients whose maximum response was tied between at least two categories, and they were not counted in the aforementioned distribution report.</w:t>
      </w:r>
    </w:p>
    <w:p w14:paraId="347C722E" w14:textId="7F6228EE" w:rsidR="00684086" w:rsidRPr="00063BD9" w:rsidRDefault="00684086" w:rsidP="00684086">
      <w:pPr>
        <w:pStyle w:val="NormalWeb"/>
        <w:widowControl w:val="0"/>
        <w:snapToGrid w:val="0"/>
        <w:spacing w:before="0" w:beforeAutospacing="0" w:after="0" w:afterAutospacing="0" w:line="480" w:lineRule="auto"/>
        <w:jc w:val="center"/>
      </w:pPr>
      <w:r>
        <w:rPr>
          <w:b/>
        </w:rPr>
        <w:t>Sample 3</w:t>
      </w:r>
    </w:p>
    <w:p w14:paraId="09FCA63F" w14:textId="76444A9B" w:rsidR="00684086" w:rsidRDefault="00684086" w:rsidP="00684086">
      <w:pPr>
        <w:widowControl w:val="0"/>
        <w:spacing w:line="480" w:lineRule="auto"/>
        <w:ind w:firstLine="720"/>
      </w:pPr>
      <w:r w:rsidRPr="00063BD9">
        <w:t>Across the sample, there were 2,008</w:t>
      </w:r>
      <w:r>
        <w:t xml:space="preserve"> sexual</w:t>
      </w:r>
      <w:r w:rsidRPr="00063BD9">
        <w:t xml:space="preserve"> offenses against adult females, 135 against adult males, 705 against adolescent females, 194 against adolescent males, 1,056 against pubescent females, 435 against pubescent males, 1,967 against prepubescent females, and 833 against prepubescent males. The total exceeds the number of subjects</w:t>
      </w:r>
      <w:r>
        <w:t>,</w:t>
      </w:r>
      <w:r w:rsidRPr="00063BD9">
        <w:t xml:space="preserve"> because some subjects offended against multiple individuals. </w:t>
      </w:r>
    </w:p>
    <w:p w14:paraId="5270B2FE" w14:textId="1489862E" w:rsidR="00684086" w:rsidRPr="00063BD9" w:rsidRDefault="00684086" w:rsidP="00684086">
      <w:pPr>
        <w:pStyle w:val="NormalWeb"/>
        <w:widowControl w:val="0"/>
        <w:snapToGrid w:val="0"/>
        <w:spacing w:before="0" w:beforeAutospacing="0" w:after="0" w:afterAutospacing="0" w:line="480" w:lineRule="auto"/>
        <w:jc w:val="center"/>
      </w:pPr>
      <w:r>
        <w:rPr>
          <w:b/>
        </w:rPr>
        <w:t xml:space="preserve">Sample </w:t>
      </w:r>
      <w:r w:rsidR="007A219F">
        <w:rPr>
          <w:b/>
        </w:rPr>
        <w:t>4</w:t>
      </w:r>
    </w:p>
    <w:p w14:paraId="217C3A60" w14:textId="77777777" w:rsidR="007A219F" w:rsidRPr="00063BD9" w:rsidRDefault="007A219F" w:rsidP="007A219F">
      <w:pPr>
        <w:widowControl w:val="0"/>
        <w:spacing w:line="480" w:lineRule="auto"/>
        <w:ind w:firstLine="720"/>
      </w:pPr>
      <w:r w:rsidRPr="00063BD9">
        <w:lastRenderedPageBreak/>
        <w:t>With respect to the category of person</w:t>
      </w:r>
      <w:r>
        <w:t>s that</w:t>
      </w:r>
      <w:r w:rsidRPr="00063BD9">
        <w:t xml:space="preserve"> </w:t>
      </w:r>
      <w:r>
        <w:t>participant</w:t>
      </w:r>
      <w:r w:rsidRPr="00063BD9">
        <w:t>s rated as most sexually attractive, 340 (28.6%) were prepubescent females, 218 (18.3%) were prepubescent males, 328 (27.6%) were pubescent females, 429 (36.1%) were pubescent males, 125 (10.5%) were adolescent females, 95 (8.0%) were adolescent males, 162 (13.6%) were adult females, and 64 (5.4%) were adult males. These numbers exceeded 1,189 (100</w:t>
      </w:r>
      <w:r>
        <w:t>.0</w:t>
      </w:r>
      <w:r w:rsidRPr="00063BD9">
        <w:t>%) because some men had more than one top-rated category (i.e., a tie between two or more categories).</w:t>
      </w:r>
    </w:p>
    <w:p w14:paraId="7B16B40D" w14:textId="77777777" w:rsidR="003C2D16" w:rsidRDefault="00E0249D" w:rsidP="007A219F">
      <w:pPr>
        <w:widowControl w:val="0"/>
        <w:spacing w:line="480" w:lineRule="auto"/>
        <w:ind w:firstLine="720"/>
      </w:pPr>
    </w:p>
    <w:sectPr w:rsidR="003C2D16" w:rsidSect="00297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86"/>
    <w:rsid w:val="001A09AE"/>
    <w:rsid w:val="00297D8E"/>
    <w:rsid w:val="004D5CEF"/>
    <w:rsid w:val="00684086"/>
    <w:rsid w:val="007A219F"/>
    <w:rsid w:val="00D67CFA"/>
    <w:rsid w:val="00E0249D"/>
    <w:rsid w:val="00FD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6106E9"/>
  <w15:chartTrackingRefBased/>
  <w15:docId w15:val="{A8045A9A-1D3B-284C-B781-76928F8B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40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0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Bailey</dc:creator>
  <cp:keywords/>
  <dc:description/>
  <cp:lastModifiedBy>Mike Bailey</cp:lastModifiedBy>
  <cp:revision>2</cp:revision>
  <dcterms:created xsi:type="dcterms:W3CDTF">2020-02-13T17:47:00Z</dcterms:created>
  <dcterms:modified xsi:type="dcterms:W3CDTF">2020-02-13T17:47:00Z</dcterms:modified>
</cp:coreProperties>
</file>