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22" w:rsidRPr="00524E30" w:rsidRDefault="00241622" w:rsidP="00AE33B9">
      <w:pPr>
        <w:spacing w:before="120" w:after="120"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24E30">
        <w:rPr>
          <w:rFonts w:ascii="Arial" w:hAnsi="Arial" w:cs="Arial"/>
          <w:b/>
          <w:color w:val="000000"/>
          <w:sz w:val="20"/>
          <w:szCs w:val="20"/>
        </w:rPr>
        <w:t>Supplementary Information</w:t>
      </w:r>
    </w:p>
    <w:p w:rsidR="00A32CF1" w:rsidRPr="00524E30" w:rsidRDefault="00A32CF1" w:rsidP="00AE33B9">
      <w:pPr>
        <w:spacing w:before="120" w:after="120"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color w:val="000000"/>
          <w:sz w:val="20"/>
          <w:szCs w:val="20"/>
        </w:rPr>
        <w:t>Predicting the naturalistic course in anxiety disorders using clinical and biological markers: a machine learning approach</w:t>
      </w:r>
      <w:r w:rsidRPr="00524E30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:rsidR="00A32CF1" w:rsidRPr="00524E30" w:rsidRDefault="00A32CF1" w:rsidP="00AE33B9">
      <w:pPr>
        <w:spacing w:after="0" w:line="480" w:lineRule="auto"/>
        <w:rPr>
          <w:rFonts w:ascii="Times New Roman"/>
          <w:sz w:val="24"/>
          <w:szCs w:val="24"/>
        </w:rPr>
      </w:pPr>
    </w:p>
    <w:p w:rsidR="00A32CF1" w:rsidRPr="00524E30" w:rsidRDefault="00A32CF1" w:rsidP="00AE33B9">
      <w:pPr>
        <w:spacing w:before="120" w:after="120" w:line="480" w:lineRule="auto"/>
        <w:rPr>
          <w:rFonts w:ascii="Times New Roman"/>
          <w:sz w:val="24"/>
          <w:szCs w:val="24"/>
        </w:rPr>
      </w:pPr>
      <w:proofErr w:type="spellStart"/>
      <w:r w:rsidRPr="00524E30">
        <w:rPr>
          <w:rFonts w:ascii="Arial" w:hAnsi="Arial" w:cs="Arial"/>
          <w:color w:val="000000"/>
          <w:sz w:val="20"/>
          <w:szCs w:val="20"/>
        </w:rPr>
        <w:t>Wicher</w:t>
      </w:r>
      <w:proofErr w:type="spellEnd"/>
      <w:r w:rsidRPr="00524E30">
        <w:rPr>
          <w:rFonts w:ascii="Arial" w:hAnsi="Arial" w:cs="Arial"/>
          <w:color w:val="000000"/>
          <w:sz w:val="20"/>
          <w:szCs w:val="20"/>
        </w:rPr>
        <w:t xml:space="preserve"> A. Bokma</w:t>
      </w:r>
      <w:r w:rsidRPr="00524E30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1,2</w:t>
      </w:r>
      <w:r w:rsidRPr="00524E30">
        <w:rPr>
          <w:rFonts w:ascii="Arial" w:hAnsi="Arial" w:cs="Arial"/>
          <w:i/>
          <w:iCs/>
          <w:color w:val="000000"/>
          <w:sz w:val="12"/>
          <w:szCs w:val="12"/>
          <w:vertAlign w:val="superscript"/>
        </w:rPr>
        <w:t xml:space="preserve"> </w:t>
      </w:r>
      <w:r w:rsidRPr="00524E30">
        <w:rPr>
          <w:rFonts w:ascii="Arial" w:hAnsi="Arial" w:cs="Arial"/>
          <w:color w:val="000000"/>
          <w:sz w:val="20"/>
          <w:szCs w:val="20"/>
        </w:rPr>
        <w:t>MD</w:t>
      </w:r>
      <w:r w:rsidRPr="00524E30">
        <w:rPr>
          <w:rFonts w:ascii="Times New Roman"/>
          <w:sz w:val="24"/>
          <w:szCs w:val="24"/>
        </w:rPr>
        <w:t xml:space="preserve">, </w:t>
      </w:r>
      <w:r w:rsidRPr="00524E30">
        <w:rPr>
          <w:rFonts w:ascii="Arial" w:hAnsi="Arial" w:cs="Arial"/>
          <w:color w:val="000000"/>
          <w:sz w:val="20"/>
          <w:szCs w:val="20"/>
        </w:rPr>
        <w:t>Paul Zhutovsky</w:t>
      </w:r>
      <w:r w:rsidRPr="00524E30">
        <w:rPr>
          <w:rFonts w:ascii="Arial" w:hAnsi="Arial" w:cs="Arial"/>
          <w:b/>
          <w:bCs/>
          <w:color w:val="000000"/>
          <w:sz w:val="20"/>
          <w:szCs w:val="20"/>
        </w:rPr>
        <w:t>§</w:t>
      </w: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3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 MSc</w:t>
      </w:r>
      <w:r w:rsidRPr="00524E30">
        <w:rPr>
          <w:rFonts w:ascii="Times New Roman"/>
          <w:sz w:val="24"/>
          <w:szCs w:val="24"/>
        </w:rPr>
        <w:t xml:space="preserve">, </w:t>
      </w:r>
      <w:r w:rsidRPr="00524E30">
        <w:rPr>
          <w:rFonts w:ascii="Arial" w:hAnsi="Arial" w:cs="Arial"/>
          <w:color w:val="000000"/>
          <w:sz w:val="20"/>
          <w:szCs w:val="20"/>
          <w:lang w:val="de-DE"/>
        </w:rPr>
        <w:t>Erik J. Giltay</w:t>
      </w: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val="de-DE"/>
        </w:rPr>
        <w:t>4</w:t>
      </w:r>
      <w:r w:rsidRPr="00524E30">
        <w:rPr>
          <w:rFonts w:ascii="Arial" w:hAnsi="Arial" w:cs="Arial"/>
          <w:i/>
          <w:iCs/>
          <w:color w:val="000000"/>
          <w:sz w:val="12"/>
          <w:szCs w:val="12"/>
          <w:vertAlign w:val="superscript"/>
          <w:lang w:val="de-DE"/>
        </w:rPr>
        <w:t xml:space="preserve"> </w:t>
      </w:r>
      <w:r w:rsidRPr="00524E30">
        <w:rPr>
          <w:rFonts w:ascii="Arial" w:hAnsi="Arial" w:cs="Arial"/>
          <w:color w:val="000000"/>
          <w:sz w:val="20"/>
          <w:szCs w:val="20"/>
          <w:lang w:val="de-DE"/>
        </w:rPr>
        <w:t xml:space="preserve">MD, </w:t>
      </w:r>
      <w:proofErr w:type="spellStart"/>
      <w:r w:rsidRPr="00524E30">
        <w:rPr>
          <w:rFonts w:ascii="Arial" w:hAnsi="Arial" w:cs="Arial"/>
          <w:color w:val="000000"/>
          <w:sz w:val="20"/>
          <w:szCs w:val="20"/>
          <w:lang w:val="de-DE"/>
        </w:rPr>
        <w:t>PhD</w:t>
      </w:r>
      <w:proofErr w:type="spellEnd"/>
      <w:r w:rsidRPr="00524E30">
        <w:rPr>
          <w:rFonts w:ascii="Times New Roman"/>
          <w:sz w:val="24"/>
          <w:szCs w:val="24"/>
        </w:rPr>
        <w:t xml:space="preserve">, </w:t>
      </w:r>
      <w:r w:rsidRPr="00524E30">
        <w:rPr>
          <w:rFonts w:ascii="Arial" w:hAnsi="Arial" w:cs="Arial"/>
          <w:color w:val="000000"/>
          <w:sz w:val="20"/>
          <w:szCs w:val="20"/>
          <w:lang w:val="de-DE"/>
        </w:rPr>
        <w:t>Robert A. Schoevers</w:t>
      </w: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val="de-DE"/>
        </w:rPr>
        <w:t xml:space="preserve">5 </w:t>
      </w:r>
      <w:r w:rsidRPr="00524E30">
        <w:rPr>
          <w:rFonts w:ascii="Arial" w:hAnsi="Arial" w:cs="Arial"/>
          <w:color w:val="000000"/>
          <w:sz w:val="20"/>
          <w:szCs w:val="20"/>
          <w:lang w:val="de-DE"/>
        </w:rPr>
        <w:t xml:space="preserve">MD, </w:t>
      </w:r>
      <w:proofErr w:type="spellStart"/>
      <w:r w:rsidRPr="00524E30">
        <w:rPr>
          <w:rFonts w:ascii="Arial" w:hAnsi="Arial" w:cs="Arial"/>
          <w:color w:val="000000"/>
          <w:sz w:val="20"/>
          <w:szCs w:val="20"/>
          <w:lang w:val="de-DE"/>
        </w:rPr>
        <w:t>PhD</w:t>
      </w:r>
      <w:proofErr w:type="spellEnd"/>
      <w:r w:rsidRPr="00524E30">
        <w:rPr>
          <w:rFonts w:ascii="Times New Roman"/>
          <w:sz w:val="24"/>
          <w:szCs w:val="24"/>
        </w:rPr>
        <w:t xml:space="preserve">, </w:t>
      </w:r>
      <w:r w:rsidRPr="00524E30">
        <w:rPr>
          <w:rFonts w:ascii="Arial" w:hAnsi="Arial" w:cs="Arial"/>
          <w:color w:val="000000"/>
          <w:sz w:val="20"/>
          <w:szCs w:val="20"/>
        </w:rPr>
        <w:t>Brenda W.J.H. Penninx</w:t>
      </w: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1,2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 PhD</w:t>
      </w:r>
      <w:r w:rsidRPr="00524E30">
        <w:rPr>
          <w:rFonts w:ascii="Times New Roman"/>
          <w:sz w:val="24"/>
          <w:szCs w:val="24"/>
        </w:rPr>
        <w:t xml:space="preserve">, </w:t>
      </w:r>
      <w:r w:rsidRPr="00524E30">
        <w:rPr>
          <w:rFonts w:ascii="Arial" w:hAnsi="Arial" w:cs="Arial"/>
          <w:color w:val="000000"/>
          <w:sz w:val="20"/>
          <w:szCs w:val="20"/>
        </w:rPr>
        <w:t>Anton L.J.M. van Balkom</w:t>
      </w: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1,2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 MD, PhD, </w:t>
      </w:r>
      <w:proofErr w:type="spellStart"/>
      <w:r w:rsidRPr="00524E30">
        <w:rPr>
          <w:rFonts w:ascii="Arial" w:hAnsi="Arial" w:cs="Arial"/>
          <w:color w:val="000000"/>
          <w:sz w:val="20"/>
          <w:szCs w:val="20"/>
        </w:rPr>
        <w:t>Neeltje</w:t>
      </w:r>
      <w:proofErr w:type="spellEnd"/>
      <w:r w:rsidRPr="00524E30">
        <w:rPr>
          <w:rFonts w:ascii="Arial" w:hAnsi="Arial" w:cs="Arial"/>
          <w:color w:val="000000"/>
          <w:sz w:val="20"/>
          <w:szCs w:val="20"/>
        </w:rPr>
        <w:t xml:space="preserve"> M. Batelaan</w:t>
      </w:r>
      <w:r w:rsidRPr="00524E3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§</w:t>
      </w: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1,2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 MD, PhD</w:t>
      </w:r>
      <w:r w:rsidRPr="00524E30">
        <w:rPr>
          <w:rFonts w:ascii="Times New Roman"/>
          <w:sz w:val="24"/>
          <w:szCs w:val="24"/>
        </w:rPr>
        <w:t xml:space="preserve">, 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Guido </w:t>
      </w:r>
      <w:r w:rsidR="00690AD6" w:rsidRPr="00524E30">
        <w:rPr>
          <w:rFonts w:ascii="Arial" w:hAnsi="Arial" w:cs="Arial"/>
          <w:color w:val="000000"/>
          <w:sz w:val="20"/>
          <w:szCs w:val="20"/>
        </w:rPr>
        <w:t xml:space="preserve">A. </w:t>
      </w:r>
      <w:r w:rsidRPr="00524E30">
        <w:rPr>
          <w:rFonts w:ascii="Arial" w:hAnsi="Arial" w:cs="Arial"/>
          <w:color w:val="000000"/>
          <w:sz w:val="20"/>
          <w:szCs w:val="20"/>
        </w:rPr>
        <w:t>van Wingen</w:t>
      </w:r>
      <w:r w:rsidRPr="00524E3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§</w:t>
      </w: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3 </w:t>
      </w:r>
      <w:r w:rsidRPr="00524E30">
        <w:rPr>
          <w:rFonts w:ascii="Arial" w:hAnsi="Arial" w:cs="Arial"/>
          <w:color w:val="000000"/>
          <w:sz w:val="20"/>
          <w:szCs w:val="20"/>
        </w:rPr>
        <w:t>PhD</w:t>
      </w:r>
    </w:p>
    <w:p w:rsidR="00A32CF1" w:rsidRPr="00524E30" w:rsidRDefault="00A32CF1" w:rsidP="00AE33B9">
      <w:pPr>
        <w:spacing w:before="120" w:after="120"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1 </w:t>
      </w: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 xml:space="preserve">Department of Psychiatry, Amsterdam UMC, </w:t>
      </w:r>
      <w:proofErr w:type="spellStart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Vrije</w:t>
      </w:r>
      <w:proofErr w:type="spellEnd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Universiteit</w:t>
      </w:r>
      <w:proofErr w:type="spellEnd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, Amsterdam Public Health research institute, The Netherlands.</w:t>
      </w:r>
    </w:p>
    <w:p w:rsidR="00A32CF1" w:rsidRPr="00524E30" w:rsidRDefault="00A32CF1" w:rsidP="00AE33B9">
      <w:pPr>
        <w:spacing w:before="120" w:after="120"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 w:rsidRPr="00524E30">
        <w:rPr>
          <w:rFonts w:ascii="Arial" w:hAnsi="Arial" w:cs="Arial"/>
          <w:i/>
          <w:iCs/>
          <w:color w:val="000000"/>
          <w:sz w:val="12"/>
          <w:szCs w:val="12"/>
          <w:vertAlign w:val="superscript"/>
        </w:rPr>
        <w:t xml:space="preserve"> </w:t>
      </w: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 xml:space="preserve">GGZ </w:t>
      </w:r>
      <w:proofErr w:type="spellStart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inGeest</w:t>
      </w:r>
      <w:proofErr w:type="spellEnd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 xml:space="preserve"> Specialized Mental Health Care, Amsterdam, The Netherlands.</w:t>
      </w:r>
    </w:p>
    <w:p w:rsidR="00A32CF1" w:rsidRPr="00524E30" w:rsidRDefault="00A32CF1" w:rsidP="00AE33B9">
      <w:pPr>
        <w:spacing w:before="120" w:after="120"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3 </w:t>
      </w: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Department of Psychiatry, Amsterdam UMC, Location AMC, University of Amsterdam, Amsterdam Neuroscience, Amsterdam, The Netherlands.</w:t>
      </w:r>
    </w:p>
    <w:p w:rsidR="00A32CF1" w:rsidRPr="00524E30" w:rsidRDefault="00A32CF1" w:rsidP="00AE33B9">
      <w:pPr>
        <w:spacing w:before="120" w:after="120"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 xml:space="preserve">4 </w:t>
      </w: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 xml:space="preserve">Department of Psychiatry, Leiden University Medical </w:t>
      </w:r>
      <w:proofErr w:type="spellStart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Center</w:t>
      </w:r>
      <w:proofErr w:type="spellEnd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 xml:space="preserve"> (LUMC), Leiden, The Netherlands.</w:t>
      </w:r>
    </w:p>
    <w:p w:rsidR="00A32CF1" w:rsidRPr="00524E30" w:rsidRDefault="00A32CF1" w:rsidP="00AE33B9">
      <w:pPr>
        <w:spacing w:before="120" w:after="120" w:line="48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524E30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5</w:t>
      </w:r>
      <w:r w:rsidRPr="00524E30">
        <w:rPr>
          <w:rFonts w:ascii="Arial" w:hAnsi="Arial" w:cs="Arial"/>
          <w:i/>
          <w:iCs/>
          <w:color w:val="000000"/>
          <w:sz w:val="12"/>
          <w:szCs w:val="12"/>
          <w:vertAlign w:val="superscript"/>
        </w:rPr>
        <w:t xml:space="preserve"> </w:t>
      </w: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 xml:space="preserve">Department of Psychiatry, University Medical </w:t>
      </w:r>
      <w:proofErr w:type="spellStart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Center</w:t>
      </w:r>
      <w:proofErr w:type="spellEnd"/>
      <w:r w:rsidRPr="00524E30">
        <w:rPr>
          <w:rFonts w:ascii="Arial" w:hAnsi="Arial" w:cs="Arial"/>
          <w:i/>
          <w:iCs/>
          <w:color w:val="000000"/>
          <w:sz w:val="20"/>
          <w:szCs w:val="20"/>
        </w:rPr>
        <w:t xml:space="preserve"> Groningen, Groningen, The Netherlands. </w:t>
      </w:r>
    </w:p>
    <w:p w:rsidR="00A32CF1" w:rsidRPr="00524E30" w:rsidRDefault="00A32CF1" w:rsidP="00AE33B9">
      <w:pPr>
        <w:spacing w:before="120" w:after="120" w:line="48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524E3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§ both authors contributed equally</w:t>
      </w:r>
    </w:p>
    <w:p w:rsidR="00A32CF1" w:rsidRPr="00524E30" w:rsidRDefault="00A32CF1" w:rsidP="00AE33B9">
      <w:pPr>
        <w:spacing w:before="120" w:after="120" w:line="48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A32CF1" w:rsidRPr="00524E30" w:rsidRDefault="008F40E2" w:rsidP="00AE33B9">
      <w:pPr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 w:rsidRPr="00524E30">
        <w:rPr>
          <w:rFonts w:ascii="Arial" w:hAnsi="Arial" w:cs="Arial"/>
          <w:b/>
          <w:color w:val="000000"/>
          <w:sz w:val="20"/>
          <w:szCs w:val="20"/>
        </w:rPr>
        <w:t xml:space="preserve">Supplementary </w:t>
      </w:r>
      <w:r w:rsidR="00A32CF1" w:rsidRPr="00524E30">
        <w:rPr>
          <w:rFonts w:ascii="Arial" w:hAnsi="Arial" w:cs="Arial"/>
          <w:b/>
          <w:color w:val="000000"/>
          <w:sz w:val="20"/>
          <w:szCs w:val="20"/>
        </w:rPr>
        <w:t>Methods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bCs/>
          <w:i/>
          <w:sz w:val="20"/>
          <w:szCs w:val="20"/>
          <w:lang w:val="en-US"/>
        </w:rPr>
      </w:pPr>
      <w:r w:rsidRPr="00524E30">
        <w:rPr>
          <w:rFonts w:ascii="Arial" w:hAnsi="Arial" w:cs="Arial"/>
          <w:bCs/>
          <w:i/>
          <w:sz w:val="20"/>
          <w:szCs w:val="20"/>
          <w:lang w:val="en-US"/>
        </w:rPr>
        <w:t xml:space="preserve">Full descriptions of </w:t>
      </w:r>
      <w:r w:rsidR="00C152DE" w:rsidRPr="00524E30">
        <w:rPr>
          <w:rFonts w:ascii="Arial" w:hAnsi="Arial" w:cs="Arial"/>
          <w:bCs/>
          <w:i/>
          <w:sz w:val="20"/>
          <w:szCs w:val="20"/>
          <w:lang w:val="en-US"/>
        </w:rPr>
        <w:t xml:space="preserve">clinical domain </w:t>
      </w:r>
      <w:r w:rsidRPr="00524E30">
        <w:rPr>
          <w:rFonts w:ascii="Arial" w:hAnsi="Arial" w:cs="Arial"/>
          <w:bCs/>
          <w:i/>
          <w:sz w:val="20"/>
          <w:szCs w:val="20"/>
          <w:lang w:val="en-US"/>
        </w:rPr>
        <w:t>measurement instruments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Lifetime history for Anxiety and Depressive Disorders</w:t>
      </w:r>
      <w:r w:rsidR="001836A7" w:rsidRPr="00524E30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presence of DSM-IV Panic Disorder, Panic Disorder with Agoraphobia, Agoraphobia, Generalized Anxiety Disorder, Social Anxiety Disorder, MDD, Dysthymia and Alcohol Dependency (one month, six-month, one year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recency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>) at baseline were assessed using the WHO-Composite International Diagnostic Interview (CIDI, version 2.1). The CIDI is a structured interview wit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h good reliability and validity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(World Health Organization 1998)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24E30">
        <w:rPr>
          <w:rFonts w:ascii="Arial" w:hAnsi="Arial" w:cs="Arial"/>
          <w:sz w:val="20"/>
          <w:szCs w:val="20"/>
          <w:lang w:val="en-US"/>
        </w:rPr>
        <w:t>Sleep quality during the past four weeks was assessed with the Women’s Health Initiat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ive Insomnia Rating Scale (IRS)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(Levine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2003)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This questionnaire consists of six items and a summary score.</w:t>
      </w:r>
      <w:r w:rsidR="00FE75B1" w:rsidRPr="00524E3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lastRenderedPageBreak/>
        <w:t xml:space="preserve">Mood and anxiety symptoms during the past week were assessed with the </w:t>
      </w:r>
      <w:bookmarkStart w:id="0" w:name="_Hlk4069636"/>
      <w:r w:rsidRPr="00524E30">
        <w:rPr>
          <w:rFonts w:ascii="Arial" w:hAnsi="Arial" w:cs="Arial"/>
          <w:sz w:val="20"/>
          <w:szCs w:val="20"/>
          <w:lang w:val="en-US"/>
        </w:rPr>
        <w:t>Mood and Anxiety Scoring Questionnaire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(Watson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1995)</w:t>
      </w:r>
      <w:bookmarkEnd w:id="0"/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The MASQ consists of 30 individual items and three summary scores: positive affect, negative affect and levels of somatization.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Presence of lifetime bipolar symptoms were assessed with the Mo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od Disorder Questionnaire (MDQ)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(Hirschfeld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2000)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This questionnaire consists of 13 individual items and a summary score.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Levels of general distress and somatization during the past week were measured with the Four-Dimension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al Symptom Questionnaire (4DSQ)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(Terluin 1996)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These two dimensions were measured in 32 items and two summary scores.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Levels of pathological worrying tendencies were assessed using the 11-item self-report version of the Penn S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tate Worry Questionnaire (PSWQ)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(Drost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2012)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Depressive symptoms during the past week were assessed with the Inventory of Depres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sive Symptomatology-SR (IDS-SR)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(Rush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1986, 1996)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The IDS-SR consists of 30 individual items and a summary score.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Symptoms of anxiety during the past month were assessed with the Beck Anxiety Inventory (BAI), a 21-i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tem self-report questionnaire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(Beck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1988)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Presence of avoidance behaviors was assessed with the Fear Questionnaire (FQ), a 15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-item self-report questionnaire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(Marks &amp; Mathews 1979)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Presence of childhood trauma was assessed with a 3-item adaptation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from the NEMESIS questionnaire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(Wiersma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2009)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Symptoms of suicidality during the past week were assessed with the 5 items from the Suicidal Ideation Scale (SSI) that refer to the current state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(Beck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1979)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The total number of negative life-events during the past year was assesse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d with the </w:t>
      </w:r>
      <w:proofErr w:type="spellStart"/>
      <w:r w:rsidR="005B23B0" w:rsidRPr="00524E30">
        <w:rPr>
          <w:rFonts w:ascii="Arial" w:hAnsi="Arial" w:cs="Arial"/>
          <w:sz w:val="20"/>
          <w:szCs w:val="20"/>
          <w:lang w:val="en-US"/>
        </w:rPr>
        <w:t>Brugha</w:t>
      </w:r>
      <w:proofErr w:type="spellEnd"/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questionnaire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(Brugha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1985)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Duration of anxiety symptoms during the last four years prior to baseline were assessed with the Life Chart Interview (LCI), a structured retrospective inte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rview using a calendar approach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(Lyketsos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1994)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The LCI has ad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equate reliability and validity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(Warshaw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1994)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Due to large proportions of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missingness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>, time spent with depressive and avoidance symptoms were not included in analyses.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 xml:space="preserve">Subjects’ convictions about the importance of care and their past experiences with care in relation to mental health problems were assessed with the 36-item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QUality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Of care Through the Eyes of the patient (QUO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TE): Anxiety/Depression version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(Sixma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1998)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lastRenderedPageBreak/>
        <w:t>Subjects’ perceived need for care at various domains during the past six months was assessed with the 20-item Perceived Need for C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are Questionnaire (PNCQ)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(Meadows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2000)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After missing data handling, 14 items were included in analyses.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Levels of disability were measured with the WHO-Disability Assessment Schedule (WHO-DAS II), a 36-item self-report questionnaire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measuring levels of disability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(Chwastiak &amp; Von Korff 2003)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Four work-related items were omitted from further analyses due to large proportions of missing values.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 xml:space="preserve">All baseline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pharmacotherapeutic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use was assessed using inspection of medication containers and coded according to Anatomical Therapeutic C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hemical (ATC) codes at baseline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(WHO Collaborating Centre for Drug Statistics Methodology n.d.)</w:t>
      </w:r>
      <w:r w:rsidR="005B23B0" w:rsidRPr="00524E30">
        <w:rPr>
          <w:rFonts w:ascii="Arial" w:hAnsi="Arial" w:cs="Arial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Historic use of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psychopharmacotherapeutics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during the three-year period prior to baseline was reported retrospectively.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</w:p>
    <w:p w:rsidR="00C152DE" w:rsidRPr="00524E30" w:rsidRDefault="00C152DE" w:rsidP="00AE33B9">
      <w:pPr>
        <w:spacing w:after="0" w:line="480" w:lineRule="auto"/>
        <w:rPr>
          <w:rFonts w:ascii="Arial" w:hAnsi="Arial" w:cs="Arial"/>
          <w:bCs/>
          <w:i/>
          <w:sz w:val="20"/>
          <w:szCs w:val="20"/>
          <w:lang w:val="en-US"/>
        </w:rPr>
      </w:pPr>
      <w:r w:rsidRPr="00524E30">
        <w:rPr>
          <w:rFonts w:ascii="Arial" w:hAnsi="Arial" w:cs="Arial"/>
          <w:bCs/>
          <w:i/>
          <w:sz w:val="20"/>
          <w:szCs w:val="20"/>
          <w:lang w:val="en-US"/>
        </w:rPr>
        <w:t>Full descriptions of psychological domain measurement instruments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 xml:space="preserve">Anxiety sensitivity was measured with the 16-item 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Anxiety Sensitivity Index (ASI)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(Reiss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1986)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Cognitive reactivity to sadness was measured with the 34-item Leiden Index of Depression Sensitivity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(LEIDS)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(Van der Does 2002)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 xml:space="preserve">Levels of mastery were assessed with an adapted version of the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Pearlin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Maste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ry Scale, consisting of 5 items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(Pearlin &amp; Schooler 1978; Kempen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1998)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Personality structure was assessed with the NEO Five-Factor Inventory, a shortened version of the Revised NEO Personality Inventory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(McCrae &amp; Costa 2004)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In our analyses, all 60 individual items, as well as domain scores from the five domains were used.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In order to be able to assess relative levels of these psychological traits, summary scores were standardized at the level of the whole NESDA sample.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</w:p>
    <w:p w:rsidR="00C152DE" w:rsidRPr="00524E30" w:rsidRDefault="00C152DE" w:rsidP="00AE33B9">
      <w:pPr>
        <w:spacing w:after="0" w:line="480" w:lineRule="auto"/>
        <w:rPr>
          <w:rFonts w:ascii="Arial" w:hAnsi="Arial" w:cs="Arial"/>
          <w:bCs/>
          <w:i/>
          <w:sz w:val="20"/>
          <w:szCs w:val="20"/>
          <w:lang w:val="en-US"/>
        </w:rPr>
      </w:pPr>
      <w:r w:rsidRPr="00524E30">
        <w:rPr>
          <w:rFonts w:ascii="Arial" w:hAnsi="Arial" w:cs="Arial"/>
          <w:bCs/>
          <w:i/>
          <w:sz w:val="20"/>
          <w:szCs w:val="20"/>
          <w:lang w:val="en-US"/>
        </w:rPr>
        <w:t>Full descriptions of sociodemographic domain measurement instruments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 xml:space="preserve">Information on sociodemographic information from subject was gathered in a structured manner by face-to-face interviews with trained research assistants. Information gained referred to demographic characteristics (6 items), employment status (6 items), marital status (2 items, of which one was </w:t>
      </w:r>
      <w:r w:rsidR="005B23B0" w:rsidRPr="00524E30">
        <w:rPr>
          <w:rFonts w:ascii="Arial" w:hAnsi="Arial" w:cs="Arial"/>
          <w:sz w:val="20"/>
          <w:szCs w:val="20"/>
          <w:lang w:val="en-US"/>
        </w:rPr>
        <w:t>omitted due to high number of missing values</w:t>
      </w:r>
      <w:r w:rsidRPr="00524E30">
        <w:rPr>
          <w:rFonts w:ascii="Arial" w:hAnsi="Arial" w:cs="Arial"/>
          <w:sz w:val="20"/>
          <w:szCs w:val="20"/>
          <w:lang w:val="en-US"/>
        </w:rPr>
        <w:t>), sexual preference (2 items, of which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one was omitted due to high number of missing values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), housing status (5 items), sources and level of income (11 items), religion status (3 items of which two were </w:t>
      </w:r>
      <w:r w:rsidR="005B23B0" w:rsidRPr="00524E30">
        <w:rPr>
          <w:rFonts w:ascii="Arial" w:hAnsi="Arial" w:cs="Arial"/>
          <w:sz w:val="20"/>
          <w:szCs w:val="20"/>
          <w:lang w:val="en-US"/>
        </w:rPr>
        <w:t>omitted due to high number of missing values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), </w:t>
      </w:r>
      <w:r w:rsidRPr="00524E30">
        <w:rPr>
          <w:rFonts w:ascii="Arial" w:hAnsi="Arial" w:cs="Arial"/>
          <w:sz w:val="20"/>
          <w:szCs w:val="20"/>
          <w:lang w:val="en-US"/>
        </w:rPr>
        <w:lastRenderedPageBreak/>
        <w:t xml:space="preserve">family and household decomposition (23 items, of which seventeen were </w:t>
      </w:r>
      <w:r w:rsidR="005B23B0" w:rsidRPr="00524E30">
        <w:rPr>
          <w:rFonts w:ascii="Arial" w:hAnsi="Arial" w:cs="Arial"/>
          <w:sz w:val="20"/>
          <w:szCs w:val="20"/>
          <w:lang w:val="en-US"/>
        </w:rPr>
        <w:t>omitted due to high number of missing values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), and participation in various leisure activities (23 items, of which three were omitted due missing data). </w:t>
      </w:r>
      <w:r w:rsidR="00F21467" w:rsidRPr="00524E30">
        <w:rPr>
          <w:rFonts w:ascii="Arial" w:hAnsi="Arial" w:cs="Arial"/>
          <w:sz w:val="20"/>
          <w:szCs w:val="20"/>
          <w:lang w:val="en-US"/>
        </w:rPr>
        <w:t>Employment status was analyzed categorically, but presented in the descriptive statistics table dichotomously. Categories that we presented as ‘currently employed’ included ‘now employed’, ‘</w:t>
      </w:r>
      <w:proofErr w:type="spellStart"/>
      <w:r w:rsidR="00F21467" w:rsidRPr="00524E30">
        <w:rPr>
          <w:rFonts w:ascii="Arial" w:hAnsi="Arial" w:cs="Arial"/>
          <w:sz w:val="20"/>
          <w:szCs w:val="20"/>
          <w:lang w:val="en-US"/>
        </w:rPr>
        <w:t>self employed</w:t>
      </w:r>
      <w:proofErr w:type="spellEnd"/>
      <w:r w:rsidR="00F21467" w:rsidRPr="00524E30">
        <w:rPr>
          <w:rFonts w:ascii="Arial" w:hAnsi="Arial" w:cs="Arial"/>
          <w:sz w:val="20"/>
          <w:szCs w:val="20"/>
          <w:lang w:val="en-US"/>
        </w:rPr>
        <w:t xml:space="preserve">’ and ‘on pregnancy or maternity leave’. The remaining categories were ‘occupationally </w:t>
      </w:r>
      <w:r w:rsidR="00AB3AB5" w:rsidRPr="00524E30">
        <w:rPr>
          <w:rFonts w:ascii="Arial" w:hAnsi="Arial" w:cs="Arial"/>
          <w:sz w:val="20"/>
          <w:szCs w:val="20"/>
          <w:lang w:val="en-US"/>
        </w:rPr>
        <w:t xml:space="preserve">disabled’, ‘on sickness benefit’, ‘early retirement’, ‘unemployed’ and ‘other’.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Current levels of loneliness were assessed with the de Jong-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Gierveld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loneliness scale, an 11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item self-report questionnaire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(de Jong-Gierveld &amp; Kamphuls 1985)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Severe loneliness was defined as a maximum score of 11.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b/>
          <w:i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Levels of current social support were assessed with the 38-item Close Person Inventory (CPI)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(Stansfeld &amp; Marmot 1992)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However, due to large proportions of missing data, only 3 items were included in our analyses.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</w:p>
    <w:p w:rsidR="00C152DE" w:rsidRPr="00524E30" w:rsidRDefault="00C152DE" w:rsidP="00AE33B9">
      <w:pPr>
        <w:spacing w:after="0" w:line="480" w:lineRule="auto"/>
        <w:rPr>
          <w:rFonts w:ascii="Arial" w:hAnsi="Arial" w:cs="Arial"/>
          <w:bCs/>
          <w:i/>
          <w:sz w:val="20"/>
          <w:szCs w:val="20"/>
          <w:lang w:val="en-US"/>
        </w:rPr>
      </w:pPr>
      <w:r w:rsidRPr="00524E30">
        <w:rPr>
          <w:rFonts w:ascii="Arial" w:hAnsi="Arial" w:cs="Arial"/>
          <w:bCs/>
          <w:i/>
          <w:sz w:val="20"/>
          <w:szCs w:val="20"/>
          <w:lang w:val="en-US"/>
        </w:rPr>
        <w:t xml:space="preserve">Full descriptions of </w:t>
      </w:r>
      <w:r w:rsidR="00C45444" w:rsidRPr="00524E30">
        <w:rPr>
          <w:rFonts w:ascii="Arial" w:hAnsi="Arial" w:cs="Arial"/>
          <w:bCs/>
          <w:i/>
          <w:sz w:val="20"/>
          <w:szCs w:val="20"/>
          <w:lang w:val="en-US"/>
        </w:rPr>
        <w:t>biological</w:t>
      </w:r>
      <w:r w:rsidRPr="00524E30">
        <w:rPr>
          <w:rFonts w:ascii="Arial" w:hAnsi="Arial" w:cs="Arial"/>
          <w:bCs/>
          <w:i/>
          <w:sz w:val="20"/>
          <w:szCs w:val="20"/>
          <w:lang w:val="en-US"/>
        </w:rPr>
        <w:t xml:space="preserve"> domain measurement instruments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The number of chronic diseases with or without treatment were assessed using a 21-item face-to-face interview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(Penninx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2008)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Subjects were asked for presence of 30 common chronic somatic diseases and were able to report any additional diseases they may have. This yielded 2 items that were both included.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Levels of chronic pain during the past 6 months were assessed with the chronic graded pain scale in which levels of chronic pain are summarized in a single ordinal item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consisting of 5 grades of pain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(Von Korff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1992)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The current menstrual cycle status was assessed in five self-reported items, of which 4 were used in analyses.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Body Mass Index (BMI) and hip/waist circumference ratio were measured by a trained research assistant, in accordance to international standards.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(World Health Organisation 1989)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</w:rPr>
        <w:t xml:space="preserve">Autonomic nervous system function was reflected by measurements of </w:t>
      </w:r>
      <w:r w:rsidR="005B23B0" w:rsidRPr="00524E30">
        <w:rPr>
          <w:rFonts w:ascii="Arial" w:hAnsi="Arial" w:cs="Arial"/>
          <w:sz w:val="20"/>
          <w:szCs w:val="20"/>
        </w:rPr>
        <w:t>mean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heart rate, heart rate variability, inter-beat-interval, pre-ejection period, aggregated respiratory sinus arrhythmia, and aggregated respiration rate. These were measured during the baseline data collection interview with the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Vrije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Universiteit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Ambul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atory Measuring System (Vu-AMS)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(de Geus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1995)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lastRenderedPageBreak/>
        <w:t>Systolic and diastolic blood pressure was measured with the OMRON M4 IntelliSense digital blood pressure monitor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HEM-752A, Omron Healthcare, Inc., Bannockburn, Illinois, USA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n.d.)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In NESDA, the average of two measurements was used.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24E30">
        <w:rPr>
          <w:rFonts w:ascii="Arial" w:hAnsi="Arial" w:cs="Arial"/>
          <w:sz w:val="20"/>
          <w:szCs w:val="20"/>
        </w:rPr>
        <w:t>Handedness was assessed by self-report. Hand-grip strength, a proxy for overall muscle strength, was assessed twice with the Jamar dynamometer</w:t>
      </w:r>
      <w:r w:rsidR="005B23B0" w:rsidRPr="00524E30">
        <w:rPr>
          <w:rFonts w:ascii="Arial" w:hAnsi="Arial" w:cs="Arial"/>
          <w:sz w:val="20"/>
          <w:szCs w:val="20"/>
        </w:rPr>
        <w:t xml:space="preserve"> </w:t>
      </w:r>
      <w:r w:rsidR="00FD1525" w:rsidRPr="00524E30">
        <w:rPr>
          <w:rFonts w:ascii="Arial" w:hAnsi="Arial" w:cs="Arial"/>
          <w:noProof/>
          <w:sz w:val="20"/>
          <w:szCs w:val="20"/>
        </w:rPr>
        <w:t xml:space="preserve">(Bellace </w:t>
      </w:r>
      <w:r w:rsidR="00FD1525" w:rsidRPr="00524E30">
        <w:rPr>
          <w:rFonts w:ascii="Arial" w:hAnsi="Arial" w:cs="Arial"/>
          <w:i/>
          <w:noProof/>
          <w:sz w:val="20"/>
          <w:szCs w:val="20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</w:rPr>
        <w:t xml:space="preserve"> 2000; Ashton &amp; Myers 2004)</w:t>
      </w:r>
      <w:r w:rsidR="005B23B0" w:rsidRPr="00524E30">
        <w:rPr>
          <w:rFonts w:ascii="Arial" w:hAnsi="Arial" w:cs="Arial"/>
          <w:sz w:val="20"/>
          <w:szCs w:val="20"/>
        </w:rPr>
        <w:t>.</w:t>
      </w:r>
      <w:r w:rsidRPr="00524E30">
        <w:rPr>
          <w:rFonts w:ascii="Arial" w:hAnsi="Arial" w:cs="Arial"/>
          <w:sz w:val="20"/>
          <w:szCs w:val="20"/>
        </w:rPr>
        <w:t xml:space="preserve">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 xml:space="preserve">Whether subjects had a fever or a cold during the last week was assessed by self-report.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Fasting blood samples of NESDA participants were obtained in the morning around 8 am and kept frozen at -80°C. Various laboratory tests were performed on these samples.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Brain-Derived Neurotropic Factor (BDNF), Triglycerides, High Density Cholesterol (HDL), glucose, tryptophan, kynurenine,</w:t>
      </w:r>
      <w:r w:rsidRPr="00524E30">
        <w:t xml:space="preserve"> </w:t>
      </w:r>
      <w:r w:rsidRPr="00524E30">
        <w:rPr>
          <w:rFonts w:ascii="Arial" w:hAnsi="Arial" w:cs="Arial"/>
          <w:sz w:val="20"/>
          <w:szCs w:val="20"/>
          <w:lang w:val="en-US"/>
        </w:rPr>
        <w:t>3-Hydroxykynurenine,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 xml:space="preserve">Cystatin C, Urea, Uric acid,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Creatinin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, Cotinine, Parathyroid hormone (PTH), 25-hydroxy vitamin D,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Dehydroepiandrosterone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Dehydroepiandrosterone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sulfate (DHEA-S), Sex hormone-binding globulin (SHBG), Estradiol (E2), and Testosteron</w:t>
      </w:r>
      <w:r w:rsidR="00222BAD" w:rsidRPr="00524E30">
        <w:rPr>
          <w:rFonts w:ascii="Arial" w:hAnsi="Arial" w:cs="Arial"/>
          <w:sz w:val="20"/>
          <w:szCs w:val="20"/>
          <w:lang w:val="en-US"/>
        </w:rPr>
        <w:t>e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nmol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/l) were assayed at the Clinical Chemistry department of the VU University Medical Center using standard laboratory procedures.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Dehydroepiandrosterone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measurements were omitted due to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missings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High-sensitivity plasma levels of C-reactive protein (CRP) were measured in duplicate by an in-house ELISA based on purified protein and polyclonal anti</w:t>
      </w:r>
      <w:r w:rsidRPr="00524E30">
        <w:rPr>
          <w:rFonts w:ascii="Cambria Math" w:hAnsi="Cambria Math" w:cs="Cambria Math"/>
          <w:sz w:val="20"/>
          <w:szCs w:val="20"/>
          <w:lang w:val="en-US"/>
        </w:rPr>
        <w:t>‑</w:t>
      </w:r>
      <w:r w:rsidRPr="00524E30">
        <w:rPr>
          <w:rFonts w:ascii="Arial" w:hAnsi="Arial" w:cs="Arial"/>
          <w:sz w:val="20"/>
          <w:szCs w:val="20"/>
          <w:lang w:val="en-US"/>
        </w:rPr>
        <w:t>CRP antibodies.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</w:t>
      </w:r>
      <w:proofErr w:type="spellStart"/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Dako</w:t>
      </w:r>
      <w:proofErr w:type="spellEnd"/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, Glostrup, Denmark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n.d.)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The CRP assay was standardized against the CRM 470 reference agent. The lower detection limit of CRP was 0.1 mg/l and the sensitivity was 0.05 mg/l.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Plasma Interleukine-6 (IL-6) levels were measured in duplicate by a high sensitivity enzyme-linked immunosorbent assay.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</w:t>
      </w:r>
      <w:proofErr w:type="spellStart"/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PeliKine</w:t>
      </w:r>
      <w:proofErr w:type="spellEnd"/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 xml:space="preserve"> CompactTM ELISA, Sanquin, Amsterdam, The Netherlands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n.d.)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The IL-6 assay was standardized against a recombinant human IL-6 standard. The lower detection limit of IL-6 was 0.35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pg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/ml and the sensitivity 0.10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pg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/ml.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 xml:space="preserve">Plasma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Tumour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necrosis factor-alpha (TNF-α) levels were assayed in duplicate at Good Biomarker Science, Leiden, The Netherlands, using a high-sensitivity solid phase ELISA.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>(</w:t>
      </w:r>
      <w:proofErr w:type="spellStart"/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Quantikine</w:t>
      </w:r>
      <w:proofErr w:type="spellEnd"/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® HS Human TNF- α Immunoassay, R&amp;D systems Inc, Minneapolis, MN, United States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n.d.)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The TNF-α assay was calibrated against a highly purified E. coli-expressed recombinant human TNF-α. The lower detection limit of TNF-α was 0.10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pg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/ml and the sensitivity 0.11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pg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/ml.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:rsidR="00C152DE" w:rsidRPr="00524E30" w:rsidRDefault="00C152DE" w:rsidP="00AE33B9">
      <w:pPr>
        <w:spacing w:after="0" w:line="480" w:lineRule="auto"/>
        <w:rPr>
          <w:rFonts w:ascii="Arial" w:hAnsi="Arial" w:cs="Arial"/>
          <w:bCs/>
          <w:i/>
          <w:sz w:val="20"/>
          <w:szCs w:val="20"/>
          <w:lang w:val="en-US"/>
        </w:rPr>
      </w:pPr>
      <w:r w:rsidRPr="00524E30">
        <w:rPr>
          <w:rFonts w:ascii="Arial" w:hAnsi="Arial" w:cs="Arial"/>
          <w:bCs/>
          <w:i/>
          <w:sz w:val="20"/>
          <w:szCs w:val="20"/>
          <w:lang w:val="en-US"/>
        </w:rPr>
        <w:t>Full descriptions of lifestyle domain measurement instruments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lastRenderedPageBreak/>
        <w:t xml:space="preserve">Smoking status was assessed with three items from the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Fagerström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 Test for Nicotine Dependence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(Heatherton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1991)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  <w:r w:rsidRPr="00524E30">
        <w:rPr>
          <w:rFonts w:ascii="Arial" w:hAnsi="Arial" w:cs="Arial"/>
          <w:sz w:val="20"/>
          <w:szCs w:val="20"/>
          <w:lang w:val="en-US"/>
        </w:rPr>
        <w:t xml:space="preserve"> Subjects were divided into current smokers, former smokers and subjects who never smoked. Two items were omitted due to </w:t>
      </w:r>
      <w:proofErr w:type="spellStart"/>
      <w:r w:rsidRPr="00524E30">
        <w:rPr>
          <w:rFonts w:ascii="Arial" w:hAnsi="Arial" w:cs="Arial"/>
          <w:sz w:val="20"/>
          <w:szCs w:val="20"/>
          <w:lang w:val="en-US"/>
        </w:rPr>
        <w:t>missings</w:t>
      </w:r>
      <w:proofErr w:type="spellEnd"/>
      <w:r w:rsidRPr="00524E30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Number of different psychoactive banned substances used by subjects was assessed by self-report.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The amount of alcohol consumption during the past year was assessed with the Alcohol Use Disorders Identification Test (AUDIT)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(Saunders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1993)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7D43B0" w:rsidRPr="00524E30" w:rsidRDefault="007D43B0" w:rsidP="00AE33B9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524E30">
        <w:rPr>
          <w:rFonts w:ascii="Arial" w:hAnsi="Arial" w:cs="Arial"/>
          <w:sz w:val="20"/>
          <w:szCs w:val="20"/>
          <w:lang w:val="en-US"/>
        </w:rPr>
        <w:t>The levels of physical exercise, expressed in metabolic equivalent of task (MET)-minutes/week during the past week were assessed with the 4-item International physical activity questionnaire</w:t>
      </w:r>
      <w:r w:rsidR="005B23B0" w:rsidRPr="00524E30">
        <w:rPr>
          <w:rFonts w:ascii="Arial" w:hAnsi="Arial" w:cs="Arial"/>
          <w:sz w:val="20"/>
          <w:szCs w:val="20"/>
          <w:lang w:val="en-US"/>
        </w:rPr>
        <w:t xml:space="preserve"> 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(Ainsworth </w:t>
      </w:r>
      <w:r w:rsidR="00FD1525" w:rsidRPr="00524E30">
        <w:rPr>
          <w:rFonts w:ascii="Arial" w:hAnsi="Arial" w:cs="Arial"/>
          <w:i/>
          <w:noProof/>
          <w:sz w:val="20"/>
          <w:szCs w:val="20"/>
          <w:lang w:val="en-US"/>
        </w:rPr>
        <w:t>et al.</w:t>
      </w:r>
      <w:r w:rsidR="00FD1525" w:rsidRPr="00524E30">
        <w:rPr>
          <w:rFonts w:ascii="Arial" w:hAnsi="Arial" w:cs="Arial"/>
          <w:noProof/>
          <w:sz w:val="20"/>
          <w:szCs w:val="20"/>
          <w:lang w:val="en-US"/>
        </w:rPr>
        <w:t xml:space="preserve"> 2000)</w:t>
      </w:r>
      <w:r w:rsidR="005B23B0" w:rsidRPr="00524E30">
        <w:rPr>
          <w:rFonts w:ascii="Arial" w:hAnsi="Arial" w:cs="Arial"/>
          <w:sz w:val="20"/>
          <w:szCs w:val="20"/>
          <w:lang w:val="en-US"/>
        </w:rPr>
        <w:t>.</w:t>
      </w:r>
    </w:p>
    <w:p w:rsidR="00C152DE" w:rsidRPr="00524E30" w:rsidRDefault="00C152DE" w:rsidP="00AE33B9">
      <w:pPr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152DE" w:rsidRPr="00524E30" w:rsidRDefault="00C152DE" w:rsidP="00AE33B9">
      <w:pPr>
        <w:spacing w:line="480" w:lineRule="auto"/>
        <w:rPr>
          <w:rFonts w:ascii="Arial" w:hAnsi="Arial" w:cs="Arial"/>
          <w:i/>
          <w:color w:val="000000"/>
          <w:sz w:val="20"/>
          <w:szCs w:val="20"/>
        </w:rPr>
      </w:pPr>
      <w:r w:rsidRPr="00524E30">
        <w:rPr>
          <w:rFonts w:ascii="Arial" w:hAnsi="Arial" w:cs="Arial"/>
          <w:i/>
          <w:color w:val="000000"/>
          <w:sz w:val="20"/>
          <w:szCs w:val="20"/>
        </w:rPr>
        <w:t>Extended description random forest classifier</w:t>
      </w:r>
    </w:p>
    <w:p w:rsidR="00C152DE" w:rsidRPr="00524E30" w:rsidRDefault="00C152DE" w:rsidP="00AE33B9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24E30">
        <w:rPr>
          <w:rFonts w:ascii="Arial" w:hAnsi="Arial" w:cs="Arial"/>
          <w:color w:val="000000"/>
          <w:sz w:val="20"/>
          <w:szCs w:val="20"/>
        </w:rPr>
        <w:t>Each Random Forest classifier (RFC) was build using 1000 classification trees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 xml:space="preserve"> 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(Breiman </w:t>
      </w:r>
      <w:r w:rsidR="00FD1525" w:rsidRPr="00524E30">
        <w:rPr>
          <w:rFonts w:ascii="Arial" w:hAnsi="Arial" w:cs="Arial"/>
          <w:i/>
          <w:noProof/>
          <w:color w:val="000000"/>
          <w:sz w:val="20"/>
          <w:szCs w:val="20"/>
        </w:rPr>
        <w:t>et al.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 1984)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 and the number of randomly selected variables per node was set at the square root of the number of variables (default value). Subsample aggregating (</w:t>
      </w:r>
      <w:proofErr w:type="spellStart"/>
      <w:r w:rsidRPr="00524E30">
        <w:rPr>
          <w:rFonts w:ascii="Arial" w:hAnsi="Arial" w:cs="Arial"/>
          <w:color w:val="000000"/>
          <w:sz w:val="20"/>
          <w:szCs w:val="20"/>
        </w:rPr>
        <w:t>subagging</w:t>
      </w:r>
      <w:proofErr w:type="spellEnd"/>
      <w:r w:rsidRPr="00524E30">
        <w:rPr>
          <w:rFonts w:ascii="Arial" w:hAnsi="Arial" w:cs="Arial"/>
          <w:color w:val="000000"/>
          <w:sz w:val="20"/>
          <w:szCs w:val="20"/>
        </w:rPr>
        <w:t xml:space="preserve">) was used instead of bootstrap aggregating (bagging) to create new random subsets of data points per tree. </w:t>
      </w:r>
      <w:proofErr w:type="spellStart"/>
      <w:r w:rsidRPr="00524E30">
        <w:rPr>
          <w:rFonts w:ascii="Arial" w:hAnsi="Arial" w:cs="Arial"/>
          <w:color w:val="000000"/>
          <w:sz w:val="20"/>
          <w:szCs w:val="20"/>
        </w:rPr>
        <w:t>Subagging</w:t>
      </w:r>
      <w:proofErr w:type="spellEnd"/>
      <w:r w:rsidRPr="00524E30">
        <w:rPr>
          <w:rFonts w:ascii="Arial" w:hAnsi="Arial" w:cs="Arial"/>
          <w:color w:val="000000"/>
          <w:sz w:val="20"/>
          <w:szCs w:val="20"/>
        </w:rPr>
        <w:t xml:space="preserve"> allowed for balancing the data set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 xml:space="preserve"> 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(Chen </w:t>
      </w:r>
      <w:r w:rsidR="00FD1525" w:rsidRPr="00524E30">
        <w:rPr>
          <w:rFonts w:ascii="Arial" w:hAnsi="Arial" w:cs="Arial"/>
          <w:i/>
          <w:noProof/>
          <w:color w:val="000000"/>
          <w:sz w:val="20"/>
          <w:szCs w:val="20"/>
        </w:rPr>
        <w:t>et al.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 2004)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 by sampling the same number of subjects for each class, and improving the validity of variable importance calculations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 xml:space="preserve"> 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(Strobl </w:t>
      </w:r>
      <w:r w:rsidR="00FD1525" w:rsidRPr="00524E30">
        <w:rPr>
          <w:rFonts w:ascii="Arial" w:hAnsi="Arial" w:cs="Arial"/>
          <w:i/>
          <w:noProof/>
          <w:color w:val="000000"/>
          <w:sz w:val="20"/>
          <w:szCs w:val="20"/>
        </w:rPr>
        <w:t>et al.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 2007)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. The balancing of the classes can improve classification performance in data sets with imbalanced distribution of classes where a classifier might focus on only correctly predicting the majority class by assigning all data to this class. 63.2% of all subjects was used as the subsampling factor. This corresponds to the number of unique subjects 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 xml:space="preserve">in a bootstrap sample </w:t>
      </w:r>
      <w:r w:rsidRPr="00524E30">
        <w:rPr>
          <w:rFonts w:ascii="Arial" w:hAnsi="Arial" w:cs="Arial"/>
          <w:color w:val="000000"/>
          <w:sz w:val="20"/>
          <w:szCs w:val="20"/>
        </w:rPr>
        <w:t>when using bagging and is recommended as a default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 xml:space="preserve"> 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(Boulesteix </w:t>
      </w:r>
      <w:r w:rsidR="00FD1525" w:rsidRPr="00524E30">
        <w:rPr>
          <w:rFonts w:ascii="Arial" w:hAnsi="Arial" w:cs="Arial"/>
          <w:i/>
          <w:noProof/>
          <w:color w:val="000000"/>
          <w:sz w:val="20"/>
          <w:szCs w:val="20"/>
        </w:rPr>
        <w:t>et al.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 2012)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>.</w:t>
      </w:r>
    </w:p>
    <w:p w:rsidR="00C152DE" w:rsidRPr="00524E30" w:rsidRDefault="00C152DE" w:rsidP="00AE33B9">
      <w:pPr>
        <w:spacing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Variable importance calculation </w:t>
      </w:r>
    </w:p>
    <w:p w:rsidR="00C152DE" w:rsidRPr="00524E30" w:rsidRDefault="00C152DE" w:rsidP="00AE33B9">
      <w:pPr>
        <w:spacing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color w:val="000000"/>
          <w:sz w:val="20"/>
          <w:szCs w:val="20"/>
        </w:rPr>
        <w:t>The standard calculation of variable importance for RFC has been shown to be biased towards continuous variables and categorical variables with many categories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 xml:space="preserve"> 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(Strobl </w:t>
      </w:r>
      <w:r w:rsidR="00FD1525" w:rsidRPr="00524E30">
        <w:rPr>
          <w:rFonts w:ascii="Arial" w:hAnsi="Arial" w:cs="Arial"/>
          <w:i/>
          <w:noProof/>
          <w:color w:val="000000"/>
          <w:sz w:val="20"/>
          <w:szCs w:val="20"/>
        </w:rPr>
        <w:t>et al.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 2007)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>.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 To ensure the validity of variable importance calculations it was suggested to use </w:t>
      </w:r>
      <w:proofErr w:type="spellStart"/>
      <w:r w:rsidRPr="00524E30">
        <w:rPr>
          <w:rFonts w:ascii="Arial" w:hAnsi="Arial" w:cs="Arial"/>
          <w:color w:val="000000"/>
          <w:sz w:val="20"/>
          <w:szCs w:val="20"/>
        </w:rPr>
        <w:t>subagging</w:t>
      </w:r>
      <w:proofErr w:type="spellEnd"/>
      <w:r w:rsidRPr="00524E30">
        <w:rPr>
          <w:rFonts w:ascii="Arial" w:hAnsi="Arial" w:cs="Arial"/>
          <w:color w:val="000000"/>
          <w:sz w:val="20"/>
          <w:szCs w:val="20"/>
        </w:rPr>
        <w:t xml:space="preserve"> and permutation-based variable importance calculations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 xml:space="preserve"> 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(Strobl </w:t>
      </w:r>
      <w:r w:rsidR="00FD1525" w:rsidRPr="00524E30">
        <w:rPr>
          <w:rFonts w:ascii="Arial" w:hAnsi="Arial" w:cs="Arial"/>
          <w:i/>
          <w:noProof/>
          <w:color w:val="000000"/>
          <w:sz w:val="20"/>
          <w:szCs w:val="20"/>
        </w:rPr>
        <w:t>et al.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 2007; Altmann </w:t>
      </w:r>
      <w:r w:rsidR="00FD1525" w:rsidRPr="00524E30">
        <w:rPr>
          <w:rFonts w:ascii="Arial" w:hAnsi="Arial" w:cs="Arial"/>
          <w:i/>
          <w:noProof/>
          <w:color w:val="000000"/>
          <w:sz w:val="20"/>
          <w:szCs w:val="20"/>
        </w:rPr>
        <w:t>et al.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 xml:space="preserve"> 2010; Hapfelmeier &amp; Ulm 2013)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>.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 To implement permutation-based variable importance calculations we permuted each variable separately a 1000 times and assessed its variab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 xml:space="preserve">le importance under permutation </w:t>
      </w:r>
      <w:r w:rsidR="00FD1525" w:rsidRPr="00524E30">
        <w:rPr>
          <w:rFonts w:ascii="Arial" w:hAnsi="Arial" w:cs="Arial"/>
          <w:noProof/>
          <w:color w:val="000000"/>
          <w:sz w:val="20"/>
          <w:szCs w:val="20"/>
        </w:rPr>
        <w:t>(Ojala &amp; Garriga 2010)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>.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 The </w:t>
      </w:r>
      <w:r w:rsidRPr="00524E30">
        <w:rPr>
          <w:rFonts w:ascii="Arial" w:hAnsi="Arial" w:cs="Arial"/>
          <w:color w:val="000000"/>
          <w:sz w:val="20"/>
          <w:szCs w:val="20"/>
        </w:rPr>
        <w:lastRenderedPageBreak/>
        <w:t xml:space="preserve">computed null-distribution was then used to calculate a </w:t>
      </w: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-value of the actually observed variable importance for each variable. </w:t>
      </w:r>
    </w:p>
    <w:p w:rsidR="00C152DE" w:rsidRPr="00524E30" w:rsidRDefault="00C152DE" w:rsidP="00AE33B9">
      <w:pPr>
        <w:spacing w:line="480" w:lineRule="auto"/>
        <w:rPr>
          <w:rFonts w:ascii="Times New Roman"/>
          <w:sz w:val="24"/>
          <w:szCs w:val="24"/>
        </w:rPr>
      </w:pPr>
    </w:p>
    <w:p w:rsidR="00C152DE" w:rsidRPr="00524E30" w:rsidRDefault="00C152DE" w:rsidP="00AE33B9">
      <w:pPr>
        <w:spacing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Difference in selected variables</w:t>
      </w:r>
    </w:p>
    <w:p w:rsidR="00C152DE" w:rsidRPr="00524E30" w:rsidRDefault="00C152DE" w:rsidP="00AE33B9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524E30">
        <w:rPr>
          <w:rFonts w:ascii="Arial" w:hAnsi="Arial" w:cs="Arial"/>
          <w:color w:val="000000"/>
          <w:sz w:val="20"/>
          <w:szCs w:val="20"/>
        </w:rPr>
        <w:t xml:space="preserve">To compare whether variable importance differed between the two classification tasks the following analysis was conducted: 1. based on the </w:t>
      </w: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524E30">
        <w:rPr>
          <w:rFonts w:ascii="Arial" w:hAnsi="Arial" w:cs="Arial"/>
          <w:color w:val="000000"/>
          <w:sz w:val="20"/>
          <w:szCs w:val="20"/>
        </w:rPr>
        <w:t xml:space="preserve">-values calculated from permutation-based variable importance we computed a rank from most important (smallest </w:t>
      </w:r>
      <w:r w:rsidRPr="00524E30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524E30">
        <w:rPr>
          <w:rFonts w:ascii="Arial" w:hAnsi="Arial" w:cs="Arial"/>
          <w:color w:val="000000"/>
          <w:sz w:val="20"/>
          <w:szCs w:val="20"/>
        </w:rPr>
        <w:t>-value) to least important variable per cross-validation iteration, 2. we averaged this ranking across the cross-validation runs to obtain an average rank for each variable, 3. we calculated the absolute difference of ranks between the two classification tasks, 4. we explo</w:t>
      </w:r>
      <w:r w:rsidR="005B23B0" w:rsidRPr="00524E30">
        <w:rPr>
          <w:rFonts w:ascii="Arial" w:hAnsi="Arial" w:cs="Arial"/>
          <w:color w:val="000000"/>
          <w:sz w:val="20"/>
          <w:szCs w:val="20"/>
        </w:rPr>
        <w:t>red each rank difference which wa</w:t>
      </w:r>
      <w:r w:rsidRPr="00524E30">
        <w:rPr>
          <w:rFonts w:ascii="Arial" w:hAnsi="Arial" w:cs="Arial"/>
          <w:color w:val="000000"/>
          <w:sz w:val="20"/>
          <w:szCs w:val="20"/>
        </w:rPr>
        <w:t>s higher (lower) than the mean rank difference +(-) twice the standard deviation. In this way we could determine which variables average rank changed strongly between the two different classification tasks. </w:t>
      </w:r>
    </w:p>
    <w:p w:rsidR="00C152DE" w:rsidRPr="00524E30" w:rsidRDefault="00C152DE" w:rsidP="00AE33B9">
      <w:pPr>
        <w:spacing w:line="48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24E30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F26CE2" w:rsidRPr="00524E30" w:rsidRDefault="00A32CF1" w:rsidP="00AE33B9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 w:rsidRPr="00524E30">
        <w:rPr>
          <w:rFonts w:ascii="Arial" w:hAnsi="Arial" w:cs="Arial"/>
          <w:b/>
          <w:sz w:val="18"/>
          <w:szCs w:val="18"/>
        </w:rPr>
        <w:lastRenderedPageBreak/>
        <w:t xml:space="preserve">Supplementary </w:t>
      </w:r>
      <w:r w:rsidR="00F26CE2" w:rsidRPr="00524E30">
        <w:rPr>
          <w:rFonts w:ascii="Arial" w:hAnsi="Arial" w:cs="Arial"/>
          <w:b/>
          <w:sz w:val="18"/>
          <w:szCs w:val="18"/>
        </w:rPr>
        <w:t xml:space="preserve">Table 1. </w:t>
      </w:r>
      <w:r w:rsidR="00F26CE2" w:rsidRPr="00524E30">
        <w:rPr>
          <w:rFonts w:ascii="Arial" w:hAnsi="Arial" w:cs="Arial"/>
          <w:sz w:val="18"/>
          <w:szCs w:val="18"/>
        </w:rPr>
        <w:t xml:space="preserve">Baseline characteristics of anxiety disorder sample, </w:t>
      </w:r>
      <w:r w:rsidR="005A430A" w:rsidRPr="00524E30">
        <w:rPr>
          <w:rFonts w:ascii="Arial" w:hAnsi="Arial" w:cs="Arial"/>
          <w:sz w:val="18"/>
          <w:szCs w:val="18"/>
        </w:rPr>
        <w:t>group</w:t>
      </w:r>
      <w:r w:rsidR="00F26CE2" w:rsidRPr="00524E30">
        <w:rPr>
          <w:rFonts w:ascii="Arial" w:hAnsi="Arial" w:cs="Arial"/>
          <w:sz w:val="18"/>
          <w:szCs w:val="18"/>
        </w:rPr>
        <w:t xml:space="preserve"> comparisons between </w:t>
      </w:r>
      <w:r w:rsidR="000C7AE9" w:rsidRPr="00524E30">
        <w:rPr>
          <w:rFonts w:ascii="Arial" w:hAnsi="Arial" w:cs="Arial"/>
          <w:sz w:val="18"/>
          <w:szCs w:val="18"/>
        </w:rPr>
        <w:t>patients</w:t>
      </w:r>
      <w:r w:rsidR="00F26CE2" w:rsidRPr="00524E30">
        <w:rPr>
          <w:rFonts w:ascii="Arial" w:hAnsi="Arial" w:cs="Arial"/>
          <w:sz w:val="18"/>
          <w:szCs w:val="18"/>
        </w:rPr>
        <w:t xml:space="preserve"> who had no common mental disorders (n = </w:t>
      </w:r>
      <w:r w:rsidR="0081251C" w:rsidRPr="00524E30">
        <w:rPr>
          <w:rFonts w:ascii="Arial" w:hAnsi="Arial" w:cs="Arial"/>
          <w:sz w:val="18"/>
          <w:szCs w:val="18"/>
        </w:rPr>
        <w:t>362</w:t>
      </w:r>
      <w:r w:rsidR="00F26CE2" w:rsidRPr="00524E30">
        <w:rPr>
          <w:rFonts w:ascii="Arial" w:hAnsi="Arial" w:cs="Arial"/>
          <w:sz w:val="18"/>
          <w:szCs w:val="18"/>
        </w:rPr>
        <w:t xml:space="preserve">) at two-year follow-up and </w:t>
      </w:r>
      <w:r w:rsidR="000C7AE9" w:rsidRPr="00524E30">
        <w:rPr>
          <w:rFonts w:ascii="Arial" w:hAnsi="Arial" w:cs="Arial"/>
          <w:sz w:val="18"/>
          <w:szCs w:val="18"/>
        </w:rPr>
        <w:t xml:space="preserve">patients </w:t>
      </w:r>
      <w:r w:rsidR="00986965" w:rsidRPr="00524E30">
        <w:rPr>
          <w:rFonts w:ascii="Arial" w:hAnsi="Arial" w:cs="Arial"/>
          <w:sz w:val="18"/>
          <w:szCs w:val="18"/>
        </w:rPr>
        <w:t xml:space="preserve">who </w:t>
      </w:r>
      <w:r w:rsidR="000C7AE9" w:rsidRPr="00524E30">
        <w:rPr>
          <w:rFonts w:ascii="Arial" w:hAnsi="Arial" w:cs="Arial"/>
          <w:sz w:val="18"/>
          <w:szCs w:val="18"/>
        </w:rPr>
        <w:t xml:space="preserve">did </w:t>
      </w:r>
      <w:r w:rsidR="00986965" w:rsidRPr="00524E30">
        <w:rPr>
          <w:rFonts w:ascii="Arial" w:hAnsi="Arial" w:cs="Arial"/>
          <w:sz w:val="18"/>
          <w:szCs w:val="18"/>
        </w:rPr>
        <w:t xml:space="preserve">have </w:t>
      </w:r>
      <w:r w:rsidR="00C309C5">
        <w:rPr>
          <w:rFonts w:ascii="Arial" w:hAnsi="Arial" w:cs="Arial"/>
          <w:sz w:val="18"/>
          <w:szCs w:val="18"/>
        </w:rPr>
        <w:t>a</w:t>
      </w:r>
      <w:r w:rsidR="00FB2D43">
        <w:rPr>
          <w:rFonts w:ascii="Arial" w:hAnsi="Arial" w:cs="Arial"/>
          <w:sz w:val="18"/>
          <w:szCs w:val="18"/>
        </w:rPr>
        <w:t>ny</w:t>
      </w:r>
      <w:r w:rsidR="00C309C5">
        <w:rPr>
          <w:rFonts w:ascii="Arial" w:hAnsi="Arial" w:cs="Arial"/>
          <w:sz w:val="18"/>
          <w:szCs w:val="18"/>
        </w:rPr>
        <w:t xml:space="preserve"> </w:t>
      </w:r>
      <w:r w:rsidR="00F507CF">
        <w:rPr>
          <w:rFonts w:ascii="Arial" w:hAnsi="Arial" w:cs="Arial"/>
          <w:sz w:val="18"/>
          <w:szCs w:val="18"/>
        </w:rPr>
        <w:t>common mental disorder</w:t>
      </w:r>
      <w:r w:rsidR="00986965" w:rsidRPr="00524E30">
        <w:rPr>
          <w:rFonts w:ascii="Arial" w:hAnsi="Arial" w:cs="Arial"/>
          <w:sz w:val="18"/>
          <w:szCs w:val="18"/>
        </w:rPr>
        <w:t xml:space="preserve"> at follow-up </w:t>
      </w:r>
      <w:r w:rsidR="000C7AE9" w:rsidRPr="00524E30">
        <w:rPr>
          <w:rFonts w:ascii="Arial" w:hAnsi="Arial" w:cs="Arial"/>
          <w:sz w:val="18"/>
          <w:szCs w:val="18"/>
        </w:rPr>
        <w:t>(n = 525)</w:t>
      </w:r>
    </w:p>
    <w:tbl>
      <w:tblPr>
        <w:tblStyle w:val="Tabelrasterlicht1"/>
        <w:tblW w:w="9523" w:type="dxa"/>
        <w:tblLook w:val="04A0" w:firstRow="1" w:lastRow="0" w:firstColumn="1" w:lastColumn="0" w:noHBand="0" w:noVBand="1"/>
      </w:tblPr>
      <w:tblGrid>
        <w:gridCol w:w="4678"/>
        <w:gridCol w:w="1418"/>
        <w:gridCol w:w="1417"/>
        <w:gridCol w:w="1134"/>
        <w:gridCol w:w="876"/>
      </w:tblGrid>
      <w:tr w:rsidR="00F26CE2" w:rsidRPr="00524E30" w:rsidTr="005B23B0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6CE2" w:rsidRPr="00524E30" w:rsidRDefault="00857B3A" w:rsidP="00AE33B9">
            <w:pPr>
              <w:spacing w:before="80" w:after="80"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Two-year common mental disorders status</w:t>
            </w:r>
          </w:p>
          <w:p w:rsidR="00986965" w:rsidRPr="00524E30" w:rsidRDefault="00986965" w:rsidP="00986965">
            <w:pPr>
              <w:spacing w:before="80" w:after="80"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Baseline characteristics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6CE2" w:rsidRPr="00524E30" w:rsidRDefault="00857B3A" w:rsidP="00AE33B9">
            <w:pPr>
              <w:spacing w:before="80" w:after="80"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Recovered </w:t>
            </w: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26CE2"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="0081251C" w:rsidRPr="00524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26CE2"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r w:rsidR="0081251C" w:rsidRPr="00524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362</w:t>
            </w:r>
            <w:r w:rsidR="00F26CE2"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6CE2" w:rsidRPr="00524E30" w:rsidRDefault="00857B3A" w:rsidP="00AE33B9">
            <w:pPr>
              <w:spacing w:before="80" w:after="80"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Persistent</w:t>
            </w: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26CE2"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="0081251C" w:rsidRPr="00524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26CE2"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r w:rsidR="0081251C" w:rsidRPr="00524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525)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6CE2" w:rsidRPr="00524E30" w:rsidRDefault="00F26CE2" w:rsidP="00AE33B9">
            <w:pPr>
              <w:spacing w:before="80" w:after="80"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Statistics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6CE2" w:rsidRPr="00524E30" w:rsidRDefault="00F26CE2" w:rsidP="00AE33B9">
            <w:pPr>
              <w:spacing w:before="80" w:after="80"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sz w:val="18"/>
                <w:szCs w:val="18"/>
              </w:rPr>
              <w:t>Clinical domain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PD diagnosis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135 (37.3%)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233 (44.4%)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4.34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0.035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Agoraphobia diagnosis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111 (30.7%)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206 (39.2%)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6.86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0.009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SAD diagnosis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147 (40.6%)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261 (49.7%)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AB0C36" w:rsidRPr="00524E30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0.007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GAD diagnosis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92 (25.4%)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185 (35.2%)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9.63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0.002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MDD diagnosis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103 (28.5%)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259 (49.3%)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38.7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Dysthymia diagnosis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26 (7.2%)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120 (22.9%)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38.3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639DF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Use of psychotropic medication,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current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252 (69.6%)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387 (73.7%)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1.79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Avoidance behaviour severity,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FQ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current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 xml:space="preserve">30.96 </w:t>
            </w:r>
            <w:r w:rsidR="0051228D" w:rsidRPr="00524E30">
              <w:rPr>
                <w:rFonts w:ascii="Arial" w:hAnsi="Arial" w:cs="Arial"/>
                <w:sz w:val="18"/>
                <w:szCs w:val="18"/>
              </w:rPr>
              <w:t>±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18.64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39.33 ± 20.06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-6.37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Pathological worrying severity, </w:t>
            </w:r>
            <w:r w:rsidRPr="00524E30">
              <w:rPr>
                <w:rFonts w:ascii="Arial" w:hAnsi="Arial" w:cs="Arial"/>
                <w:sz w:val="18"/>
                <w:szCs w:val="18"/>
              </w:rPr>
              <w:br/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PSWQ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current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35.05 ± 9.81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39.35 ± 9.47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-6.49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Suicidal thoughts,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SSI</w:t>
            </w:r>
            <w:r w:rsidRPr="00524E30">
              <w:rPr>
                <w:rFonts w:ascii="Arial" w:hAnsi="Arial" w:cs="Arial"/>
                <w:sz w:val="18"/>
                <w:szCs w:val="18"/>
              </w:rPr>
              <w:t>,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past week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38 (10.5%)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145 (27.6%)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38.6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Level of distress,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4DSQ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past week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14.78 ± 8.79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19.83 ± 8.66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8.47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Depressive symptoms severity, </w:t>
            </w:r>
            <w:r w:rsidRPr="00524E30">
              <w:rPr>
                <w:rFonts w:ascii="Arial" w:hAnsi="Arial" w:cs="Arial"/>
                <w:sz w:val="18"/>
                <w:szCs w:val="18"/>
              </w:rPr>
              <w:br/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IDS-SR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past week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24.96 ± 11.82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32.47 ± 12.92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-9.14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Sleep disturbances,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ISR,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past four weeks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9.05 ± 4.94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10.23 ± 5.33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-3.38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Anxiety symptoms severity, </w:t>
            </w:r>
            <w:r w:rsidRPr="00524E30">
              <w:rPr>
                <w:rFonts w:ascii="Arial" w:hAnsi="Arial" w:cs="Arial"/>
                <w:sz w:val="18"/>
                <w:szCs w:val="18"/>
              </w:rPr>
              <w:br/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BAI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past month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15.57 ± 9.40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20.19 ± 10.79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-6.77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Percentage of time spent with anxiety symptoms, </w:t>
            </w:r>
            <w:r w:rsidRPr="00524E30">
              <w:rPr>
                <w:rFonts w:ascii="Arial" w:hAnsi="Arial" w:cs="Arial"/>
                <w:sz w:val="18"/>
                <w:szCs w:val="18"/>
              </w:rPr>
              <w:tab/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LCI, past four years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42.4% ± 32.9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52.7% ± 34.2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-4.36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History of childhood life events</w:t>
            </w:r>
            <w:r w:rsidR="00857B3A"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68 (18.8%)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95 (18.1%)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0.07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0.79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History of childhood trauma</w:t>
            </w:r>
            <w:r w:rsidR="00857B3A"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182 (50.3%)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323 (61.6%)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11.3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History of serious suicide attempts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9A3AE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43 (11.9%)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9A3AE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110 (21.0%)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9A3AE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12.1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9A3AE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sz w:val="18"/>
                <w:szCs w:val="18"/>
              </w:rPr>
              <w:t>Psychological domain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before="80"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Neuroticism,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NEO-FF subscale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39.77 ± 6.88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43.39 ± 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-7.78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  <w:tab w:val="left" w:pos="1110"/>
              </w:tabs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Extraversion,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NEO-FFI subscale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35.40 ± 6.44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32.40 ± 6.67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6.93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  <w:tab w:val="left" w:pos="111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Conscientiousness,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NEO-FFI subscale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41.54 ± 6.19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39.16 ± 6.46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5.52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  <w:tab w:val="left" w:pos="111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lastRenderedPageBreak/>
              <w:tab/>
              <w:t xml:space="preserve">Agreeableness,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mean NEO-FFI subscale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43.84 ± 5.13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42.46 ± 5.41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3.87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  <w:tab w:val="left" w:pos="111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Openness,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mean NEO-FFI subscale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38.13 ± 5.99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38.18 ± 6.28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-0.13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  <w:tab w:val="left" w:pos="111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</w:r>
            <w:r w:rsidRPr="00524E30">
              <w:rPr>
                <w:rFonts w:ascii="Arial" w:hAnsi="Arial" w:cs="Arial"/>
                <w:sz w:val="18"/>
                <w:szCs w:val="18"/>
                <w:lang w:val="en-US"/>
              </w:rPr>
              <w:t xml:space="preserve">Cognitive reactivity to sadness,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mean</w:t>
            </w:r>
            <w:r w:rsidRPr="00524E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LEIDS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38.77 ± 17.91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46.77 ± 17.71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-6.55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  <w:tab w:val="left" w:pos="111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Anxiety sensitivity,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mean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ASI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33.45 ± 9.63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36.02 ± 10.16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-3.77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316"/>
                <w:tab w:val="left" w:pos="111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Mastery,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mean Mastery scale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16.49 ± 3.83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13.82 ± 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9.97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sz w:val="18"/>
                <w:szCs w:val="18"/>
              </w:rPr>
              <w:t>Sociodemographic domain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</w:tabs>
              <w:spacing w:line="480" w:lineRule="auto"/>
              <w:ind w:left="-110" w:firstLine="110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Age in years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40.94 ± 12.25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42.59 ± 12.13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-1.97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0.047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</w:tabs>
              <w:spacing w:line="480" w:lineRule="auto"/>
              <w:ind w:left="-110" w:firstLine="110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Education years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E30">
              <w:rPr>
                <w:rFonts w:ascii="Arial" w:hAnsi="Arial" w:cs="Arial"/>
                <w:color w:val="000000"/>
                <w:sz w:val="18"/>
                <w:szCs w:val="18"/>
              </w:rPr>
              <w:t xml:space="preserve">12.16 </w:t>
            </w:r>
            <w:r w:rsidRPr="00524E30">
              <w:rPr>
                <w:rFonts w:ascii="Arial" w:hAnsi="Arial" w:cs="Arial"/>
                <w:sz w:val="18"/>
                <w:szCs w:val="18"/>
              </w:rPr>
              <w:t>± 3.29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E30">
              <w:rPr>
                <w:rFonts w:ascii="Arial" w:hAnsi="Arial" w:cs="Arial"/>
                <w:color w:val="000000"/>
                <w:sz w:val="18"/>
                <w:szCs w:val="18"/>
              </w:rPr>
              <w:t xml:space="preserve">11.68 </w:t>
            </w:r>
            <w:r w:rsidRPr="00524E30">
              <w:rPr>
                <w:rFonts w:ascii="Arial" w:hAnsi="Arial" w:cs="Arial"/>
                <w:sz w:val="18"/>
                <w:szCs w:val="18"/>
              </w:rPr>
              <w:t>± 3.37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E30">
              <w:rPr>
                <w:rFonts w:ascii="Arial" w:hAnsi="Arial" w:cs="Arial"/>
                <w:color w:val="000000"/>
                <w:sz w:val="18"/>
                <w:szCs w:val="18"/>
              </w:rPr>
              <w:t>t = 2.12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0.034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</w:tabs>
              <w:spacing w:line="480" w:lineRule="auto"/>
              <w:ind w:left="-110" w:firstLine="110"/>
              <w:rPr>
                <w:rFonts w:ascii="Arial" w:hAnsi="Arial" w:cs="Arial"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Female gender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4E30">
              <w:rPr>
                <w:rFonts w:ascii="Arial" w:hAnsi="Arial" w:cs="Arial"/>
                <w:color w:val="000000"/>
                <w:sz w:val="18"/>
                <w:szCs w:val="18"/>
              </w:rPr>
              <w:t>252 (69.6%)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353 (67.2%)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0.56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</w:tabs>
              <w:spacing w:line="480" w:lineRule="auto"/>
              <w:ind w:left="-110" w:firstLine="110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Currently employed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218 (60.2%)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268 (51.0%)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7.28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0.007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</w:tabs>
              <w:spacing w:line="480" w:lineRule="auto"/>
              <w:ind w:left="-110" w:firstLine="110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Has children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22008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168 (46.4%)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22008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239 (45.5%)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22008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0.07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22008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</w:tabs>
              <w:spacing w:line="480" w:lineRule="auto"/>
              <w:ind w:left="-110" w:firstLine="110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Current severe loneliness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29 (8.0%)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76 (14.5%)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8.50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3AB5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0.004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112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sz w:val="18"/>
                <w:szCs w:val="18"/>
              </w:rPr>
              <w:t>Biological domain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80"/>
                <w:tab w:val="left" w:pos="746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Number of chronic somatic diseases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0.61 ± 0.84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0.75 ± 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-2.25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1228D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0.025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8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Chronic pain with high disability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67 (18.5%)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154 (29.3%)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13.4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&lt;0.001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8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BMI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25.28 ± 4.64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25.77 ± 5.38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-1.47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8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Mean heart rate (bpm)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72.03 ± 9.76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71.75 ± 9.89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0.40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0.69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8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Systolic blood pressure (mmHg)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135.7 ± 20.91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136.5 ± 18.4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-0.62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8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CRP (mg/L, n=876)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2.70 ± 4.10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2.99 ± 5.83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-0.88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0.38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8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IL-6 (</w:t>
            </w:r>
            <w:proofErr w:type="spellStart"/>
            <w:r w:rsidRPr="00524E30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524E30">
              <w:rPr>
                <w:rFonts w:ascii="Arial" w:hAnsi="Arial" w:cs="Arial"/>
                <w:sz w:val="18"/>
                <w:szCs w:val="18"/>
              </w:rPr>
              <w:t>/ml, n=876)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1.23 ± 3.05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1.43 ± 3.08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-0.94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0.35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8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TNF-α (</w:t>
            </w:r>
            <w:proofErr w:type="spellStart"/>
            <w:r w:rsidRPr="00524E30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524E30">
              <w:rPr>
                <w:rFonts w:ascii="Arial" w:hAnsi="Arial" w:cs="Arial"/>
                <w:sz w:val="18"/>
                <w:szCs w:val="18"/>
              </w:rPr>
              <w:t>/ml, n=871)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1.09 ± 1.36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C8443D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 xml:space="preserve">1.04 </w:t>
            </w:r>
            <w:r w:rsidR="00522902" w:rsidRPr="00524E30">
              <w:rPr>
                <w:rFonts w:ascii="Arial" w:hAnsi="Arial" w:cs="Arial"/>
                <w:sz w:val="18"/>
                <w:szCs w:val="18"/>
              </w:rPr>
              <w:t>± 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0.55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0.58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8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BDNF(ng/ml, n=865)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9.26 ± 3.57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9.14 ± 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t = 0.48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0.63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112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sz w:val="18"/>
                <w:szCs w:val="18"/>
              </w:rPr>
              <w:t>Lifestyle domain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Former smoker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119 (32.9%)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153 (29.1%)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3.99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Current smoker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125 (34.5%)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216 (41.1%)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  <w:tab w:val="left" w:pos="746"/>
                <w:tab w:val="left" w:pos="1125"/>
              </w:tabs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Low physical activity,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past week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64 (18.9%)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137 (27.3%)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11.5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0.003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 xml:space="preserve">High physical activity,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past week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129 (38.1%)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144 (28.7%)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  <w:tab w:val="left" w:pos="1125"/>
              </w:tabs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Cs/>
                <w:sz w:val="18"/>
                <w:szCs w:val="18"/>
              </w:rPr>
              <w:tab/>
              <w:t>Any substance use</w:t>
            </w:r>
            <w:r w:rsidRPr="00524E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>past week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22 (6.1%)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44 (8.4%)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1.65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F26CE2" w:rsidRPr="00524E30" w:rsidRDefault="00522902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0.20</w:t>
            </w:r>
          </w:p>
        </w:tc>
      </w:tr>
      <w:tr w:rsidR="00F26CE2" w:rsidRPr="00524E30" w:rsidTr="00F26CE2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E2" w:rsidRPr="00524E30" w:rsidRDefault="00F26CE2" w:rsidP="00AE33B9">
            <w:pPr>
              <w:tabs>
                <w:tab w:val="left" w:pos="290"/>
                <w:tab w:val="left" w:pos="750"/>
                <w:tab w:val="left" w:pos="1125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ab/>
              <w:t>Hazardous</w:t>
            </w:r>
            <w:r w:rsidR="008F7E47">
              <w:rPr>
                <w:rFonts w:ascii="Arial" w:hAnsi="Arial" w:cs="Arial"/>
                <w:sz w:val="18"/>
                <w:szCs w:val="18"/>
              </w:rPr>
              <w:t xml:space="preserve"> drinking or alcohol dependency</w:t>
            </w:r>
            <w:bookmarkStart w:id="1" w:name="_GoBack"/>
            <w:bookmarkEnd w:id="1"/>
            <w:r w:rsidR="00D32D35"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24E30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 xml:space="preserve">past year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76 (21.1%)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120 (22.9%)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Χ</w:t>
            </w:r>
            <w:r w:rsidRPr="00524E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524E30">
              <w:rPr>
                <w:rFonts w:ascii="Arial" w:hAnsi="Arial" w:cs="Arial"/>
                <w:sz w:val="18"/>
                <w:szCs w:val="18"/>
              </w:rPr>
              <w:t>= 0.38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CE2" w:rsidRPr="00524E30" w:rsidRDefault="00AB0C36" w:rsidP="00AE33B9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0.54</w:t>
            </w:r>
          </w:p>
        </w:tc>
      </w:tr>
    </w:tbl>
    <w:p w:rsidR="000C7AE9" w:rsidRPr="00524E30" w:rsidRDefault="000C7AE9" w:rsidP="00AE33B9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 w:rsidRPr="00524E30">
        <w:rPr>
          <w:rFonts w:ascii="Arial" w:hAnsi="Arial" w:cs="Arial"/>
          <w:sz w:val="18"/>
          <w:szCs w:val="18"/>
          <w:lang w:val="en-US"/>
        </w:rPr>
        <w:t xml:space="preserve">PD: Panic Disorder; SAD: Social Anxiety Disorder; GAD: Generalized Anxiety Disorder; MDD: Major Depressive Disorder; FQ: Fear Questionnaire; PSWQ: Penn State Worry Questionnaire; SSI: </w:t>
      </w:r>
      <w:r w:rsidRPr="00524E30">
        <w:rPr>
          <w:rFonts w:ascii="Arial" w:hAnsi="Arial" w:cs="Arial"/>
          <w:color w:val="000000"/>
          <w:sz w:val="18"/>
          <w:szCs w:val="18"/>
          <w:lang w:val="en-US"/>
        </w:rPr>
        <w:t>Suicidal Ideation Scale</w:t>
      </w:r>
      <w:r w:rsidRPr="00524E30">
        <w:rPr>
          <w:rFonts w:ascii="Arial" w:hAnsi="Arial" w:cs="Arial"/>
          <w:sz w:val="18"/>
          <w:szCs w:val="18"/>
          <w:lang w:val="en-US"/>
        </w:rPr>
        <w:t xml:space="preserve">; 4DSQ: </w:t>
      </w:r>
      <w:r w:rsidRPr="00524E30">
        <w:rPr>
          <w:rFonts w:ascii="Arial" w:hAnsi="Arial" w:cs="Arial"/>
          <w:color w:val="000000"/>
          <w:sz w:val="18"/>
          <w:szCs w:val="18"/>
          <w:lang w:val="en-US"/>
        </w:rPr>
        <w:t>Four Dimensional Symptom Questionnaire</w:t>
      </w:r>
      <w:r w:rsidRPr="00524E30">
        <w:rPr>
          <w:rFonts w:ascii="Arial" w:hAnsi="Arial" w:cs="Arial"/>
          <w:sz w:val="18"/>
          <w:szCs w:val="18"/>
          <w:lang w:val="en-US"/>
        </w:rPr>
        <w:t xml:space="preserve">; IDS-SR: Inventory of Depressive Symptomatology-SR; ISR: Insomnia Rating Scale; BAI: Beck’s Anxiety Inventory; LCI: Life chart interview; NEO-FFI: </w:t>
      </w:r>
      <w:r w:rsidRPr="00524E30">
        <w:rPr>
          <w:rFonts w:ascii="Arial" w:hAnsi="Arial" w:cs="Arial"/>
          <w:color w:val="000000"/>
          <w:sz w:val="18"/>
          <w:szCs w:val="18"/>
          <w:lang w:val="en-US"/>
        </w:rPr>
        <w:t>NEO Five-Factor Inventory</w:t>
      </w:r>
      <w:r w:rsidRPr="00524E30">
        <w:rPr>
          <w:rFonts w:ascii="Arial" w:hAnsi="Arial" w:cs="Arial"/>
          <w:sz w:val="18"/>
          <w:szCs w:val="18"/>
          <w:lang w:val="en-US"/>
        </w:rPr>
        <w:t xml:space="preserve">; </w:t>
      </w:r>
      <w:r w:rsidRPr="00524E30">
        <w:rPr>
          <w:rFonts w:ascii="Arial" w:hAnsi="Arial" w:cs="Arial"/>
          <w:sz w:val="18"/>
          <w:szCs w:val="18"/>
          <w:lang w:val="en-US"/>
        </w:rPr>
        <w:lastRenderedPageBreak/>
        <w:t xml:space="preserve">LEIDS: </w:t>
      </w:r>
      <w:r w:rsidRPr="00524E30">
        <w:rPr>
          <w:rFonts w:ascii="Arial" w:hAnsi="Arial" w:cs="Arial"/>
          <w:color w:val="000000"/>
          <w:sz w:val="18"/>
          <w:szCs w:val="18"/>
          <w:lang w:val="en-US"/>
        </w:rPr>
        <w:t>Leiden Index of Depression Sensitivity</w:t>
      </w:r>
      <w:r w:rsidRPr="00524E30">
        <w:rPr>
          <w:rFonts w:ascii="Arial" w:hAnsi="Arial" w:cs="Arial"/>
          <w:sz w:val="18"/>
          <w:szCs w:val="18"/>
          <w:lang w:val="en-US"/>
        </w:rPr>
        <w:t>; ASI: Anxiety Sensitivity Index; BMI: Body Mass Index; CRP: c-reactive protein; IL-6: interleukin-6; TNF-α: tumor necrosis factor-α; BDNF: Brain Derived Neurotrophic Factor.</w:t>
      </w:r>
    </w:p>
    <w:p w:rsidR="00F26CE2" w:rsidRPr="00524E30" w:rsidRDefault="00857B3A" w:rsidP="00AE33B9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524E30">
        <w:rPr>
          <w:rFonts w:ascii="Arial" w:hAnsi="Arial" w:cs="Arial"/>
          <w:sz w:val="18"/>
          <w:szCs w:val="18"/>
          <w:vertAlign w:val="superscript"/>
        </w:rPr>
        <w:t>1</w:t>
      </w:r>
      <w:r w:rsidR="00F26CE2" w:rsidRPr="00524E3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F26CE2" w:rsidRPr="00524E30">
        <w:rPr>
          <w:rFonts w:ascii="Arial" w:hAnsi="Arial" w:cs="Arial"/>
          <w:sz w:val="18"/>
          <w:szCs w:val="18"/>
        </w:rPr>
        <w:t>childhood life events (&lt;16 years of age) were parental divorce, being placed in a juvenile prison, raised in a foster family, placed in a child home, death of a parent.</w:t>
      </w:r>
    </w:p>
    <w:p w:rsidR="00F26CE2" w:rsidRPr="00524E30" w:rsidRDefault="00857B3A" w:rsidP="00AE33B9">
      <w:pPr>
        <w:spacing w:line="48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24E30">
        <w:rPr>
          <w:rFonts w:ascii="Arial" w:hAnsi="Arial" w:cs="Arial"/>
          <w:sz w:val="18"/>
          <w:szCs w:val="18"/>
          <w:vertAlign w:val="superscript"/>
        </w:rPr>
        <w:t>2</w:t>
      </w:r>
      <w:r w:rsidR="00F26CE2" w:rsidRPr="00524E3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F26CE2" w:rsidRPr="00524E30">
        <w:rPr>
          <w:rFonts w:ascii="Arial" w:hAnsi="Arial" w:cs="Arial"/>
          <w:sz w:val="18"/>
          <w:szCs w:val="18"/>
        </w:rPr>
        <w:t>childhood trauma included emotional neglect, psychological abuse, physical abuse and sexual abuse</w:t>
      </w:r>
      <w:r w:rsidR="00F26CE2" w:rsidRPr="00524E30">
        <w:rPr>
          <w:rFonts w:ascii="Arial" w:hAnsi="Arial" w:cs="Arial"/>
          <w:sz w:val="18"/>
          <w:szCs w:val="18"/>
        </w:rPr>
        <w:br/>
      </w:r>
      <w:r w:rsidR="00D32D35" w:rsidRPr="00524E30">
        <w:rPr>
          <w:rFonts w:ascii="Arial" w:hAnsi="Arial" w:cs="Arial"/>
          <w:sz w:val="18"/>
          <w:szCs w:val="18"/>
          <w:vertAlign w:val="superscript"/>
        </w:rPr>
        <w:t>3</w:t>
      </w:r>
      <w:r w:rsidR="00F26CE2" w:rsidRPr="00524E3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F26CE2" w:rsidRPr="00524E30">
        <w:rPr>
          <w:rFonts w:ascii="Arial" w:hAnsi="Arial" w:cs="Arial"/>
          <w:sz w:val="18"/>
          <w:szCs w:val="18"/>
        </w:rPr>
        <w:t>as measured with the AUDIT. Scores above 8 are reflective of hazardous drinking, scores at 13 or higher (females) and 15 or higher (males) are indicative of probable alcohol dependency.</w:t>
      </w:r>
      <w:r w:rsidR="00F26CE2" w:rsidRPr="00524E30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F26CE2" w:rsidRPr="00524E30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7D43B0" w:rsidRPr="00524E30" w:rsidRDefault="00A32CF1" w:rsidP="00AE33B9">
      <w:pPr>
        <w:spacing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Supplementary </w:t>
      </w:r>
      <w:r w:rsidR="007D43B0" w:rsidRPr="00524E30">
        <w:rPr>
          <w:rFonts w:ascii="Arial" w:hAnsi="Arial" w:cs="Arial"/>
          <w:b/>
          <w:bCs/>
          <w:color w:val="000000"/>
          <w:sz w:val="20"/>
          <w:szCs w:val="20"/>
        </w:rPr>
        <w:t xml:space="preserve">Table </w:t>
      </w:r>
      <w:r w:rsidR="00F26CE2" w:rsidRPr="00524E30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7D43B0" w:rsidRPr="00524E3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7D43B0" w:rsidRPr="00524E30">
        <w:rPr>
          <w:rFonts w:ascii="Arial" w:hAnsi="Arial" w:cs="Arial"/>
          <w:bCs/>
          <w:color w:val="000000"/>
          <w:sz w:val="20"/>
          <w:szCs w:val="20"/>
        </w:rPr>
        <w:t>Consistently selected significant variables in the recovery from anxiety disorders classification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5045"/>
        <w:gridCol w:w="1794"/>
      </w:tblGrid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Selection Frequency [%]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NEO-FFI item 31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 rarely feel fearful or anxious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Panic/Phobic symptoms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WHO DAS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How much embarrassment did you experience because of your health problems during the past 30 days?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Walking alone in a busy street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PDA 1m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Panic with agoraphobia - past month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Life chart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percent of time with anxiety symptoms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WHO DAS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Dealing with people you do not know?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NEO-FFI, neuroticism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Anxiety alternative rationally derived decomposition of neuroticism domain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PDA 12m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Panic with agoraphobia - past year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Feeling Anxious or Tense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feel: tense?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NEO-FFI, item 22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 like to be where the action is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MASTERY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 often feel helpless dealing with the problems of life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SAD l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Social 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>Anxiety Disorder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- in lifetime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PDA 6m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Panic with </w:t>
            </w:r>
            <w:proofErr w:type="spellStart"/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agorafobia</w:t>
            </w:r>
            <w:proofErr w:type="spellEnd"/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- past 6 months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Faint, lightheaded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7D43B0" w:rsidRPr="00524E30" w:rsidTr="00FE75B1">
        <w:trPr>
          <w:trHeight w:val="20"/>
        </w:trPr>
        <w:tc>
          <w:tcPr>
            <w:tcW w:w="221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suffer from: worry?</w:t>
            </w:r>
          </w:p>
        </w:tc>
        <w:tc>
          <w:tcPr>
            <w:tcW w:w="17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</w:tbl>
    <w:p w:rsidR="007D43B0" w:rsidRPr="00524E30" w:rsidRDefault="007D43B0" w:rsidP="00AE33B9">
      <w:pPr>
        <w:spacing w:after="0" w:line="480" w:lineRule="auto"/>
        <w:rPr>
          <w:rFonts w:ascii="Times New Roman"/>
          <w:sz w:val="24"/>
          <w:szCs w:val="24"/>
        </w:rPr>
      </w:pPr>
    </w:p>
    <w:p w:rsidR="007D43B0" w:rsidRPr="00524E30" w:rsidRDefault="007D43B0" w:rsidP="00AE33B9">
      <w:pPr>
        <w:spacing w:line="48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24E30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7D43B0" w:rsidRPr="00524E30" w:rsidRDefault="00A32CF1" w:rsidP="00AE33B9">
      <w:pPr>
        <w:spacing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Supplementary </w:t>
      </w:r>
      <w:r w:rsidR="007D43B0" w:rsidRPr="00524E30">
        <w:rPr>
          <w:rFonts w:ascii="Arial" w:hAnsi="Arial" w:cs="Arial"/>
          <w:b/>
          <w:bCs/>
          <w:color w:val="000000"/>
          <w:sz w:val="20"/>
          <w:szCs w:val="20"/>
        </w:rPr>
        <w:t xml:space="preserve">Table </w:t>
      </w:r>
      <w:r w:rsidR="00F26CE2" w:rsidRPr="00524E30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7D43B0" w:rsidRPr="00524E3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7D43B0" w:rsidRPr="00524E30">
        <w:rPr>
          <w:rFonts w:ascii="Arial" w:hAnsi="Arial" w:cs="Arial"/>
          <w:bCs/>
          <w:color w:val="000000"/>
          <w:sz w:val="20"/>
          <w:szCs w:val="20"/>
        </w:rPr>
        <w:t xml:space="preserve">Consistently selected significant variables in the recovery from </w:t>
      </w:r>
      <w:r w:rsidR="001976CA" w:rsidRPr="00524E30">
        <w:rPr>
          <w:rFonts w:ascii="Arial" w:hAnsi="Arial" w:cs="Arial"/>
          <w:bCs/>
          <w:color w:val="000000"/>
          <w:sz w:val="20"/>
          <w:szCs w:val="20"/>
        </w:rPr>
        <w:t>common mental disorders</w:t>
      </w:r>
      <w:r w:rsidR="007D43B0" w:rsidRPr="00524E30">
        <w:rPr>
          <w:rFonts w:ascii="Arial" w:hAnsi="Arial" w:cs="Arial"/>
          <w:bCs/>
          <w:color w:val="000000"/>
          <w:sz w:val="20"/>
          <w:szCs w:val="20"/>
        </w:rPr>
        <w:t xml:space="preserve"> classification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5164"/>
        <w:gridCol w:w="1720"/>
      </w:tblGrid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Variable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Selection Frequency [%]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successful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suffer from: feeling down or depressed?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dysthymia 1m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Dysthymia  - past month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Feeling Sad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feel: that you can’t enjoy anything anymore?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dysthymia 6m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Dysthymia  - past 6 months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feel: that you can’t cope anymore?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feel: that you can no longer take interest in the people and things around you?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suffer from: worry?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feel: that you can’t face it anymore?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astery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Some of my problems I cannot seem to solve at all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NEO-FFI, neuroticism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Selfreproach</w:t>
            </w:r>
            <w:proofErr w:type="spell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astery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 often feel helpless dealing with the problems of life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Mastery item </w:t>
            </w:r>
            <w:r w:rsidR="007D43B0" w:rsidRPr="00524E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Sometimes I feel like a play ball of life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feel: tense?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MDD 12m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Major Depression - past year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dysthymia 12m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Dysthymia  - past year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SSI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Desire to die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Response of Your Mood to Good or Desired Events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Mastery item </w:t>
            </w:r>
            <w:r w:rsidR="007D43B0" w:rsidRPr="00524E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 have little control about the things that happen to me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Feeling Anxious or Tense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MDD 1m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Major Depression - past month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Had trouble making decisions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Capacity for Pleasure or Enjoyment (excluding sex)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really "up" or lively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Life chart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anxiety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percent of time with anxiety symptoms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BAI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Faint, lightheaded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really happy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dissatisfied with everything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like I was having a lot of fun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SSI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Desire to live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7D43B0" w:rsidRPr="00524E30">
              <w:rPr>
                <w:rFonts w:ascii="Arial" w:hAnsi="Arial" w:cs="Arial"/>
                <w:color w:val="000000"/>
                <w:sz w:val="20"/>
                <w:szCs w:val="20"/>
              </w:rPr>
              <w:t>oneliness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="007D43B0" w:rsidRPr="00524E3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 experience a general sense of emptiness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Quality of Your Mood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Unsteady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NEO-FFI, neuroticism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Concentration/Decision Making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inferior to others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MASTERY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There is not much that I can do to change important things in my life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really good about myself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Worried a lot about things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QUOTE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Started feeling in control over my problems.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PSWQ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Many situations make me worry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NEO-FFI, conscientiousness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Orderliness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QUOTE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professional taught me how to deal with future symptoms.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QUOTE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general </w:t>
            </w:r>
            <w:proofErr w:type="spellStart"/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practicioner</w:t>
            </w:r>
            <w:proofErr w:type="spellEnd"/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explained the pros and cons of different medications.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Was short of breath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Leaden Paralysis/Physical Energy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7D43B0" w:rsidRPr="00524E30" w:rsidTr="00FE75B1">
        <w:trPr>
          <w:trHeight w:val="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NEO-FFI, neuroticism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Negative affect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</w:tbl>
    <w:p w:rsidR="007D43B0" w:rsidRPr="00524E30" w:rsidRDefault="007D43B0" w:rsidP="00AE33B9">
      <w:pPr>
        <w:spacing w:line="48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24E30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7D43B0" w:rsidRPr="00524E30" w:rsidRDefault="00A32CF1" w:rsidP="00AE33B9">
      <w:pPr>
        <w:spacing w:line="480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Supplementary </w:t>
      </w:r>
      <w:r w:rsidR="007D43B0" w:rsidRPr="00524E30">
        <w:rPr>
          <w:rFonts w:ascii="Arial" w:hAnsi="Arial" w:cs="Arial"/>
          <w:b/>
          <w:bCs/>
          <w:color w:val="000000"/>
          <w:sz w:val="20"/>
          <w:szCs w:val="20"/>
        </w:rPr>
        <w:t xml:space="preserve">Table </w:t>
      </w:r>
      <w:r w:rsidR="00F26CE2" w:rsidRPr="00524E30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7D43B0" w:rsidRPr="00524E3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7D43B0" w:rsidRPr="00524E30">
        <w:rPr>
          <w:rFonts w:ascii="Arial" w:hAnsi="Arial" w:cs="Arial"/>
          <w:bCs/>
          <w:color w:val="000000"/>
          <w:sz w:val="20"/>
          <w:szCs w:val="20"/>
        </w:rPr>
        <w:t>Variables which were more (or less) important in the broad perspective (recovery from anxiety and affective disorders) in comparison to the narrow perspective (recovery from anxiety disorders).</w:t>
      </w:r>
    </w:p>
    <w:tbl>
      <w:tblPr>
        <w:tblW w:w="9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6920"/>
      </w:tblGrid>
      <w:tr w:rsidR="007D43B0" w:rsidRPr="00524E30" w:rsidTr="005A430A">
        <w:tc>
          <w:tcPr>
            <w:tcW w:w="2150" w:type="dxa"/>
            <w:tcBorders>
              <w:top w:val="single" w:sz="8" w:space="0" w:color="000000"/>
              <w:left w:val="single" w:sz="8" w:space="0" w:color="FFFFFF"/>
              <w:bottom w:val="single" w:sz="6" w:space="0" w:color="auto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Variable Name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8" w:space="0" w:color="FFFFFF"/>
              <w:bottom w:val="single" w:sz="6" w:space="0" w:color="auto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7D43B0" w:rsidRPr="00524E30" w:rsidTr="00FE75B1">
        <w:tc>
          <w:tcPr>
            <w:tcW w:w="0" w:type="auto"/>
            <w:gridSpan w:val="2"/>
            <w:tcBorders>
              <w:top w:val="single" w:sz="6" w:space="0" w:color="auto"/>
              <w:left w:val="single" w:sz="8" w:space="0" w:color="FFFFFF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More important for narrow perspective 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WHO DAS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Deal</w:t>
            </w:r>
            <w:r w:rsidR="005A430A" w:rsidRPr="00524E30">
              <w:rPr>
                <w:rFonts w:ascii="Arial" w:hAnsi="Arial" w:cs="Arial"/>
                <w:color w:val="000000"/>
                <w:sz w:val="20"/>
                <w:szCs w:val="20"/>
              </w:rPr>
              <w:t>ing with people you do not know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BAI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Hot, cold sweats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Traveling alone by train or bus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Other bodily symptoms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BAI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Fear of worst happening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SAD l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Social 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>Anxiety Disorder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- in lifetime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Blood plasma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Kynurenine (µ</w:t>
            </w:r>
            <w:proofErr w:type="spellStart"/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mol</w:t>
            </w:r>
            <w:proofErr w:type="spellEnd"/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WHO DAS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How much embarrassment did you experience because of your health problems during the past 30 days?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SAD 12m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Social 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>Anxiety Disorder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- past year</w:t>
            </w:r>
          </w:p>
        </w:tc>
      </w:tr>
      <w:tr w:rsidR="007D43B0" w:rsidRPr="00524E30" w:rsidTr="00FE75B1"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More important for broad perspective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loneliness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 experience a general sense of emptiness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QUOTE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The professional taught me how to deal with future symptoms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feel: that you just can’t do anything anymore?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 MDD 1m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Major Depression - past month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like I had a lot of energy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F26CE2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CIDI MDD 6m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Major Depression - past 6 months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hopeless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QUOTE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Started feeling in control over my problems. 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SSI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Reasons for living or dying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dysthymia m12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Dysthymia  - past year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Felt dissatisfied with everything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CIDI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MDD 12m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Major Depression - past year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QUOTE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professional reduced my symptoms. 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week: tingling in the fingers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feel: easily irritated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IDS-SR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Sleep During the Night</w:t>
            </w:r>
          </w:p>
        </w:tc>
      </w:tr>
      <w:tr w:rsidR="007D43B0" w:rsidRPr="00524E30" w:rsidTr="005A430A"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4DSQ</w:t>
            </w:r>
            <w:r w:rsidR="00F26CE2" w:rsidRPr="00524E30">
              <w:rPr>
                <w:rFonts w:ascii="Arial" w:hAnsi="Arial" w:cs="Arial"/>
                <w:color w:val="000000"/>
                <w:sz w:val="20"/>
                <w:szCs w:val="20"/>
              </w:rPr>
              <w:t xml:space="preserve"> item </w:t>
            </w: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43B0" w:rsidRPr="00524E30" w:rsidRDefault="007D43B0" w:rsidP="00AE33B9">
            <w:pPr>
              <w:spacing w:after="0" w:line="480" w:lineRule="auto"/>
              <w:rPr>
                <w:rFonts w:ascii="Times New Roman"/>
                <w:sz w:val="24"/>
                <w:szCs w:val="24"/>
              </w:rPr>
            </w:pPr>
            <w:r w:rsidRPr="00524E30">
              <w:rPr>
                <w:rFonts w:ascii="Arial" w:hAnsi="Arial" w:cs="Arial"/>
                <w:color w:val="000000"/>
                <w:sz w:val="20"/>
                <w:szCs w:val="20"/>
              </w:rPr>
              <w:t>During the past week did you suffer from: listlessness?</w:t>
            </w:r>
          </w:p>
        </w:tc>
      </w:tr>
    </w:tbl>
    <w:p w:rsidR="00802D57" w:rsidRPr="00524E30" w:rsidRDefault="00802D57">
      <w:pPr>
        <w:rPr>
          <w:b/>
          <w:bCs/>
        </w:rPr>
      </w:pPr>
      <w:r w:rsidRPr="00524E30">
        <w:rPr>
          <w:b/>
          <w:bCs/>
        </w:rPr>
        <w:br w:type="page"/>
      </w:r>
    </w:p>
    <w:p w:rsidR="00802D57" w:rsidRPr="00524E30" w:rsidRDefault="00802D57" w:rsidP="00802D57">
      <w:pPr>
        <w:spacing w:line="276" w:lineRule="auto"/>
        <w:rPr>
          <w:rFonts w:ascii="Times New Roman"/>
          <w:sz w:val="24"/>
          <w:szCs w:val="24"/>
        </w:rPr>
      </w:pPr>
      <w:r w:rsidRPr="00524E3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Supplementary Table 5: </w:t>
      </w:r>
      <w:r w:rsidRPr="00524E30">
        <w:rPr>
          <w:rFonts w:ascii="Arial" w:hAnsi="Arial" w:cs="Arial"/>
          <w:bCs/>
          <w:color w:val="000000"/>
          <w:sz w:val="20"/>
          <w:szCs w:val="20"/>
        </w:rPr>
        <w:t>Evaluation of the two-year recovery from anxiety disorders classification</w:t>
      </w:r>
      <w:r w:rsidR="000B4474" w:rsidRPr="00524E30">
        <w:rPr>
          <w:rFonts w:ascii="Arial" w:hAnsi="Arial" w:cs="Arial"/>
          <w:bCs/>
          <w:color w:val="000000"/>
          <w:sz w:val="20"/>
          <w:szCs w:val="20"/>
        </w:rPr>
        <w:t xml:space="preserve"> using a transfer learning approach</w:t>
      </w:r>
      <w:r w:rsidRPr="00524E30">
        <w:rPr>
          <w:rFonts w:ascii="Arial" w:hAnsi="Arial" w:cs="Arial"/>
          <w:bCs/>
          <w:color w:val="000000"/>
          <w:sz w:val="20"/>
          <w:szCs w:val="20"/>
        </w:rPr>
        <w:t> [mean (SD)]</w:t>
      </w:r>
    </w:p>
    <w:tbl>
      <w:tblPr>
        <w:tblW w:w="9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240"/>
        <w:gridCol w:w="1170"/>
        <w:gridCol w:w="1274"/>
        <w:gridCol w:w="1274"/>
        <w:gridCol w:w="1240"/>
        <w:gridCol w:w="1240"/>
      </w:tblGrid>
      <w:tr w:rsidR="00802D57" w:rsidRPr="00524E30" w:rsidTr="005815B7"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Domains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AUC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Accuracy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Sensitivity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Specificity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PPV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NPV</w:t>
            </w:r>
          </w:p>
        </w:tc>
      </w:tr>
      <w:tr w:rsidR="00802D57" w:rsidRPr="00524E30" w:rsidTr="005815B7"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Cs/>
                <w:sz w:val="18"/>
                <w:szCs w:val="18"/>
              </w:rPr>
              <w:t>0.71 (0.05)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62.5 (5.3)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65.4 (8.7)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59.7 (7.3)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0.53 (0.06)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0.72 (0.06)</w:t>
            </w:r>
          </w:p>
        </w:tc>
      </w:tr>
      <w:tr w:rsidR="00802D57" w:rsidRPr="00524E30" w:rsidTr="005815B7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Psychological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Cs/>
                <w:sz w:val="18"/>
                <w:szCs w:val="18"/>
              </w:rPr>
              <w:t>0.67 (0.05)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62.0 (5.0)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61.6 (8.6)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62.4 (6.6)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0.53 (0.05)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0.70 (0.05)</w:t>
            </w:r>
          </w:p>
        </w:tc>
      </w:tr>
      <w:tr w:rsidR="00802D57" w:rsidRPr="00524E30" w:rsidTr="005815B7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Socio-</w:t>
            </w: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demographic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0.65 (0.06)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60.6 (5.7)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64.4 (8.7)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56.7 (7.3)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0.51 (0.06)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0.70 (0.06)</w:t>
            </w:r>
          </w:p>
        </w:tc>
      </w:tr>
      <w:tr w:rsidR="00802D57" w:rsidRPr="00524E30" w:rsidTr="005815B7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Biological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0.57 (0.05)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55.4 (4.7)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57.3 (7.8)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53.6 (6.4)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0.46 (0.04)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0.65 (0.05)</w:t>
            </w:r>
          </w:p>
        </w:tc>
      </w:tr>
      <w:tr w:rsidR="00802D57" w:rsidRPr="00524E30" w:rsidTr="005815B7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Lifestyle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0.53 (0.06)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51.7 (4.5)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62.0 (7.2)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41.5 (6.9)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0.42 (0.04)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0.61 (0.06)</w:t>
            </w:r>
          </w:p>
        </w:tc>
      </w:tr>
      <w:tr w:rsidR="00802D57" w:rsidRPr="00524E30" w:rsidTr="005815B7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/>
                <w:bCs/>
                <w:sz w:val="18"/>
                <w:szCs w:val="18"/>
              </w:rPr>
              <w:t>Combination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4E30">
              <w:rPr>
                <w:rFonts w:ascii="Arial" w:hAnsi="Arial" w:cs="Arial"/>
                <w:bCs/>
                <w:sz w:val="18"/>
                <w:szCs w:val="18"/>
              </w:rPr>
              <w:t>0.71 (0.05)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63.3 (4.8)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65.0 (8.5)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61.7 (6.0)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0.54 (0.05)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2D57" w:rsidRPr="00524E30" w:rsidRDefault="00802D57" w:rsidP="005815B7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24E30">
              <w:rPr>
                <w:rFonts w:ascii="Arial" w:hAnsi="Arial" w:cs="Arial"/>
                <w:sz w:val="18"/>
                <w:szCs w:val="18"/>
              </w:rPr>
              <w:t>0.72 (0.05)</w:t>
            </w:r>
          </w:p>
        </w:tc>
      </w:tr>
    </w:tbl>
    <w:p w:rsidR="00A32CF1" w:rsidRPr="00524E30" w:rsidRDefault="00802D57" w:rsidP="00802D57">
      <w:pPr>
        <w:spacing w:line="276" w:lineRule="auto"/>
        <w:jc w:val="both"/>
        <w:rPr>
          <w:rFonts w:cs="Arial"/>
          <w:b/>
          <w:color w:val="222222"/>
          <w:shd w:val="clear" w:color="auto" w:fill="FFFFFF"/>
        </w:rPr>
      </w:pPr>
      <w:r w:rsidRPr="00524E30">
        <w:rPr>
          <w:rFonts w:ascii="Arial" w:hAnsi="Arial" w:cs="Arial"/>
          <w:color w:val="000000"/>
          <w:sz w:val="18"/>
          <w:szCs w:val="18"/>
        </w:rPr>
        <w:t>AUC, area-under-receiver-operator-curve; PPV, positive predictive value; NPV, negative predictive value</w:t>
      </w:r>
      <w:r w:rsidR="00A32CF1" w:rsidRPr="00524E30">
        <w:rPr>
          <w:b/>
          <w:bCs/>
        </w:rPr>
        <w:br w:type="page"/>
      </w:r>
    </w:p>
    <w:p w:rsidR="007D43B0" w:rsidRPr="00524E30" w:rsidRDefault="00A32CF1" w:rsidP="00AE33B9">
      <w:pPr>
        <w:spacing w:line="480" w:lineRule="auto"/>
        <w:rPr>
          <w:b/>
          <w:bCs/>
        </w:rPr>
      </w:pPr>
      <w:r w:rsidRPr="00524E30">
        <w:rPr>
          <w:b/>
          <w:bCs/>
        </w:rPr>
        <w:lastRenderedPageBreak/>
        <w:t>References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Ainsworth BE, Bassett  Jr. DR, Strath SJ, Swartz AM, O’Brien WL, Thompson RW, Jones DA, Macera CA, Kimsey CD</w:t>
      </w:r>
      <w:r w:rsidRPr="00524E30">
        <w:rPr>
          <w:rFonts w:ascii="Calibri" w:hAnsi="Calibri"/>
          <w:noProof/>
          <w:szCs w:val="24"/>
        </w:rPr>
        <w:t xml:space="preserve"> (2000). Comparison of three methods for measuring the time spent in physical activity. </w:t>
      </w:r>
      <w:r w:rsidRPr="00524E30">
        <w:rPr>
          <w:rFonts w:ascii="Calibri" w:hAnsi="Calibri"/>
          <w:i/>
          <w:iCs/>
          <w:noProof/>
          <w:szCs w:val="24"/>
        </w:rPr>
        <w:t>Medicine &amp; Science in Sports &amp; Exercise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Altmann A, Toloşi L, Sander O, Lengauer T</w:t>
      </w:r>
      <w:r w:rsidRPr="00524E30">
        <w:rPr>
          <w:rFonts w:ascii="Calibri" w:hAnsi="Calibri"/>
          <w:noProof/>
          <w:szCs w:val="24"/>
        </w:rPr>
        <w:t xml:space="preserve"> (2010). Permutation importance: A corrected feature importance measure. </w:t>
      </w:r>
      <w:r w:rsidRPr="00524E30">
        <w:rPr>
          <w:rFonts w:ascii="Calibri" w:hAnsi="Calibri"/>
          <w:i/>
          <w:iCs/>
          <w:noProof/>
          <w:szCs w:val="24"/>
        </w:rPr>
        <w:t>Bioinformatics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26</w:t>
      </w:r>
      <w:r w:rsidRPr="00524E30">
        <w:rPr>
          <w:rFonts w:ascii="Calibri" w:hAnsi="Calibri"/>
          <w:noProof/>
          <w:szCs w:val="24"/>
        </w:rPr>
        <w:t>, 1340–1347.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Ashton LA, Myers S</w:t>
      </w:r>
      <w:r w:rsidRPr="00524E30">
        <w:rPr>
          <w:rFonts w:ascii="Calibri" w:hAnsi="Calibri"/>
          <w:noProof/>
          <w:szCs w:val="24"/>
        </w:rPr>
        <w:t xml:space="preserve"> (2004). Serial Grip Strength Testing- Its Role In Assessment Of Wrist And Hand Disability. </w:t>
      </w:r>
      <w:r w:rsidRPr="00524E30">
        <w:rPr>
          <w:rFonts w:ascii="Calibri" w:hAnsi="Calibri"/>
          <w:i/>
          <w:iCs/>
          <w:noProof/>
          <w:szCs w:val="24"/>
        </w:rPr>
        <w:t>The Internet Journal of Surgery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5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Beck A, Epstein N, Brown G, Steer R</w:t>
      </w:r>
      <w:r w:rsidRPr="00524E30">
        <w:rPr>
          <w:rFonts w:ascii="Calibri" w:hAnsi="Calibri"/>
          <w:noProof/>
          <w:szCs w:val="24"/>
        </w:rPr>
        <w:t xml:space="preserve"> (1988). An inventory for measuring clinical anxiety: Psychometric properties. </w:t>
      </w:r>
      <w:r w:rsidRPr="00524E30">
        <w:rPr>
          <w:rFonts w:ascii="Calibri" w:hAnsi="Calibri"/>
          <w:i/>
          <w:iCs/>
          <w:noProof/>
          <w:szCs w:val="24"/>
        </w:rPr>
        <w:t>Journal of consulting and Clinical Psychology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56</w:t>
      </w:r>
      <w:r w:rsidRPr="00524E30">
        <w:rPr>
          <w:rFonts w:ascii="Calibri" w:hAnsi="Calibri"/>
          <w:noProof/>
          <w:szCs w:val="24"/>
        </w:rPr>
        <w:t>, 893–897.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Beck AT, Kovacs M, Weissman A</w:t>
      </w:r>
      <w:r w:rsidRPr="00524E30">
        <w:rPr>
          <w:rFonts w:ascii="Calibri" w:hAnsi="Calibri"/>
          <w:noProof/>
          <w:szCs w:val="24"/>
        </w:rPr>
        <w:t xml:space="preserve"> (1979). Assessment of suicidal intention: The Scale for Suicide Ideation. </w:t>
      </w:r>
      <w:r w:rsidRPr="00524E30">
        <w:rPr>
          <w:rFonts w:ascii="Calibri" w:hAnsi="Calibri"/>
          <w:i/>
          <w:iCs/>
          <w:noProof/>
          <w:szCs w:val="24"/>
        </w:rPr>
        <w:t>Journal of Consulting and Clinical Psychology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Bellace J V., Healy D, Besser MP, Byron T, Hohman L</w:t>
      </w:r>
      <w:r w:rsidRPr="00524E30">
        <w:rPr>
          <w:rFonts w:ascii="Calibri" w:hAnsi="Calibri"/>
          <w:noProof/>
          <w:szCs w:val="24"/>
        </w:rPr>
        <w:t xml:space="preserve"> (2000). Validity of the Dexter Evaluation System’s Jamar dynamometer attachment for assessment of hand grip strength in a normal population. </w:t>
      </w:r>
      <w:r w:rsidRPr="00524E30">
        <w:rPr>
          <w:rFonts w:ascii="Calibri" w:hAnsi="Calibri"/>
          <w:i/>
          <w:iCs/>
          <w:noProof/>
          <w:szCs w:val="24"/>
        </w:rPr>
        <w:t>Journal of Hand Therapy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Boulesteix AL, Janitza S, Kruppa J, König IR</w:t>
      </w:r>
      <w:r w:rsidRPr="00524E30">
        <w:rPr>
          <w:rFonts w:ascii="Calibri" w:hAnsi="Calibri"/>
          <w:noProof/>
          <w:szCs w:val="24"/>
        </w:rPr>
        <w:t xml:space="preserve"> (2012). Overview of random forest methodology and practical guidance with emphasis on computational biology and bioinformatics. </w:t>
      </w:r>
      <w:r w:rsidRPr="00524E30">
        <w:rPr>
          <w:rFonts w:ascii="Calibri" w:hAnsi="Calibri"/>
          <w:i/>
          <w:iCs/>
          <w:noProof/>
          <w:szCs w:val="24"/>
        </w:rPr>
        <w:t>Wiley Interdisciplinary Reviews: Data Mining and Knowledge Discovery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2</w:t>
      </w:r>
      <w:r w:rsidRPr="00524E30">
        <w:rPr>
          <w:rFonts w:ascii="Calibri" w:hAnsi="Calibri"/>
          <w:noProof/>
          <w:szCs w:val="24"/>
        </w:rPr>
        <w:t>, 493–507.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Breiman L, Friedman JH, Olshen RA, Stone CJ</w:t>
      </w:r>
      <w:r w:rsidRPr="00524E30">
        <w:rPr>
          <w:rFonts w:ascii="Calibri" w:hAnsi="Calibri"/>
          <w:noProof/>
          <w:szCs w:val="24"/>
        </w:rPr>
        <w:t xml:space="preserve"> (1984). </w:t>
      </w:r>
      <w:r w:rsidRPr="00524E30">
        <w:rPr>
          <w:rFonts w:ascii="Calibri" w:hAnsi="Calibri"/>
          <w:i/>
          <w:iCs/>
          <w:noProof/>
          <w:szCs w:val="24"/>
        </w:rPr>
        <w:t>Classification and regression trees</w:t>
      </w:r>
      <w:r w:rsidRPr="00524E30">
        <w:rPr>
          <w:rFonts w:ascii="Calibri" w:hAnsi="Calibri"/>
          <w:noProof/>
          <w:szCs w:val="24"/>
        </w:rPr>
        <w:t>. Wadsworth &amp; Brooks/Cole Advanced Books &amp; Software: Monterey, CA.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Brugha T, Bebbington P, Tennant C, Hurry J</w:t>
      </w:r>
      <w:r w:rsidRPr="00524E30">
        <w:rPr>
          <w:rFonts w:ascii="Calibri" w:hAnsi="Calibri"/>
          <w:noProof/>
          <w:szCs w:val="24"/>
        </w:rPr>
        <w:t xml:space="preserve"> (1985). The List of Threatening Experiences: a subset of 12 life event categories with considerable long-term contextual threat. </w:t>
      </w:r>
      <w:r w:rsidRPr="00524E30">
        <w:rPr>
          <w:rFonts w:ascii="Calibri" w:hAnsi="Calibri"/>
          <w:i/>
          <w:iCs/>
          <w:noProof/>
          <w:szCs w:val="24"/>
        </w:rPr>
        <w:t>Psychological Medicine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15</w:t>
      </w:r>
      <w:r w:rsidRPr="00524E30">
        <w:rPr>
          <w:rFonts w:ascii="Calibri" w:hAnsi="Calibri"/>
          <w:noProof/>
          <w:szCs w:val="24"/>
        </w:rPr>
        <w:t>, 189.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lastRenderedPageBreak/>
        <w:t>Chen C, Liaw A, Breiman L</w:t>
      </w:r>
      <w:r w:rsidRPr="00524E30">
        <w:rPr>
          <w:rFonts w:ascii="Calibri" w:hAnsi="Calibri"/>
          <w:noProof/>
          <w:szCs w:val="24"/>
        </w:rPr>
        <w:t xml:space="preserve"> (2004). Using Random Forest to Learn Imbalanced Data. </w:t>
      </w:r>
      <w:r w:rsidRPr="00524E30">
        <w:rPr>
          <w:rFonts w:ascii="Calibri" w:hAnsi="Calibri"/>
          <w:i/>
          <w:iCs/>
          <w:noProof/>
          <w:szCs w:val="24"/>
        </w:rPr>
        <w:t>University of California, Berkeley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Chwastiak LA, Von Korff M</w:t>
      </w:r>
      <w:r w:rsidRPr="00524E30">
        <w:rPr>
          <w:rFonts w:ascii="Calibri" w:hAnsi="Calibri"/>
          <w:noProof/>
          <w:szCs w:val="24"/>
        </w:rPr>
        <w:t xml:space="preserve"> (2003). Disability in depression and back pain: Evaluation of the World Health Organization Disability Assessment Schedule (WHO DAS II) in a primary care setting. </w:t>
      </w:r>
      <w:r w:rsidRPr="00524E30">
        <w:rPr>
          <w:rFonts w:ascii="Calibri" w:hAnsi="Calibri"/>
          <w:i/>
          <w:iCs/>
          <w:noProof/>
          <w:szCs w:val="24"/>
        </w:rPr>
        <w:t>Journal of Clinical Epidemiology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56</w:t>
      </w:r>
      <w:r w:rsidRPr="00524E30">
        <w:rPr>
          <w:rFonts w:ascii="Calibri" w:hAnsi="Calibri"/>
          <w:noProof/>
          <w:szCs w:val="24"/>
        </w:rPr>
        <w:t>, 507–514.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i/>
          <w:iCs/>
          <w:noProof/>
          <w:szCs w:val="24"/>
        </w:rPr>
        <w:t>Dako, Glostrup, Denmark</w:t>
      </w:r>
      <w:r w:rsidRPr="00524E30">
        <w:rPr>
          <w:rFonts w:ascii="Calibri" w:hAnsi="Calibri"/>
          <w:noProof/>
          <w:szCs w:val="24"/>
        </w:rPr>
        <w:t xml:space="preserve"> (n.d.).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Van der Does W</w:t>
      </w:r>
      <w:r w:rsidRPr="00524E30">
        <w:rPr>
          <w:rFonts w:ascii="Calibri" w:hAnsi="Calibri"/>
          <w:noProof/>
          <w:szCs w:val="24"/>
        </w:rPr>
        <w:t xml:space="preserve"> (2002). Cognitive reactivity to sad mood: Structure and validity of a new measure. </w:t>
      </w:r>
      <w:r w:rsidRPr="00524E30">
        <w:rPr>
          <w:rFonts w:ascii="Calibri" w:hAnsi="Calibri"/>
          <w:i/>
          <w:iCs/>
          <w:noProof/>
          <w:szCs w:val="24"/>
        </w:rPr>
        <w:t>Behaviour Research and Therapy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Drost J, Der Does AJW, Antypa N, Zitman FG, Van Dyck R, Spinhoven P</w:t>
      </w:r>
      <w:r w:rsidRPr="00524E30">
        <w:rPr>
          <w:rFonts w:ascii="Calibri" w:hAnsi="Calibri"/>
          <w:noProof/>
          <w:szCs w:val="24"/>
        </w:rPr>
        <w:t xml:space="preserve"> (2012). General, specific and unique cognitive factors involved in anxiety and depressive disorders. </w:t>
      </w:r>
      <w:r w:rsidRPr="00524E30">
        <w:rPr>
          <w:rFonts w:ascii="Calibri" w:hAnsi="Calibri"/>
          <w:i/>
          <w:iCs/>
          <w:noProof/>
          <w:szCs w:val="24"/>
        </w:rPr>
        <w:t>Cognitive Therapy and Research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36</w:t>
      </w:r>
      <w:r w:rsidRPr="00524E30">
        <w:rPr>
          <w:rFonts w:ascii="Calibri" w:hAnsi="Calibri"/>
          <w:noProof/>
          <w:szCs w:val="24"/>
        </w:rPr>
        <w:t>, 621–633.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de Geus EJC, Willemsen GHM, Klaver CHAM, van Doornen LJP</w:t>
      </w:r>
      <w:r w:rsidRPr="00524E30">
        <w:rPr>
          <w:rFonts w:ascii="Calibri" w:hAnsi="Calibri"/>
          <w:noProof/>
          <w:szCs w:val="24"/>
        </w:rPr>
        <w:t xml:space="preserve"> (1995). Ambulatory measurement of respiratory sinus arrhythmia and respiration rate. </w:t>
      </w:r>
      <w:r w:rsidRPr="00524E30">
        <w:rPr>
          <w:rFonts w:ascii="Calibri" w:hAnsi="Calibri"/>
          <w:i/>
          <w:iCs/>
          <w:noProof/>
          <w:szCs w:val="24"/>
        </w:rPr>
        <w:t>Biological Psychology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41</w:t>
      </w:r>
      <w:r w:rsidRPr="00524E30">
        <w:rPr>
          <w:rFonts w:ascii="Calibri" w:hAnsi="Calibri"/>
          <w:noProof/>
          <w:szCs w:val="24"/>
        </w:rPr>
        <w:t>, 205–227.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Hapfelmeier A, Ulm K</w:t>
      </w:r>
      <w:r w:rsidRPr="00524E30">
        <w:rPr>
          <w:rFonts w:ascii="Calibri" w:hAnsi="Calibri"/>
          <w:noProof/>
          <w:szCs w:val="24"/>
        </w:rPr>
        <w:t xml:space="preserve"> (2013). A new variable selection approach using Random Forests. . Elsevier B.V. </w:t>
      </w:r>
      <w:r w:rsidRPr="00524E30">
        <w:rPr>
          <w:rFonts w:ascii="Calibri" w:hAnsi="Calibri"/>
          <w:i/>
          <w:iCs/>
          <w:noProof/>
          <w:szCs w:val="24"/>
        </w:rPr>
        <w:t>Computational Statistics and Data Analysis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60</w:t>
      </w:r>
      <w:r w:rsidRPr="00524E30">
        <w:rPr>
          <w:rFonts w:ascii="Calibri" w:hAnsi="Calibri"/>
          <w:noProof/>
          <w:szCs w:val="24"/>
        </w:rPr>
        <w:t>, 50–69.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Heatherton TF, Kozlowski LT, Frecker RC, Fagerstrom K-O</w:t>
      </w:r>
      <w:r w:rsidRPr="00524E30">
        <w:rPr>
          <w:rFonts w:ascii="Calibri" w:hAnsi="Calibri"/>
          <w:noProof/>
          <w:szCs w:val="24"/>
        </w:rPr>
        <w:t xml:space="preserve"> (1991). The Fagerstrom Test for Nicotine Dependence: a revision of the Fagerstrom Tolerance Questionnaire. </w:t>
      </w:r>
      <w:r w:rsidRPr="00524E30">
        <w:rPr>
          <w:rFonts w:ascii="Calibri" w:hAnsi="Calibri"/>
          <w:i/>
          <w:iCs/>
          <w:noProof/>
          <w:szCs w:val="24"/>
        </w:rPr>
        <w:t>Addiction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86</w:t>
      </w:r>
      <w:r w:rsidRPr="00524E30">
        <w:rPr>
          <w:rFonts w:ascii="Calibri" w:hAnsi="Calibri"/>
          <w:noProof/>
          <w:szCs w:val="24"/>
        </w:rPr>
        <w:t>, 1119–1127.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i/>
          <w:iCs/>
          <w:noProof/>
          <w:szCs w:val="24"/>
        </w:rPr>
        <w:t>HEM-752A, Omron Healthcare, Inc., Bannockburn, Illinois, USA</w:t>
      </w:r>
      <w:r w:rsidRPr="00524E30">
        <w:rPr>
          <w:rFonts w:ascii="Calibri" w:hAnsi="Calibri"/>
          <w:noProof/>
          <w:szCs w:val="24"/>
        </w:rPr>
        <w:t xml:space="preserve"> (n.d.).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Hirschfeld RMA, Williams JBW, Spitzer RL, Calabrese JR, Flynn L, Keck J, Lewis L, McElroy SL, Post RM, Rapport DJ, Russell JM, Sachs GS, Zajecka J</w:t>
      </w:r>
      <w:r w:rsidRPr="00524E30">
        <w:rPr>
          <w:rFonts w:ascii="Calibri" w:hAnsi="Calibri"/>
          <w:noProof/>
          <w:szCs w:val="24"/>
        </w:rPr>
        <w:t xml:space="preserve"> (2000). Development and validation of a screening instrument for bipolar spectrum disorder: The mood disorder questionnaire. </w:t>
      </w:r>
      <w:r w:rsidRPr="00524E30">
        <w:rPr>
          <w:rFonts w:ascii="Calibri" w:hAnsi="Calibri"/>
          <w:i/>
          <w:iCs/>
          <w:noProof/>
          <w:szCs w:val="24"/>
        </w:rPr>
        <w:t>American Journal of Psychiatry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de Jong-Gierveld J, Kamphuls F</w:t>
      </w:r>
      <w:r w:rsidRPr="00524E30">
        <w:rPr>
          <w:rFonts w:ascii="Calibri" w:hAnsi="Calibri"/>
          <w:noProof/>
          <w:szCs w:val="24"/>
        </w:rPr>
        <w:t xml:space="preserve"> (1985). The Development of a Rasch-Type Loneliness Scale. </w:t>
      </w:r>
      <w:r w:rsidRPr="00524E30">
        <w:rPr>
          <w:rFonts w:ascii="Calibri" w:hAnsi="Calibri"/>
          <w:i/>
          <w:iCs/>
          <w:noProof/>
          <w:szCs w:val="24"/>
        </w:rPr>
        <w:t xml:space="preserve">Applied </w:t>
      </w:r>
      <w:r w:rsidRPr="00524E30">
        <w:rPr>
          <w:rFonts w:ascii="Calibri" w:hAnsi="Calibri"/>
          <w:i/>
          <w:iCs/>
          <w:noProof/>
          <w:szCs w:val="24"/>
        </w:rPr>
        <w:lastRenderedPageBreak/>
        <w:t>Psychological Measurement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9</w:t>
      </w:r>
      <w:r w:rsidRPr="00524E30">
        <w:rPr>
          <w:rFonts w:ascii="Calibri" w:hAnsi="Calibri"/>
          <w:noProof/>
          <w:szCs w:val="24"/>
        </w:rPr>
        <w:t>, 289–299.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  <w:lang w:val="nl-NL"/>
        </w:rPr>
      </w:pPr>
      <w:r w:rsidRPr="00524E30">
        <w:rPr>
          <w:rFonts w:ascii="Calibri" w:hAnsi="Calibri"/>
          <w:b/>
          <w:bCs/>
          <w:noProof/>
          <w:szCs w:val="24"/>
        </w:rPr>
        <w:t>Kempen GIJ, Brilman EI, Ormel J</w:t>
      </w:r>
      <w:r w:rsidRPr="00524E30">
        <w:rPr>
          <w:rFonts w:ascii="Calibri" w:hAnsi="Calibri"/>
          <w:noProof/>
          <w:szCs w:val="24"/>
        </w:rPr>
        <w:t xml:space="preserve"> (1998). The Groningen Longitudinal Aging Study (GLAS) on functional status, well-being and need of care: Objectives, design and preliminary results . </w:t>
      </w:r>
      <w:r w:rsidRPr="00524E30">
        <w:rPr>
          <w:rFonts w:ascii="Calibri" w:hAnsi="Calibri"/>
          <w:i/>
          <w:iCs/>
          <w:noProof/>
          <w:szCs w:val="24"/>
          <w:lang w:val="nl-NL"/>
        </w:rPr>
        <w:t>Tijdschrift voor Gerontologie en Geriatrie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  <w:lang w:val="nl-NL"/>
        </w:rPr>
        <w:t>Von Korff M, Ormel J, Keefe FJ, Dworkin SF</w:t>
      </w:r>
      <w:r w:rsidRPr="00524E30">
        <w:rPr>
          <w:rFonts w:ascii="Calibri" w:hAnsi="Calibri"/>
          <w:noProof/>
          <w:szCs w:val="24"/>
          <w:lang w:val="nl-NL"/>
        </w:rPr>
        <w:t xml:space="preserve"> (1992). </w:t>
      </w:r>
      <w:r w:rsidRPr="00524E30">
        <w:rPr>
          <w:rFonts w:ascii="Calibri" w:hAnsi="Calibri"/>
          <w:noProof/>
          <w:szCs w:val="24"/>
        </w:rPr>
        <w:t xml:space="preserve">Grading the severity of chronic pain. </w:t>
      </w:r>
      <w:r w:rsidRPr="00524E30">
        <w:rPr>
          <w:rFonts w:ascii="Calibri" w:hAnsi="Calibri"/>
          <w:i/>
          <w:iCs/>
          <w:noProof/>
          <w:szCs w:val="24"/>
        </w:rPr>
        <w:t>Pain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50</w:t>
      </w:r>
      <w:r w:rsidRPr="00524E30">
        <w:rPr>
          <w:rFonts w:ascii="Calibri" w:hAnsi="Calibri"/>
          <w:noProof/>
          <w:szCs w:val="24"/>
        </w:rPr>
        <w:t>, 133–149.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Levine DW, Kaplan RM, Shumaker SA, Kripke DF, Bowen DJ, Naughton MJ, Lewis MA</w:t>
      </w:r>
      <w:r w:rsidRPr="00524E30">
        <w:rPr>
          <w:rFonts w:ascii="Calibri" w:hAnsi="Calibri"/>
          <w:noProof/>
          <w:szCs w:val="24"/>
        </w:rPr>
        <w:t xml:space="preserve"> (2003). Reliability and validity of Women’s Health Initiative Insomnia Rating Scale. </w:t>
      </w:r>
      <w:r w:rsidRPr="00524E30">
        <w:rPr>
          <w:rFonts w:ascii="Calibri" w:hAnsi="Calibri"/>
          <w:i/>
          <w:iCs/>
          <w:noProof/>
          <w:szCs w:val="24"/>
        </w:rPr>
        <w:t>Psychological Assessment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Lyketsos CG, Nestadt G, Cwi J, Heithoff K, et al</w:t>
      </w:r>
      <w:r w:rsidRPr="00524E30">
        <w:rPr>
          <w:rFonts w:ascii="Calibri" w:hAnsi="Calibri"/>
          <w:noProof/>
          <w:szCs w:val="24"/>
        </w:rPr>
        <w:t xml:space="preserve"> (1994). </w:t>
      </w:r>
      <w:r w:rsidRPr="00524E30">
        <w:rPr>
          <w:rFonts w:ascii="Calibri" w:hAnsi="Calibri"/>
          <w:i/>
          <w:iCs/>
          <w:noProof/>
          <w:szCs w:val="24"/>
        </w:rPr>
        <w:t>The Life Chart Interview: A standardized method to describe the course of psychopathology.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i/>
          <w:iCs/>
          <w:noProof/>
          <w:szCs w:val="24"/>
        </w:rPr>
        <w:t>International Journal of Methods in Psychiatric Research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4</w:t>
      </w:r>
      <w:r w:rsidRPr="00524E30">
        <w:rPr>
          <w:rFonts w:ascii="Calibri" w:hAnsi="Calibri"/>
          <w:noProof/>
          <w:szCs w:val="24"/>
        </w:rPr>
        <w:t>, 143–155.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Marks IM, Mathews AM</w:t>
      </w:r>
      <w:r w:rsidRPr="00524E30">
        <w:rPr>
          <w:rFonts w:ascii="Calibri" w:hAnsi="Calibri"/>
          <w:noProof/>
          <w:szCs w:val="24"/>
        </w:rPr>
        <w:t xml:space="preserve"> (1979). Brief standard self-rating for phobic patients. </w:t>
      </w:r>
      <w:r w:rsidRPr="00524E30">
        <w:rPr>
          <w:rFonts w:ascii="Calibri" w:hAnsi="Calibri"/>
          <w:i/>
          <w:iCs/>
          <w:noProof/>
          <w:szCs w:val="24"/>
        </w:rPr>
        <w:t>Behaviour Research and Therapy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17</w:t>
      </w:r>
      <w:r w:rsidRPr="00524E30">
        <w:rPr>
          <w:rFonts w:ascii="Calibri" w:hAnsi="Calibri"/>
          <w:noProof/>
          <w:szCs w:val="24"/>
        </w:rPr>
        <w:t>, 263–267.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McCrae RR, Costa PT</w:t>
      </w:r>
      <w:r w:rsidRPr="00524E30">
        <w:rPr>
          <w:rFonts w:ascii="Calibri" w:hAnsi="Calibri"/>
          <w:noProof/>
          <w:szCs w:val="24"/>
        </w:rPr>
        <w:t xml:space="preserve"> (2004). A contemplated revision of the NEO Five-Factor Inventory. </w:t>
      </w:r>
      <w:r w:rsidRPr="00524E30">
        <w:rPr>
          <w:rFonts w:ascii="Calibri" w:hAnsi="Calibri"/>
          <w:i/>
          <w:iCs/>
          <w:noProof/>
          <w:szCs w:val="24"/>
        </w:rPr>
        <w:t>Personality and Individual Differences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36</w:t>
      </w:r>
      <w:r w:rsidRPr="00524E30">
        <w:rPr>
          <w:rFonts w:ascii="Calibri" w:hAnsi="Calibri"/>
          <w:noProof/>
          <w:szCs w:val="24"/>
        </w:rPr>
        <w:t>, 587–596.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Meadows G, Harvey C, Fossey E, Burgess P</w:t>
      </w:r>
      <w:r w:rsidRPr="00524E30">
        <w:rPr>
          <w:rFonts w:ascii="Calibri" w:hAnsi="Calibri"/>
          <w:noProof/>
          <w:szCs w:val="24"/>
        </w:rPr>
        <w:t xml:space="preserve"> (2000). Assessing perceived need for mental health care in a community survey: development of the Perceived Need for Care Questionnaire (PNCQ). </w:t>
      </w:r>
      <w:r w:rsidRPr="00524E30">
        <w:rPr>
          <w:rFonts w:ascii="Calibri" w:hAnsi="Calibri"/>
          <w:i/>
          <w:iCs/>
          <w:noProof/>
          <w:szCs w:val="24"/>
        </w:rPr>
        <w:t>Social psychiatry and psychiatric epidemiology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35</w:t>
      </w:r>
      <w:r w:rsidRPr="00524E30">
        <w:rPr>
          <w:rFonts w:ascii="Calibri" w:hAnsi="Calibri"/>
          <w:noProof/>
          <w:szCs w:val="24"/>
        </w:rPr>
        <w:t>, 427–35.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Ojala M, Garriga GC</w:t>
      </w:r>
      <w:r w:rsidRPr="00524E30">
        <w:rPr>
          <w:rFonts w:ascii="Calibri" w:hAnsi="Calibri"/>
          <w:noProof/>
          <w:szCs w:val="24"/>
        </w:rPr>
        <w:t xml:space="preserve"> (2010). Permutation Tests for Studying Classifier Performance. </w:t>
      </w:r>
      <w:r w:rsidRPr="00524E30">
        <w:rPr>
          <w:rFonts w:ascii="Calibri" w:hAnsi="Calibri"/>
          <w:i/>
          <w:iCs/>
          <w:noProof/>
          <w:szCs w:val="24"/>
        </w:rPr>
        <w:t>Journal of Machine Learning Research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11</w:t>
      </w:r>
      <w:r w:rsidRPr="00524E30">
        <w:rPr>
          <w:rFonts w:ascii="Calibri" w:hAnsi="Calibri"/>
          <w:noProof/>
          <w:szCs w:val="24"/>
        </w:rPr>
        <w:t>, 1833–1863.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Pearlin LI, Schooler C</w:t>
      </w:r>
      <w:r w:rsidRPr="00524E30">
        <w:rPr>
          <w:rFonts w:ascii="Calibri" w:hAnsi="Calibri"/>
          <w:noProof/>
          <w:szCs w:val="24"/>
        </w:rPr>
        <w:t xml:space="preserve"> (1978). The Structure of Coping. </w:t>
      </w:r>
      <w:r w:rsidRPr="00524E30">
        <w:rPr>
          <w:rFonts w:ascii="Calibri" w:hAnsi="Calibri"/>
          <w:i/>
          <w:iCs/>
          <w:noProof/>
          <w:szCs w:val="24"/>
        </w:rPr>
        <w:t>Journal of Health and Social Behavior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19</w:t>
      </w:r>
      <w:r w:rsidRPr="00524E30">
        <w:rPr>
          <w:rFonts w:ascii="Calibri" w:hAnsi="Calibri"/>
          <w:noProof/>
          <w:szCs w:val="24"/>
        </w:rPr>
        <w:t>, 2.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i/>
          <w:iCs/>
          <w:noProof/>
          <w:szCs w:val="24"/>
        </w:rPr>
        <w:t>PeliKine CompactTM ELISA, Sanquin, Amsterdam, The Netherlands</w:t>
      </w:r>
      <w:r w:rsidRPr="00524E30">
        <w:rPr>
          <w:rFonts w:ascii="Calibri" w:hAnsi="Calibri"/>
          <w:noProof/>
          <w:szCs w:val="24"/>
        </w:rPr>
        <w:t xml:space="preserve"> (n.d.).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  <w:lang w:val="nl-NL"/>
        </w:rPr>
        <w:t xml:space="preserve">Penninx BWJH, Beekman ATF, Smit JH, Zitman FG, Nolen WA, Spinhoven P, Cuijpers P, De Jong PJ, </w:t>
      </w:r>
      <w:r w:rsidRPr="00524E30">
        <w:rPr>
          <w:rFonts w:ascii="Calibri" w:hAnsi="Calibri"/>
          <w:b/>
          <w:bCs/>
          <w:noProof/>
          <w:szCs w:val="24"/>
          <w:lang w:val="nl-NL"/>
        </w:rPr>
        <w:lastRenderedPageBreak/>
        <w:t>Van Marwijk HWJ, Assendelft WJJ, Van Der Meer K, Verhaak P, Wensing M, De Graaf R, Hoogendijk WJ, Ormel J, Van Dyck R</w:t>
      </w:r>
      <w:r w:rsidRPr="00524E30">
        <w:rPr>
          <w:rFonts w:ascii="Calibri" w:hAnsi="Calibri"/>
          <w:noProof/>
          <w:szCs w:val="24"/>
          <w:lang w:val="nl-NL"/>
        </w:rPr>
        <w:t xml:space="preserve"> (2008). </w:t>
      </w:r>
      <w:r w:rsidRPr="00524E30">
        <w:rPr>
          <w:rFonts w:ascii="Calibri" w:hAnsi="Calibri"/>
          <w:noProof/>
          <w:szCs w:val="24"/>
        </w:rPr>
        <w:t xml:space="preserve">The Netherlands Study of Depression and Anxiety (NESDA): rationale, objectives and methods. </w:t>
      </w:r>
      <w:r w:rsidRPr="00524E30">
        <w:rPr>
          <w:rFonts w:ascii="Calibri" w:hAnsi="Calibri"/>
          <w:i/>
          <w:iCs/>
          <w:noProof/>
          <w:szCs w:val="24"/>
        </w:rPr>
        <w:t>International journal of methods in psychiatric research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17</w:t>
      </w:r>
      <w:r w:rsidRPr="00524E30">
        <w:rPr>
          <w:rFonts w:ascii="Calibri" w:hAnsi="Calibri"/>
          <w:noProof/>
          <w:szCs w:val="24"/>
        </w:rPr>
        <w:t>, 121–40.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i/>
          <w:iCs/>
          <w:noProof/>
          <w:szCs w:val="24"/>
        </w:rPr>
        <w:t>Quantikine® HS Human TNF- α Immunoassay, R&amp;D systems Inc, Minneapolis, MN, United States</w:t>
      </w:r>
      <w:r w:rsidRPr="00524E30">
        <w:rPr>
          <w:rFonts w:ascii="Calibri" w:hAnsi="Calibri"/>
          <w:noProof/>
          <w:szCs w:val="24"/>
        </w:rPr>
        <w:t xml:space="preserve"> (n.d.).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Reiss S, Peterson RA, Gursky DM, McNally RJ</w:t>
      </w:r>
      <w:r w:rsidRPr="00524E30">
        <w:rPr>
          <w:rFonts w:ascii="Calibri" w:hAnsi="Calibri"/>
          <w:noProof/>
          <w:szCs w:val="24"/>
        </w:rPr>
        <w:t xml:space="preserve"> (1986). Anxiety sensitivity, anxiety frequency and the predictions of fearfulness. </w:t>
      </w:r>
      <w:r w:rsidRPr="00524E30">
        <w:rPr>
          <w:rFonts w:ascii="Calibri" w:hAnsi="Calibri"/>
          <w:i/>
          <w:iCs/>
          <w:noProof/>
          <w:szCs w:val="24"/>
        </w:rPr>
        <w:t>Behaviour Research and Therapy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24</w:t>
      </w:r>
      <w:r w:rsidRPr="00524E30">
        <w:rPr>
          <w:rFonts w:ascii="Calibri" w:hAnsi="Calibri"/>
          <w:noProof/>
          <w:szCs w:val="24"/>
        </w:rPr>
        <w:t>, 1-8 ST-Anxiety sensitivity, anxiety frequency a.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Rush AJ, Giles DE, Schlesser MA, Fulton CL, Weissenburger J, Burns C</w:t>
      </w:r>
      <w:r w:rsidRPr="00524E30">
        <w:rPr>
          <w:rFonts w:ascii="Calibri" w:hAnsi="Calibri"/>
          <w:noProof/>
          <w:szCs w:val="24"/>
        </w:rPr>
        <w:t xml:space="preserve"> (1986). The inventory for depressive symptomatology (IDS): Preliminary findings. </w:t>
      </w:r>
      <w:r w:rsidRPr="00524E30">
        <w:rPr>
          <w:rFonts w:ascii="Calibri" w:hAnsi="Calibri"/>
          <w:i/>
          <w:iCs/>
          <w:noProof/>
          <w:szCs w:val="24"/>
        </w:rPr>
        <w:t>Psychiatry Research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18</w:t>
      </w:r>
      <w:r w:rsidRPr="00524E30">
        <w:rPr>
          <w:rFonts w:ascii="Calibri" w:hAnsi="Calibri"/>
          <w:noProof/>
          <w:szCs w:val="24"/>
        </w:rPr>
        <w:t>, 65–87.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Rush AJ, Gullion CM, Basco MR, Jarrett RB, Trivedi MH</w:t>
      </w:r>
      <w:r w:rsidRPr="00524E30">
        <w:rPr>
          <w:rFonts w:ascii="Calibri" w:hAnsi="Calibri"/>
          <w:noProof/>
          <w:szCs w:val="24"/>
        </w:rPr>
        <w:t xml:space="preserve"> (1996). The Inventory of Depressive Symptomatology (IDS): psychometric properties. </w:t>
      </w:r>
      <w:r w:rsidRPr="00524E30">
        <w:rPr>
          <w:rFonts w:ascii="Calibri" w:hAnsi="Calibri"/>
          <w:i/>
          <w:iCs/>
          <w:noProof/>
          <w:szCs w:val="24"/>
        </w:rPr>
        <w:t>Psychological medicine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26</w:t>
      </w:r>
      <w:r w:rsidRPr="00524E30">
        <w:rPr>
          <w:rFonts w:ascii="Calibri" w:hAnsi="Calibri"/>
          <w:noProof/>
          <w:szCs w:val="24"/>
        </w:rPr>
        <w:t>, 477–486.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Saunders JB, Aasland OG, Babor TF, De La Fuente JR, Grant M</w:t>
      </w:r>
      <w:r w:rsidRPr="00524E30">
        <w:rPr>
          <w:rFonts w:ascii="Calibri" w:hAnsi="Calibri"/>
          <w:noProof/>
          <w:szCs w:val="24"/>
        </w:rPr>
        <w:t xml:space="preserve"> (1993). Development of the Alcohol Use Disorders Identification Test (AUDIT): WHO Collaborative Project on Early Detection of Persons with Harmful Alcohol Consumption-II. </w:t>
      </w:r>
      <w:r w:rsidRPr="00524E30">
        <w:rPr>
          <w:rFonts w:ascii="Calibri" w:hAnsi="Calibri"/>
          <w:i/>
          <w:iCs/>
          <w:noProof/>
          <w:szCs w:val="24"/>
        </w:rPr>
        <w:t>Addiction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88</w:t>
      </w:r>
      <w:r w:rsidRPr="00524E30">
        <w:rPr>
          <w:rFonts w:ascii="Calibri" w:hAnsi="Calibri"/>
          <w:noProof/>
          <w:szCs w:val="24"/>
        </w:rPr>
        <w:t>, 791–804.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Sixma HJ, Kerssens JJ, Campen C van, Peters L</w:t>
      </w:r>
      <w:r w:rsidRPr="00524E30">
        <w:rPr>
          <w:rFonts w:ascii="Calibri" w:hAnsi="Calibri"/>
          <w:noProof/>
          <w:szCs w:val="24"/>
        </w:rPr>
        <w:t xml:space="preserve"> (1998). Quality of care from the patients’ perspective: from theoretical concept to a new measuring instrument. </w:t>
      </w:r>
      <w:r w:rsidRPr="00524E30">
        <w:rPr>
          <w:rFonts w:ascii="Calibri" w:hAnsi="Calibri"/>
          <w:i/>
          <w:iCs/>
          <w:noProof/>
          <w:szCs w:val="24"/>
        </w:rPr>
        <w:t>Health Expectations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1</w:t>
      </w:r>
      <w:r w:rsidRPr="00524E30">
        <w:rPr>
          <w:rFonts w:ascii="Calibri" w:hAnsi="Calibri"/>
          <w:noProof/>
          <w:szCs w:val="24"/>
        </w:rPr>
        <w:t>, 82–95.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Stansfeld S, Marmot M</w:t>
      </w:r>
      <w:r w:rsidRPr="00524E30">
        <w:rPr>
          <w:rFonts w:ascii="Calibri" w:hAnsi="Calibri"/>
          <w:noProof/>
          <w:szCs w:val="24"/>
        </w:rPr>
        <w:t xml:space="preserve"> (1992). Deriving a survey measure of social support: The reliability and validity of the close persons questionnaire. </w:t>
      </w:r>
      <w:r w:rsidRPr="00524E30">
        <w:rPr>
          <w:rFonts w:ascii="Calibri" w:hAnsi="Calibri"/>
          <w:i/>
          <w:iCs/>
          <w:noProof/>
          <w:szCs w:val="24"/>
        </w:rPr>
        <w:t>Social Science &amp; Medicine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35</w:t>
      </w:r>
      <w:r w:rsidRPr="00524E30">
        <w:rPr>
          <w:rFonts w:ascii="Calibri" w:hAnsi="Calibri"/>
          <w:noProof/>
          <w:szCs w:val="24"/>
        </w:rPr>
        <w:t>, 1027–1035.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  <w:lang w:val="nl-NL"/>
        </w:rPr>
      </w:pPr>
      <w:r w:rsidRPr="00524E30">
        <w:rPr>
          <w:rFonts w:ascii="Calibri" w:hAnsi="Calibri"/>
          <w:b/>
          <w:bCs/>
          <w:noProof/>
          <w:szCs w:val="24"/>
        </w:rPr>
        <w:t>Strobl C, Boulesteix A-L, Zeileis A, Hothorn T</w:t>
      </w:r>
      <w:r w:rsidRPr="00524E30">
        <w:rPr>
          <w:rFonts w:ascii="Calibri" w:hAnsi="Calibri"/>
          <w:noProof/>
          <w:szCs w:val="24"/>
        </w:rPr>
        <w:t xml:space="preserve"> (2007). Bias in random forest variable importance measures: Illustrations, sources and a solution. </w:t>
      </w:r>
      <w:r w:rsidRPr="00524E30">
        <w:rPr>
          <w:rFonts w:ascii="Calibri" w:hAnsi="Calibri"/>
          <w:i/>
          <w:iCs/>
          <w:noProof/>
          <w:szCs w:val="24"/>
          <w:lang w:val="nl-NL"/>
        </w:rPr>
        <w:t>BMC Bioinformaticsoot</w:t>
      </w:r>
      <w:r w:rsidRPr="00524E30">
        <w:rPr>
          <w:rFonts w:ascii="Calibri" w:hAnsi="Calibri"/>
          <w:noProof/>
          <w:szCs w:val="24"/>
          <w:lang w:val="nl-NL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  <w:lang w:val="nl-NL"/>
        </w:rPr>
        <w:t>8</w:t>
      </w:r>
      <w:r w:rsidRPr="00524E30">
        <w:rPr>
          <w:rFonts w:ascii="Calibri" w:hAnsi="Calibri"/>
          <w:noProof/>
          <w:szCs w:val="24"/>
          <w:lang w:val="nl-NL"/>
        </w:rPr>
        <w:t>, 1–21.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  <w:lang w:val="nl-NL"/>
        </w:rPr>
        <w:t>Terluin B</w:t>
      </w:r>
      <w:r w:rsidRPr="00524E30">
        <w:rPr>
          <w:rFonts w:ascii="Calibri" w:hAnsi="Calibri"/>
          <w:noProof/>
          <w:szCs w:val="24"/>
          <w:lang w:val="nl-NL"/>
        </w:rPr>
        <w:t xml:space="preserve"> (1996). De Vierdimensionale Klachtenlijst (4DKL) - Een vragenlijst voor het meten van </w:t>
      </w:r>
      <w:r w:rsidRPr="00524E30">
        <w:rPr>
          <w:rFonts w:ascii="Calibri" w:hAnsi="Calibri"/>
          <w:noProof/>
          <w:szCs w:val="24"/>
          <w:lang w:val="nl-NL"/>
        </w:rPr>
        <w:lastRenderedPageBreak/>
        <w:t xml:space="preserve">distress, depressie, angst en somatisatie. </w:t>
      </w:r>
      <w:r w:rsidRPr="00524E30">
        <w:rPr>
          <w:rFonts w:ascii="Calibri" w:hAnsi="Calibri"/>
          <w:noProof/>
          <w:szCs w:val="24"/>
        </w:rPr>
        <w:t xml:space="preserve">[The Four-Dimensional Symptom Questionnaire (4DSQ). A questionnaire to measure distress, depression, anxiety, and somatization]. </w:t>
      </w:r>
      <w:r w:rsidRPr="00524E30">
        <w:rPr>
          <w:rFonts w:ascii="Calibri" w:hAnsi="Calibri"/>
          <w:i/>
          <w:iCs/>
          <w:noProof/>
          <w:szCs w:val="24"/>
        </w:rPr>
        <w:t>Huisarts en Wetenschap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Warshaw MG, Keller MB, Stout RL</w:t>
      </w:r>
      <w:r w:rsidRPr="00524E30">
        <w:rPr>
          <w:rFonts w:ascii="Calibri" w:hAnsi="Calibri"/>
          <w:noProof/>
          <w:szCs w:val="24"/>
        </w:rPr>
        <w:t xml:space="preserve"> (1994). Reliability and validity of the longitudinal interval follow-up evaluation for assessing outcome of anxiety disorders. </w:t>
      </w:r>
      <w:r w:rsidRPr="00524E30">
        <w:rPr>
          <w:rFonts w:ascii="Calibri" w:hAnsi="Calibri"/>
          <w:i/>
          <w:iCs/>
          <w:noProof/>
          <w:szCs w:val="24"/>
        </w:rPr>
        <w:t>Journal of Psychiatric Research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28</w:t>
      </w:r>
      <w:r w:rsidRPr="00524E30">
        <w:rPr>
          <w:rFonts w:ascii="Calibri" w:hAnsi="Calibri"/>
          <w:noProof/>
          <w:szCs w:val="24"/>
        </w:rPr>
        <w:t>, 531–545.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Watson D, Weber K, Assenheimer JS, Clark L a, Strauss ME, McCormick R a</w:t>
      </w:r>
      <w:r w:rsidRPr="00524E30">
        <w:rPr>
          <w:rFonts w:ascii="Calibri" w:hAnsi="Calibri"/>
          <w:noProof/>
          <w:szCs w:val="24"/>
        </w:rPr>
        <w:t xml:space="preserve"> (1995). Testing a tripartite model: I. Evaluating the convergent and discriminant validity of anxiety and depression symptom scales. </w:t>
      </w:r>
      <w:r w:rsidRPr="00524E30">
        <w:rPr>
          <w:rFonts w:ascii="Calibri" w:hAnsi="Calibri"/>
          <w:i/>
          <w:iCs/>
          <w:noProof/>
          <w:szCs w:val="24"/>
        </w:rPr>
        <w:t>Journal of abnormal psychology</w:t>
      </w:r>
      <w:r w:rsidRPr="00524E30">
        <w:rPr>
          <w:rFonts w:ascii="Calibri" w:hAnsi="Calibri"/>
          <w:noProof/>
          <w:szCs w:val="24"/>
        </w:rPr>
        <w:t xml:space="preserve"> </w:t>
      </w:r>
      <w:r w:rsidRPr="00524E30">
        <w:rPr>
          <w:rFonts w:ascii="Calibri" w:hAnsi="Calibri"/>
          <w:b/>
          <w:bCs/>
          <w:noProof/>
          <w:szCs w:val="24"/>
        </w:rPr>
        <w:t>104</w:t>
      </w:r>
      <w:r w:rsidRPr="00524E30">
        <w:rPr>
          <w:rFonts w:ascii="Calibri" w:hAnsi="Calibri"/>
          <w:noProof/>
          <w:szCs w:val="24"/>
        </w:rPr>
        <w:t>, 3–14.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  <w:lang w:val="nl-NL"/>
        </w:rPr>
      </w:pPr>
      <w:r w:rsidRPr="00524E30">
        <w:rPr>
          <w:rFonts w:ascii="Calibri" w:hAnsi="Calibri"/>
          <w:b/>
          <w:bCs/>
          <w:noProof/>
          <w:szCs w:val="24"/>
        </w:rPr>
        <w:t>WHO Collaborating Centre for Drug Statistics Methodology</w:t>
      </w:r>
      <w:r w:rsidRPr="00524E30">
        <w:rPr>
          <w:rFonts w:ascii="Calibri" w:hAnsi="Calibri"/>
          <w:noProof/>
          <w:szCs w:val="24"/>
        </w:rPr>
        <w:t xml:space="preserve"> (n.d.). </w:t>
      </w:r>
      <w:r w:rsidRPr="00524E30">
        <w:rPr>
          <w:rFonts w:ascii="Calibri" w:hAnsi="Calibri"/>
          <w:i/>
          <w:iCs/>
          <w:noProof/>
          <w:szCs w:val="24"/>
          <w:lang w:val="nl-NL"/>
        </w:rPr>
        <w:t>ATC/DDD Index 2019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  <w:lang w:val="nl-NL"/>
        </w:rPr>
        <w:t>Wiersma JE, Hovens JGFM, Van Oppen P, Giltay EJ, Van Schaik DJF, Beekman ATF, Penninx BWJH</w:t>
      </w:r>
      <w:r w:rsidRPr="00524E30">
        <w:rPr>
          <w:rFonts w:ascii="Calibri" w:hAnsi="Calibri"/>
          <w:noProof/>
          <w:szCs w:val="24"/>
          <w:lang w:val="nl-NL"/>
        </w:rPr>
        <w:t xml:space="preserve"> (2009). </w:t>
      </w:r>
      <w:r w:rsidRPr="00524E30">
        <w:rPr>
          <w:rFonts w:ascii="Calibri" w:hAnsi="Calibri"/>
          <w:noProof/>
          <w:szCs w:val="24"/>
        </w:rPr>
        <w:t xml:space="preserve">The importance of childhood trauma and childhood life events for chronicity of depression in adults. </w:t>
      </w:r>
      <w:r w:rsidRPr="00524E30">
        <w:rPr>
          <w:rFonts w:ascii="Calibri" w:hAnsi="Calibri"/>
          <w:i/>
          <w:iCs/>
          <w:noProof/>
          <w:szCs w:val="24"/>
        </w:rPr>
        <w:t>Journal of Clinical Psychiatry</w:t>
      </w:r>
    </w:p>
    <w:p w:rsidR="00FD1525" w:rsidRPr="00524E30" w:rsidRDefault="00FD1525" w:rsidP="00FD1525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  <w:szCs w:val="24"/>
        </w:rPr>
      </w:pPr>
      <w:r w:rsidRPr="00524E30">
        <w:rPr>
          <w:rFonts w:ascii="Calibri" w:hAnsi="Calibri"/>
          <w:b/>
          <w:bCs/>
          <w:noProof/>
          <w:szCs w:val="24"/>
        </w:rPr>
        <w:t>World Health Organisation</w:t>
      </w:r>
      <w:r w:rsidRPr="00524E30">
        <w:rPr>
          <w:rFonts w:ascii="Calibri" w:hAnsi="Calibri"/>
          <w:noProof/>
          <w:szCs w:val="24"/>
        </w:rPr>
        <w:t xml:space="preserve"> (1989). </w:t>
      </w:r>
      <w:r w:rsidRPr="00524E30">
        <w:rPr>
          <w:rFonts w:ascii="Calibri" w:hAnsi="Calibri"/>
          <w:i/>
          <w:iCs/>
          <w:noProof/>
          <w:szCs w:val="24"/>
        </w:rPr>
        <w:t>Measuring obesity : classification and description of anthropometric data.</w:t>
      </w:r>
      <w:r w:rsidRPr="00524E30">
        <w:rPr>
          <w:rFonts w:ascii="Calibri" w:hAnsi="Calibri"/>
          <w:noProof/>
          <w:szCs w:val="24"/>
        </w:rPr>
        <w:t xml:space="preserve"> World Health Organization Regional Office for Europe: [Copenhagen].</w:t>
      </w:r>
    </w:p>
    <w:p w:rsidR="007D43B0" w:rsidRPr="00D543AE" w:rsidRDefault="00FD1525" w:rsidP="00D543AE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/>
          <w:noProof/>
        </w:rPr>
      </w:pPr>
      <w:r w:rsidRPr="00524E30">
        <w:rPr>
          <w:rFonts w:ascii="Calibri" w:hAnsi="Calibri"/>
          <w:b/>
          <w:bCs/>
          <w:noProof/>
          <w:szCs w:val="24"/>
        </w:rPr>
        <w:t>World Health Organization</w:t>
      </w:r>
      <w:r w:rsidRPr="00524E30">
        <w:rPr>
          <w:rFonts w:ascii="Calibri" w:hAnsi="Calibri"/>
          <w:noProof/>
          <w:szCs w:val="24"/>
        </w:rPr>
        <w:t xml:space="preserve"> (1998). </w:t>
      </w:r>
      <w:r w:rsidRPr="00524E30">
        <w:rPr>
          <w:rFonts w:ascii="Calibri" w:hAnsi="Calibri"/>
          <w:i/>
          <w:iCs/>
          <w:noProof/>
          <w:szCs w:val="24"/>
        </w:rPr>
        <w:t>World Health Organization, Composite International Diagnostic Interview (CIDI), core version 2.1.</w:t>
      </w:r>
      <w:r w:rsidRPr="00524E30">
        <w:rPr>
          <w:rFonts w:ascii="Calibri" w:hAnsi="Calibri"/>
          <w:noProof/>
          <w:szCs w:val="24"/>
        </w:rPr>
        <w:t xml:space="preserve"> Geneva.</w:t>
      </w:r>
    </w:p>
    <w:sectPr w:rsidR="007D43B0" w:rsidRPr="00D543AE" w:rsidSect="00C35E31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B0"/>
    <w:rsid w:val="00042EC1"/>
    <w:rsid w:val="000B1CD5"/>
    <w:rsid w:val="000B4474"/>
    <w:rsid w:val="000C7AE9"/>
    <w:rsid w:val="001372D4"/>
    <w:rsid w:val="00167A7F"/>
    <w:rsid w:val="001836A7"/>
    <w:rsid w:val="00194895"/>
    <w:rsid w:val="001976CA"/>
    <w:rsid w:val="00220086"/>
    <w:rsid w:val="00222BAD"/>
    <w:rsid w:val="00225CE5"/>
    <w:rsid w:val="00241622"/>
    <w:rsid w:val="002675F7"/>
    <w:rsid w:val="002E2A3E"/>
    <w:rsid w:val="00325F4C"/>
    <w:rsid w:val="00343F0C"/>
    <w:rsid w:val="00425C19"/>
    <w:rsid w:val="004817BE"/>
    <w:rsid w:val="00506C43"/>
    <w:rsid w:val="0051228D"/>
    <w:rsid w:val="00522902"/>
    <w:rsid w:val="00524E30"/>
    <w:rsid w:val="005639DF"/>
    <w:rsid w:val="005A430A"/>
    <w:rsid w:val="005B23B0"/>
    <w:rsid w:val="005D756D"/>
    <w:rsid w:val="00690AD6"/>
    <w:rsid w:val="007D43B0"/>
    <w:rsid w:val="00802D57"/>
    <w:rsid w:val="0081251C"/>
    <w:rsid w:val="00857B3A"/>
    <w:rsid w:val="00857FC9"/>
    <w:rsid w:val="008F40E2"/>
    <w:rsid w:val="008F7E47"/>
    <w:rsid w:val="00986965"/>
    <w:rsid w:val="0099390B"/>
    <w:rsid w:val="009A3AED"/>
    <w:rsid w:val="009B0A6C"/>
    <w:rsid w:val="00A32CF1"/>
    <w:rsid w:val="00A9450C"/>
    <w:rsid w:val="00AB0C36"/>
    <w:rsid w:val="00AB3AB5"/>
    <w:rsid w:val="00AE33B9"/>
    <w:rsid w:val="00BC50BB"/>
    <w:rsid w:val="00C152DE"/>
    <w:rsid w:val="00C179B3"/>
    <w:rsid w:val="00C309C5"/>
    <w:rsid w:val="00C35E31"/>
    <w:rsid w:val="00C45444"/>
    <w:rsid w:val="00C8443D"/>
    <w:rsid w:val="00C95ACB"/>
    <w:rsid w:val="00CA247D"/>
    <w:rsid w:val="00CB30AA"/>
    <w:rsid w:val="00D32D35"/>
    <w:rsid w:val="00D543AE"/>
    <w:rsid w:val="00F21467"/>
    <w:rsid w:val="00F26CE2"/>
    <w:rsid w:val="00F507CF"/>
    <w:rsid w:val="00FB2D43"/>
    <w:rsid w:val="00FD1525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C4D2"/>
  <w15:chartTrackingRefBased/>
  <w15:docId w15:val="{CA96EB5F-2C5F-40D4-A3BE-E2732D1D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rasterlicht1">
    <w:name w:val="Tabelraster licht1"/>
    <w:basedOn w:val="TableNormal"/>
    <w:uiPriority w:val="40"/>
    <w:rsid w:val="00F26C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6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CE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E2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3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9997F8E-E871-4893-B57F-55E2BCEA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5128</Words>
  <Characters>29230</Characters>
  <Application>Microsoft Office Word</Application>
  <DocSecurity>0</DocSecurity>
  <Lines>243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Wicher Bokma</dc:creator>
  <cp:keywords/>
  <dc:description/>
  <cp:lastModifiedBy>Zhutovsky, P. (Paul)</cp:lastModifiedBy>
  <cp:revision>7</cp:revision>
  <dcterms:created xsi:type="dcterms:W3CDTF">2020-03-25T13:32:00Z</dcterms:created>
  <dcterms:modified xsi:type="dcterms:W3CDTF">2020-05-07T09:33:00Z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http://www.zotero.org/styles/psychological-medicine</vt:lpwstr>
  </property>
  <property fmtid="{D5CDD505-2E9C-101B-9397-08002B2CF9AE}" pid="21" name="Mendeley Recent Style Name 9_1">
    <vt:lpwstr>Psychological Medicine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8fc93f99-0d4a-32be-9cbf-13ac0f77c26f</vt:lpwstr>
  </property>
  <property fmtid="{D5CDD505-2E9C-101B-9397-08002B2CF9AE}" pid="24" name="Mendeley Citation Style_1">
    <vt:lpwstr>http://www.zotero.org/styles/psychological-medicine</vt:lpwstr>
  </property>
</Properties>
</file>