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E07" w:rsidRPr="00712298" w:rsidRDefault="00513E07" w:rsidP="00513E07">
      <w:pPr>
        <w:jc w:val="both"/>
        <w:rPr>
          <w:rFonts w:ascii="Arial" w:eastAsia="Arial" w:hAnsi="Arial" w:cs="Arial"/>
          <w:i/>
          <w:sz w:val="16"/>
          <w:szCs w:val="16"/>
          <w:lang w:val="en-US"/>
        </w:rPr>
      </w:pPr>
      <w:r w:rsidRPr="00712298">
        <w:rPr>
          <w:rFonts w:ascii="Arial" w:eastAsia="Arial" w:hAnsi="Arial" w:cs="Arial"/>
          <w:i/>
          <w:sz w:val="16"/>
          <w:szCs w:val="16"/>
          <w:lang w:val="en-US"/>
        </w:rPr>
        <w:t>Supplementary Material</w:t>
      </w:r>
    </w:p>
    <w:p w:rsidR="00513E07" w:rsidRPr="00712298" w:rsidRDefault="00513E07" w:rsidP="00513E07">
      <w:pPr>
        <w:pStyle w:val="Ttulo1"/>
        <w:shd w:val="clear" w:color="auto" w:fill="FFFFFF"/>
        <w:spacing w:before="120" w:after="120"/>
        <w:jc w:val="both"/>
        <w:rPr>
          <w:rFonts w:ascii="Arial" w:hAnsi="Arial" w:cs="Arial"/>
          <w:b w:val="0"/>
          <w:sz w:val="16"/>
          <w:szCs w:val="16"/>
          <w:lang w:val="en-US"/>
        </w:rPr>
      </w:pPr>
      <w:r w:rsidRPr="00712298">
        <w:rPr>
          <w:rFonts w:ascii="Arial" w:eastAsia="Arial" w:hAnsi="Arial" w:cs="Arial"/>
          <w:sz w:val="16"/>
          <w:szCs w:val="16"/>
          <w:lang w:val="en-US"/>
        </w:rPr>
        <w:t>TABLE S1</w:t>
      </w:r>
      <w:r w:rsidRPr="00712298">
        <w:rPr>
          <w:rFonts w:ascii="Arial" w:eastAsia="Arial" w:hAnsi="Arial" w:cs="Arial"/>
          <w:b w:val="0"/>
          <w:sz w:val="16"/>
          <w:szCs w:val="16"/>
          <w:lang w:val="en-US"/>
        </w:rPr>
        <w:t>- Remained variables that entered the analysis after meticulous review of the CTOC dataset.</w:t>
      </w:r>
    </w:p>
    <w:tbl>
      <w:tblPr>
        <w:tblW w:w="8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8"/>
        <w:gridCol w:w="2074"/>
        <w:gridCol w:w="2048"/>
        <w:gridCol w:w="2048"/>
      </w:tblGrid>
      <w:tr w:rsidR="00513E07" w:rsidRPr="00712298" w:rsidTr="00CB45F7">
        <w:tc>
          <w:tcPr>
            <w:tcW w:w="8488" w:type="dxa"/>
            <w:gridSpan w:val="4"/>
          </w:tcPr>
          <w:p w:rsidR="00513E07" w:rsidRPr="00712298" w:rsidRDefault="00513E07" w:rsidP="00CB45F7">
            <w:pPr>
              <w:pStyle w:val="Ttulo1"/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sz w:val="16"/>
                <w:szCs w:val="16"/>
                <w:lang w:val="en-US"/>
              </w:rPr>
              <w:t>Remained variables that entered the analysis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Subject number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suicide thought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Presence of any sensory phenomena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Somatization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Age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suicide plan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Course of OCS symptoms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Body Dysmorphic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Gender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suicide attempt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Age at OCS onset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Eating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Body mass index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suicide attempt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Depressive symptoms severity (BDI)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Anorexia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Marital status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Familial history of suicide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Anxious symptoms severity (BAI)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Bulimia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Offspring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 xml:space="preserve">Social Class 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Insight level (BABS)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Binge eating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Live alone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symptom dimension of aggressivity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tics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Intermittent Explosive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Religion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symptom dimension of sex/religion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Tourette Syndrome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Kleptomania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Practice religion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symptom dimension of symmetry/order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ADHD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Compulsive Buying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Occupation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symptom dimension of contamination/wash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Separation Anxiety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Lifetime “Grooming” behavior disorder (Trichotillomania + Skin Picking)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Ethnicity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symptom dimension of hoarding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Major Depression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any psychiatric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Number of studied years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 xml:space="preserve">DY-BOCS  miscellanea symptom dimension 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Bipolar I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alcohol related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convulsion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aggressivity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Bipolar II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other substance related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migraine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sex/religion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Alcohol dependence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Panic/Agoraphobia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use of SSRI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symmetry/order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canaabis dependence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Social Anxiety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use of Clomipramine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contamination/wash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Lifetime other substances dependence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Simple Phobia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Lifetime use of other antidepressants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hoarding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Panic/Agoraphobia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any Eating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use of benzodiazepines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DY-BOCS severity subscore of  miscellanea dimension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Social Anxiety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Familial history of ADHD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use of neuroleptics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 xml:space="preserve">DY-BOCS severity total score  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Simple Anxiety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Major Depression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Lifetime use of mood stabilizers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Y-BOCS obsessions subscore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PTSD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Bipolar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use of lithium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Y-BOCS compulsions subscore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any trauma history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any Psychotic Disorder</w:t>
            </w:r>
          </w:p>
        </w:tc>
      </w:tr>
      <w:tr w:rsidR="00513E07" w:rsidRPr="00712298" w:rsidTr="00CB45F7">
        <w:tc>
          <w:tcPr>
            <w:tcW w:w="231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electroconvulsive therapy</w:t>
            </w:r>
          </w:p>
        </w:tc>
        <w:tc>
          <w:tcPr>
            <w:tcW w:w="2074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Y-BOCS total score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</w:rPr>
              <w:t>Lifetime General Anxiety disorder</w:t>
            </w:r>
          </w:p>
        </w:tc>
        <w:tc>
          <w:tcPr>
            <w:tcW w:w="2048" w:type="dxa"/>
          </w:tcPr>
          <w:p w:rsidR="00513E07" w:rsidRPr="00712298" w:rsidRDefault="00513E07" w:rsidP="00CB45F7">
            <w:pPr>
              <w:pStyle w:val="Ttulo1"/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</w:pPr>
            <w:r w:rsidRPr="00712298">
              <w:rPr>
                <w:rFonts w:ascii="Arial" w:eastAsia="Arial" w:hAnsi="Arial" w:cs="Arial"/>
                <w:b w:val="0"/>
                <w:sz w:val="16"/>
                <w:szCs w:val="16"/>
                <w:lang w:val="en-US"/>
              </w:rPr>
              <w:t>Familial history of PTSD and Familial history of OCD</w:t>
            </w:r>
          </w:p>
        </w:tc>
      </w:tr>
    </w:tbl>
    <w:p w:rsidR="00513E07" w:rsidRPr="00712298" w:rsidRDefault="00513E07" w:rsidP="00513E07">
      <w:pPr>
        <w:pStyle w:val="Ttulo1"/>
        <w:shd w:val="clear" w:color="auto" w:fill="FFFFFF"/>
        <w:spacing w:before="120" w:after="240"/>
        <w:ind w:firstLine="700"/>
        <w:jc w:val="both"/>
        <w:rPr>
          <w:rFonts w:ascii="Arial" w:eastAsia="Arial" w:hAnsi="Arial" w:cs="Arial"/>
          <w:b w:val="0"/>
          <w:sz w:val="16"/>
          <w:szCs w:val="16"/>
          <w:lang w:val="en-US"/>
        </w:rPr>
      </w:pPr>
      <w:bookmarkStart w:id="0" w:name="_heading=h.9y738eax74sn" w:colFirst="0" w:colLast="0"/>
      <w:bookmarkEnd w:id="0"/>
      <w:r w:rsidRPr="00712298">
        <w:rPr>
          <w:rFonts w:ascii="Arial" w:eastAsia="Arial" w:hAnsi="Arial" w:cs="Arial"/>
          <w:b w:val="0"/>
          <w:sz w:val="16"/>
          <w:szCs w:val="16"/>
          <w:lang w:val="en-US"/>
        </w:rPr>
        <w:t>OCS – Obsessive Compulsive Symptoms; OCD = Obsessive Compulsive Disorder; DY-BOCS = Dimensional Yale-Brown Obsessive Compulsive Scale; Y-BOCS = Yale-Brown Obsessive Compulsive Scale; BABS = Brown Assessment of Beliefs Scale; BDI = Beck Depression Inventory; BAI = Beck Anxiety Inventory; PTSD = Post Traumatic Stress Disorder; ADHD = Attention Deficit Hyperactivity Disorder.</w:t>
      </w: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  <w:r w:rsidRPr="00712298">
        <w:rPr>
          <w:rFonts w:ascii="Arial" w:eastAsia="Arial" w:hAnsi="Arial" w:cs="Arial"/>
          <w:b/>
          <w:noProof/>
          <w:sz w:val="16"/>
          <w:szCs w:val="16"/>
        </w:rPr>
        <w:lastRenderedPageBreak/>
        <w:drawing>
          <wp:inline distT="0" distB="0" distL="0" distR="0" wp14:anchorId="31B352B1" wp14:editId="477811DD">
            <wp:extent cx="5756275" cy="2893060"/>
            <wp:effectExtent l="0" t="0" r="9525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298">
        <w:rPr>
          <w:rFonts w:ascii="Arial" w:eastAsia="Arial" w:hAnsi="Arial" w:cs="Arial"/>
          <w:b/>
          <w:sz w:val="16"/>
          <w:szCs w:val="16"/>
          <w:lang w:val="en-US"/>
        </w:rPr>
        <w:t xml:space="preserve">FIGURE S1 - </w:t>
      </w:r>
      <w:r w:rsidRPr="00712298">
        <w:rPr>
          <w:rFonts w:ascii="Arial" w:hAnsi="Arial" w:cs="Arial"/>
          <w:color w:val="000000"/>
          <w:sz w:val="16"/>
          <w:szCs w:val="16"/>
          <w:lang w:val="en-US"/>
        </w:rPr>
        <w:t>Machine Learning protocol.</w:t>
      </w: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513E07" w:rsidRPr="00712298" w:rsidRDefault="00513E07" w:rsidP="00513E07">
      <w:pPr>
        <w:jc w:val="both"/>
        <w:rPr>
          <w:rFonts w:ascii="Arial" w:eastAsia="Arial" w:hAnsi="Arial" w:cs="Arial"/>
          <w:b/>
          <w:sz w:val="16"/>
          <w:szCs w:val="16"/>
          <w:lang w:val="en-US"/>
        </w:rPr>
      </w:pPr>
    </w:p>
    <w:p w:rsidR="00B3532C" w:rsidRPr="00712298" w:rsidRDefault="00B3532C">
      <w:pPr>
        <w:rPr>
          <w:rFonts w:ascii="Arial" w:hAnsi="Arial" w:cs="Arial"/>
          <w:sz w:val="16"/>
          <w:szCs w:val="16"/>
          <w:lang w:val="en-US"/>
        </w:rPr>
      </w:pPr>
    </w:p>
    <w:sectPr w:rsidR="00B3532C" w:rsidRPr="00712298" w:rsidSect="00A6522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E07"/>
    <w:rsid w:val="00513E07"/>
    <w:rsid w:val="00712298"/>
    <w:rsid w:val="00A6522B"/>
    <w:rsid w:val="00A821FE"/>
    <w:rsid w:val="00B3532C"/>
    <w:rsid w:val="00FC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F7A80D4-6775-8C45-A5B9-AE18BE24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E07"/>
    <w:rPr>
      <w:rFonts w:ascii="Calibri" w:eastAsiaTheme="minorEastAsia" w:hAnsi="Calibri" w:cs="Calibri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513E0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3E0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Souza Motta</dc:creator>
  <cp:keywords/>
  <dc:description/>
  <cp:lastModifiedBy>Luis Souza Motta</cp:lastModifiedBy>
  <cp:revision>2</cp:revision>
  <dcterms:created xsi:type="dcterms:W3CDTF">2020-05-11T00:46:00Z</dcterms:created>
  <dcterms:modified xsi:type="dcterms:W3CDTF">2020-05-11T00:46:00Z</dcterms:modified>
</cp:coreProperties>
</file>