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5F20" w14:textId="6E2A6DA7" w:rsidR="00973452" w:rsidRPr="00973452" w:rsidRDefault="00B9498D" w:rsidP="00973452">
      <w:pPr>
        <w:spacing w:line="480" w:lineRule="auto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9734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Supplement</w:t>
      </w:r>
      <w:r w:rsidR="001C77B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ary</w:t>
      </w:r>
      <w:r w:rsidR="00C048FE" w:rsidRPr="009734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material </w:t>
      </w:r>
      <w:r w:rsidR="00973452" w:rsidRPr="009734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for</w:t>
      </w:r>
      <w:r w:rsidR="00C048FE" w:rsidRPr="009734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</w:p>
    <w:p w14:paraId="28F6B542" w14:textId="2D6A1A5E" w:rsidR="00C048FE" w:rsidRPr="00973452" w:rsidRDefault="00973452" w:rsidP="00973452">
      <w:pPr>
        <w:spacing w:line="480" w:lineRule="auto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9734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</w:t>
      </w:r>
      <w:r w:rsidR="00C048FE" w:rsidRPr="00973452">
        <w:rPr>
          <w:rFonts w:ascii="Times New Roman" w:hAnsi="Times New Roman" w:cs="Times New Roman" w:hint="eastAsia"/>
          <w:b/>
          <w:bCs/>
          <w:color w:val="auto"/>
          <w:sz w:val="24"/>
          <w:szCs w:val="24"/>
          <w:lang w:val="en-US"/>
        </w:rPr>
        <w:t>elf</w:t>
      </w:r>
      <w:r w:rsidR="00C048FE" w:rsidRPr="0097345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-compassion and dorsolateral prefrontal cortex activity during sad self-face recognition in depressed adolescents</w:t>
      </w:r>
    </w:p>
    <w:p w14:paraId="5D02E1E3" w14:textId="3C7B2673" w:rsidR="00906F38" w:rsidRPr="00506D4A" w:rsidRDefault="00906F38" w:rsidP="00906F38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Guanmin Liu</w:t>
      </w: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1</w:t>
      </w:r>
      <w:r w:rsidR="00C048FE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,2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Na Zhang</w:t>
      </w:r>
      <w:r w:rsidR="00C048FE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3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Jia Yuan Teoh</w:t>
      </w:r>
      <w:r w:rsidR="00C048FE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2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Christine Egan</w:t>
      </w: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4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Thomas A. Zeffiro</w:t>
      </w: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5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Richard J. Davidson</w:t>
      </w: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1,6,7,8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Karina Quevedo</w:t>
      </w:r>
      <w:r w:rsidR="00C048FE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2</w:t>
      </w:r>
    </w:p>
    <w:p w14:paraId="1160D52F" w14:textId="32A1B17D" w:rsidR="00FB3F71" w:rsidRPr="00506D4A" w:rsidRDefault="00906F38" w:rsidP="00FB3F71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1 </w:t>
      </w:r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Center for Healthy Minds, University of Wisconsin, Madison, WI 53703, USA</w:t>
      </w:r>
    </w:p>
    <w:p w14:paraId="2A544B0D" w14:textId="0A19D5E0" w:rsidR="00C048FE" w:rsidRPr="00506D4A" w:rsidRDefault="00C048FE" w:rsidP="00C048FE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2</w:t>
      </w: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 </w:t>
      </w:r>
      <w:r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Department of Psychiatry, University of Minnesota, Minneapolis, MN 55454, USA</w:t>
      </w:r>
    </w:p>
    <w:p w14:paraId="23B9F7D8" w14:textId="1C15E70B" w:rsidR="00906F38" w:rsidRPr="00C048FE" w:rsidRDefault="00C048FE" w:rsidP="00906F38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>3</w:t>
      </w:r>
      <w:r w:rsidR="00906F38"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 </w:t>
      </w:r>
      <w:r w:rsidRP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>Department of Human Development and Family Sciences, University of Connecticut, Stamford, CT 06901, USA</w:t>
      </w:r>
    </w:p>
    <w:p w14:paraId="084D784D" w14:textId="6D354BE0" w:rsidR="00FB3F71" w:rsidRPr="00506D4A" w:rsidRDefault="00906F38" w:rsidP="00FB3F71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4 </w:t>
      </w:r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Department of Neuroscience, University of Minnesota, Minneapolis, MN 55455, USA</w:t>
      </w:r>
    </w:p>
    <w:p w14:paraId="1F0CD6A6" w14:textId="43221F0D" w:rsidR="00FB3F71" w:rsidRPr="00506D4A" w:rsidRDefault="00906F38" w:rsidP="00FB3F71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5 </w:t>
      </w:r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University of Maryland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059A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School of </w:t>
      </w:r>
      <w:r w:rsidR="00C048FE">
        <w:rPr>
          <w:rFonts w:ascii="Times New Roman" w:hAnsi="Times New Roman" w:cs="Times New Roman"/>
          <w:color w:val="auto"/>
          <w:sz w:val="24"/>
          <w:szCs w:val="24"/>
          <w:lang w:val="en-US"/>
        </w:rPr>
        <w:t>Medicine</w:t>
      </w:r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, Baltimore, MD 21201, USA</w:t>
      </w:r>
    </w:p>
    <w:p w14:paraId="4A936C61" w14:textId="6E270DD4" w:rsidR="00FB3F71" w:rsidRPr="00506D4A" w:rsidRDefault="00906F38" w:rsidP="00FB3F71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6 </w:t>
      </w:r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Department of Psychology, University of Wisconsin, Madison, WI 53706, USA</w:t>
      </w:r>
    </w:p>
    <w:p w14:paraId="14B1A96C" w14:textId="6B4A60C5" w:rsidR="00FB3F71" w:rsidRPr="00506D4A" w:rsidRDefault="00906F38" w:rsidP="00FB3F71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7 </w:t>
      </w:r>
      <w:proofErr w:type="spellStart"/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Waisman</w:t>
      </w:r>
      <w:proofErr w:type="spellEnd"/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Laboratory for Brain Imaging and Behavior, University of Wisconsin, Madison, WI 53705, USA</w:t>
      </w:r>
    </w:p>
    <w:p w14:paraId="3D9D4C7D" w14:textId="51971E16" w:rsidR="00FB3F71" w:rsidRPr="00506D4A" w:rsidRDefault="00906F38" w:rsidP="00973452">
      <w:pPr>
        <w:spacing w:line="480" w:lineRule="auto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US"/>
        </w:rPr>
        <w:t xml:space="preserve">8 </w:t>
      </w:r>
      <w:r w:rsidR="00FB3F71" w:rsidRPr="00506D4A">
        <w:rPr>
          <w:rFonts w:ascii="Times New Roman" w:hAnsi="Times New Roman" w:cs="Times New Roman"/>
          <w:color w:val="auto"/>
          <w:sz w:val="24"/>
          <w:szCs w:val="24"/>
          <w:lang w:val="en-US"/>
        </w:rPr>
        <w:t>Department of Psychiatry, University of Wisconsin, Madison, WI 53719, USA</w:t>
      </w:r>
    </w:p>
    <w:p w14:paraId="5B8F32D1" w14:textId="6A0A84F2" w:rsidR="00FB3F71" w:rsidRPr="00506D4A" w:rsidRDefault="00B6093C" w:rsidP="00B6093C">
      <w:pPr>
        <w:jc w:val="both"/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 w:rsidRPr="00506D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Author for correspondence: </w:t>
      </w:r>
      <w:r w:rsidRPr="00506D4A">
        <w:rPr>
          <w:rFonts w:ascii="Times New Roman" w:eastAsiaTheme="minorEastAsia" w:hAnsi="Times New Roman" w:cs="Times New Roman"/>
          <w:color w:val="auto"/>
          <w:sz w:val="24"/>
          <w:szCs w:val="24"/>
        </w:rPr>
        <w:t>Karina Quevedo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06D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Email: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Pr="00506D4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queve001@umn.edu</w:t>
        </w:r>
      </w:hyperlink>
      <w:r w:rsidRPr="00506D4A"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.</w:t>
      </w:r>
    </w:p>
    <w:p w14:paraId="309B1BCB" w14:textId="77777777" w:rsidR="00B6093C" w:rsidRPr="00506D4A" w:rsidRDefault="00B6093C" w:rsidP="00B6093C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5900CDE7" w14:textId="77777777" w:rsidR="000418C3" w:rsidRPr="00506D4A" w:rsidRDefault="000418C3" w:rsidP="0001125E">
      <w:pPr>
        <w:jc w:val="center"/>
        <w:rPr>
          <w:rFonts w:ascii="Times New Roman" w:hAnsi="Times New Roman" w:cs="Times New Roman"/>
          <w:b/>
          <w:color w:val="auto"/>
          <w:sz w:val="32"/>
        </w:rPr>
      </w:pPr>
    </w:p>
    <w:p w14:paraId="42868E3C" w14:textId="77777777" w:rsidR="007F3838" w:rsidRPr="00506D4A" w:rsidRDefault="007F3838" w:rsidP="007F3838">
      <w:pPr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506D4A">
        <w:rPr>
          <w:rFonts w:ascii="Times New Roman" w:hAnsi="Times New Roman" w:cs="Times New Roman"/>
          <w:color w:val="auto"/>
          <w:sz w:val="24"/>
        </w:rPr>
        <w:t>Table of Content</w:t>
      </w:r>
    </w:p>
    <w:p w14:paraId="6787AC69" w14:textId="65C2A7EB" w:rsidR="00234734" w:rsidRPr="00506D4A" w:rsidRDefault="00234734" w:rsidP="00234734">
      <w:pPr>
        <w:pStyle w:val="TOC1"/>
        <w:rPr>
          <w:szCs w:val="24"/>
        </w:rPr>
      </w:pPr>
      <w:r w:rsidRPr="00506D4A">
        <w:rPr>
          <w:szCs w:val="24"/>
        </w:rPr>
        <w:t>Sample characteristics</w:t>
      </w:r>
      <w:r w:rsidRPr="00506D4A">
        <w:rPr>
          <w:szCs w:val="24"/>
        </w:rPr>
        <w:tab/>
        <w:t>1</w:t>
      </w:r>
    </w:p>
    <w:p w14:paraId="3F0B7BCC" w14:textId="51CB54D5" w:rsidR="007F3838" w:rsidRPr="00506D4A" w:rsidRDefault="00861707" w:rsidP="007F3838">
      <w:pPr>
        <w:pStyle w:val="TOC1"/>
        <w:rPr>
          <w:szCs w:val="24"/>
        </w:rPr>
      </w:pPr>
      <w:r w:rsidRPr="00506D4A">
        <w:rPr>
          <w:szCs w:val="24"/>
        </w:rPr>
        <w:t>Stimuli generation of e</w:t>
      </w:r>
      <w:r w:rsidR="007F3838" w:rsidRPr="00506D4A">
        <w:rPr>
          <w:szCs w:val="24"/>
        </w:rPr>
        <w:t>motional self-</w:t>
      </w:r>
      <w:proofErr w:type="gramStart"/>
      <w:r w:rsidR="007F3838" w:rsidRPr="00506D4A">
        <w:rPr>
          <w:szCs w:val="24"/>
        </w:rPr>
        <w:t>other</w:t>
      </w:r>
      <w:proofErr w:type="gramEnd"/>
      <w:r w:rsidR="007F3838" w:rsidRPr="00506D4A">
        <w:rPr>
          <w:szCs w:val="24"/>
        </w:rPr>
        <w:t xml:space="preserve"> morph-query (ESOM-Q) </w:t>
      </w:r>
      <w:r w:rsidRPr="00506D4A">
        <w:rPr>
          <w:szCs w:val="24"/>
        </w:rPr>
        <w:t>t</w:t>
      </w:r>
      <w:r w:rsidR="007F3838" w:rsidRPr="00506D4A">
        <w:rPr>
          <w:szCs w:val="24"/>
        </w:rPr>
        <w:t>ask</w:t>
      </w:r>
      <w:r w:rsidR="007F3838" w:rsidRPr="00506D4A">
        <w:rPr>
          <w:szCs w:val="24"/>
        </w:rPr>
        <w:tab/>
      </w:r>
      <w:r w:rsidR="00234734" w:rsidRPr="00506D4A">
        <w:rPr>
          <w:szCs w:val="24"/>
        </w:rPr>
        <w:t>2</w:t>
      </w:r>
    </w:p>
    <w:p w14:paraId="5AEE222B" w14:textId="23D7DDA7" w:rsidR="00234734" w:rsidRPr="00506D4A" w:rsidRDefault="00234734" w:rsidP="00234734">
      <w:pPr>
        <w:pStyle w:val="TOC1"/>
        <w:rPr>
          <w:szCs w:val="24"/>
        </w:rPr>
      </w:pPr>
      <w:r w:rsidRPr="00506D4A">
        <w:rPr>
          <w:szCs w:val="24"/>
        </w:rPr>
        <w:t>Behavioral results on response time and accuracy</w:t>
      </w:r>
      <w:r w:rsidRPr="00506D4A">
        <w:rPr>
          <w:szCs w:val="24"/>
        </w:rPr>
        <w:tab/>
        <w:t>4</w:t>
      </w:r>
    </w:p>
    <w:p w14:paraId="2B582631" w14:textId="388B67C2" w:rsidR="007F3838" w:rsidRPr="00506D4A" w:rsidRDefault="007F3838" w:rsidP="007F3838">
      <w:pPr>
        <w:pStyle w:val="TOC1"/>
        <w:rPr>
          <w:szCs w:val="24"/>
        </w:rPr>
      </w:pPr>
      <w:r w:rsidRPr="00506D4A">
        <w:rPr>
          <w:szCs w:val="24"/>
        </w:rPr>
        <w:t xml:space="preserve">Additional fMRI </w:t>
      </w:r>
      <w:r w:rsidR="0052563A" w:rsidRPr="00506D4A">
        <w:rPr>
          <w:szCs w:val="24"/>
        </w:rPr>
        <w:t xml:space="preserve">analyses and </w:t>
      </w:r>
      <w:r w:rsidRPr="00506D4A">
        <w:rPr>
          <w:szCs w:val="24"/>
        </w:rPr>
        <w:t>results to happy</w:t>
      </w:r>
      <w:r w:rsidR="00D727A0" w:rsidRPr="00506D4A">
        <w:rPr>
          <w:szCs w:val="24"/>
        </w:rPr>
        <w:t xml:space="preserve"> vs. neutral</w:t>
      </w:r>
      <w:r w:rsidRPr="00506D4A">
        <w:rPr>
          <w:szCs w:val="24"/>
        </w:rPr>
        <w:t xml:space="preserve"> self-face </w:t>
      </w:r>
      <w:r w:rsidR="00D727A0" w:rsidRPr="00506D4A">
        <w:rPr>
          <w:szCs w:val="24"/>
        </w:rPr>
        <w:t>recognition</w:t>
      </w:r>
      <w:r w:rsidRPr="00506D4A">
        <w:rPr>
          <w:szCs w:val="24"/>
        </w:rPr>
        <w:tab/>
      </w:r>
      <w:r w:rsidR="00234734" w:rsidRPr="00506D4A">
        <w:rPr>
          <w:szCs w:val="24"/>
        </w:rPr>
        <w:t>5</w:t>
      </w:r>
    </w:p>
    <w:p w14:paraId="5718578A" w14:textId="54631960" w:rsidR="00B6093C" w:rsidRPr="00506D4A" w:rsidRDefault="00B6093C" w:rsidP="00B6093C">
      <w:pPr>
        <w:pStyle w:val="TOC1"/>
        <w:rPr>
          <w:szCs w:val="24"/>
        </w:rPr>
      </w:pPr>
      <w:r w:rsidRPr="00506D4A">
        <w:rPr>
          <w:szCs w:val="24"/>
        </w:rPr>
        <w:t>Additional fMRI analyses and results to sad vs. neutral other-face recognition</w:t>
      </w:r>
      <w:r w:rsidRPr="00506D4A">
        <w:rPr>
          <w:szCs w:val="24"/>
        </w:rPr>
        <w:tab/>
        <w:t>6</w:t>
      </w:r>
    </w:p>
    <w:p w14:paraId="681D4EE4" w14:textId="2372BDB2" w:rsidR="005817CB" w:rsidRPr="00506D4A" w:rsidRDefault="00071C17" w:rsidP="001358A6">
      <w:pPr>
        <w:pStyle w:val="TOC1"/>
        <w:rPr>
          <w:szCs w:val="24"/>
        </w:rPr>
        <w:sectPr w:rsidR="005817CB" w:rsidRPr="00506D4A" w:rsidSect="005817CB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506D4A">
        <w:rPr>
          <w:szCs w:val="24"/>
        </w:rPr>
        <w:t>Supporting references</w:t>
      </w:r>
      <w:r w:rsidRPr="00506D4A">
        <w:rPr>
          <w:szCs w:val="24"/>
        </w:rPr>
        <w:tab/>
      </w:r>
      <w:r w:rsidR="0086193A" w:rsidRPr="00506D4A">
        <w:rPr>
          <w:szCs w:val="24"/>
        </w:rPr>
        <w:t>8</w:t>
      </w:r>
    </w:p>
    <w:p w14:paraId="6CE674ED" w14:textId="43363E1F" w:rsidR="004C10E7" w:rsidRPr="00506D4A" w:rsidRDefault="004C10E7" w:rsidP="004C10E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Sample characteristic</w:t>
      </w:r>
      <w:r w:rsidR="00234734" w:rsidRPr="00506D4A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</w:p>
    <w:p w14:paraId="3DB14C1D" w14:textId="14F912D9" w:rsidR="004C10E7" w:rsidRPr="00506D4A" w:rsidRDefault="004C10E7" w:rsidP="004C10E7">
      <w:pPr>
        <w:spacing w:after="160" w:line="256" w:lineRule="auto"/>
        <w:ind w:firstLineChars="100" w:firstLine="221"/>
        <w:rPr>
          <w:rFonts w:ascii="Times New Roman" w:hAnsi="Times New Roman" w:cs="Times New Roman"/>
          <w:bCs/>
          <w:color w:val="auto"/>
        </w:rPr>
      </w:pPr>
      <w:r w:rsidRPr="00506D4A">
        <w:rPr>
          <w:rFonts w:ascii="Times New Roman" w:hAnsi="Times New Roman" w:cs="Times New Roman"/>
          <w:b/>
          <w:color w:val="auto"/>
        </w:rPr>
        <w:t xml:space="preserve">Table </w:t>
      </w:r>
      <w:r w:rsidR="00981EA9" w:rsidRPr="00506D4A">
        <w:rPr>
          <w:rFonts w:ascii="Times New Roman" w:hAnsi="Times New Roman" w:cs="Times New Roman"/>
          <w:b/>
          <w:color w:val="auto"/>
        </w:rPr>
        <w:t>S</w:t>
      </w:r>
      <w:r w:rsidRPr="00506D4A">
        <w:rPr>
          <w:rFonts w:ascii="Times New Roman" w:hAnsi="Times New Roman" w:cs="Times New Roman"/>
          <w:b/>
          <w:color w:val="auto"/>
        </w:rPr>
        <w:t xml:space="preserve">1. </w:t>
      </w:r>
      <w:r w:rsidRPr="00506D4A">
        <w:rPr>
          <w:rFonts w:ascii="Times New Roman" w:hAnsi="Times New Roman" w:cs="Times New Roman"/>
          <w:bCs/>
          <w:color w:val="auto"/>
        </w:rPr>
        <w:t>Sample characteristics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3460"/>
        <w:gridCol w:w="2740"/>
        <w:gridCol w:w="2740"/>
      </w:tblGrid>
      <w:tr w:rsidR="00506D4A" w:rsidRPr="00506D4A" w14:paraId="214AA63E" w14:textId="77777777" w:rsidTr="004C10E7">
        <w:trPr>
          <w:trHeight w:val="518"/>
          <w:jc w:val="center"/>
        </w:trPr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C1B7BF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Variable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B2F19B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Depressed Youth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br/>
              <w:t>(n=81)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EB8B4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Healthy Controls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br/>
              <w:t>(n=37)</w:t>
            </w:r>
          </w:p>
        </w:tc>
      </w:tr>
      <w:tr w:rsidR="00506D4A" w:rsidRPr="00506D4A" w14:paraId="7378B8EF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47D859A3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Age: M±SD[Range]</w:t>
            </w:r>
          </w:p>
        </w:tc>
        <w:tc>
          <w:tcPr>
            <w:tcW w:w="2740" w:type="dxa"/>
            <w:vAlign w:val="center"/>
            <w:hideMark/>
          </w:tcPr>
          <w:p w14:paraId="51F3AD23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14.94±1.68 [11.30-17.80]</w:t>
            </w:r>
          </w:p>
        </w:tc>
        <w:tc>
          <w:tcPr>
            <w:tcW w:w="2740" w:type="dxa"/>
            <w:vAlign w:val="center"/>
            <w:hideMark/>
          </w:tcPr>
          <w:p w14:paraId="0C45F94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14.48±1.54 [12.00-16.90]</w:t>
            </w:r>
          </w:p>
        </w:tc>
      </w:tr>
      <w:tr w:rsidR="00506D4A" w:rsidRPr="00506D4A" w14:paraId="752CA8B2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795BA61A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Sex</w:t>
            </w:r>
          </w:p>
        </w:tc>
        <w:tc>
          <w:tcPr>
            <w:tcW w:w="2740" w:type="dxa"/>
            <w:vAlign w:val="center"/>
            <w:hideMark/>
          </w:tcPr>
          <w:p w14:paraId="4C002842" w14:textId="77777777" w:rsidR="004C10E7" w:rsidRPr="00506D4A" w:rsidRDefault="004C10E7">
            <w:pPr>
              <w:rPr>
                <w:rFonts w:ascii="Times New Roman" w:eastAsia="DengXian" w:hAnsi="Times New Roman" w:cs="Times New Roman"/>
                <w:color w:val="auto"/>
              </w:rPr>
            </w:pPr>
          </w:p>
        </w:tc>
        <w:tc>
          <w:tcPr>
            <w:tcW w:w="2740" w:type="dxa"/>
            <w:vAlign w:val="center"/>
            <w:hideMark/>
          </w:tcPr>
          <w:p w14:paraId="3D154CB6" w14:textId="77777777" w:rsidR="004C10E7" w:rsidRPr="00506D4A" w:rsidRDefault="004C10E7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6D4A" w:rsidRPr="00506D4A" w14:paraId="016788C8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4D50B8E9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Male</w:t>
            </w:r>
          </w:p>
        </w:tc>
        <w:tc>
          <w:tcPr>
            <w:tcW w:w="2740" w:type="dxa"/>
            <w:vAlign w:val="center"/>
            <w:hideMark/>
          </w:tcPr>
          <w:p w14:paraId="2CD2B36A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27 (33.33%)</w:t>
            </w:r>
          </w:p>
        </w:tc>
        <w:tc>
          <w:tcPr>
            <w:tcW w:w="2740" w:type="dxa"/>
            <w:vAlign w:val="center"/>
            <w:hideMark/>
          </w:tcPr>
          <w:p w14:paraId="2A39AB2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20 (54.05%)</w:t>
            </w:r>
          </w:p>
        </w:tc>
      </w:tr>
      <w:tr w:rsidR="00506D4A" w:rsidRPr="00506D4A" w14:paraId="68804B92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7BF70811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Female</w:t>
            </w:r>
          </w:p>
        </w:tc>
        <w:tc>
          <w:tcPr>
            <w:tcW w:w="2740" w:type="dxa"/>
            <w:vAlign w:val="center"/>
            <w:hideMark/>
          </w:tcPr>
          <w:p w14:paraId="4EFD62D8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54 (66.67%)</w:t>
            </w:r>
          </w:p>
        </w:tc>
        <w:tc>
          <w:tcPr>
            <w:tcW w:w="2740" w:type="dxa"/>
            <w:vAlign w:val="center"/>
            <w:hideMark/>
          </w:tcPr>
          <w:p w14:paraId="69C5E8C9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17 (45.95%)</w:t>
            </w:r>
          </w:p>
        </w:tc>
      </w:tr>
      <w:tr w:rsidR="00506D4A" w:rsidRPr="00506D4A" w14:paraId="687A1412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1CE0171A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Race/Ethnicity:</w:t>
            </w:r>
          </w:p>
        </w:tc>
        <w:tc>
          <w:tcPr>
            <w:tcW w:w="2740" w:type="dxa"/>
            <w:vAlign w:val="center"/>
            <w:hideMark/>
          </w:tcPr>
          <w:p w14:paraId="5BE30BF9" w14:textId="77777777" w:rsidR="004C10E7" w:rsidRPr="00506D4A" w:rsidRDefault="004C10E7">
            <w:pPr>
              <w:rPr>
                <w:rFonts w:ascii="Times New Roman" w:eastAsia="DengXian" w:hAnsi="Times New Roman" w:cs="Times New Roman"/>
                <w:color w:val="auto"/>
              </w:rPr>
            </w:pPr>
          </w:p>
        </w:tc>
        <w:tc>
          <w:tcPr>
            <w:tcW w:w="2740" w:type="dxa"/>
            <w:vAlign w:val="center"/>
            <w:hideMark/>
          </w:tcPr>
          <w:p w14:paraId="304F2CE5" w14:textId="77777777" w:rsidR="004C10E7" w:rsidRPr="00506D4A" w:rsidRDefault="004C10E7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6D4A" w:rsidRPr="00506D4A" w14:paraId="29CD8BE0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2E60F04D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White</w:t>
            </w:r>
          </w:p>
        </w:tc>
        <w:tc>
          <w:tcPr>
            <w:tcW w:w="2740" w:type="dxa"/>
            <w:vAlign w:val="center"/>
            <w:hideMark/>
          </w:tcPr>
          <w:p w14:paraId="57EF73D1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46 (56.79%)</w:t>
            </w:r>
          </w:p>
        </w:tc>
        <w:tc>
          <w:tcPr>
            <w:tcW w:w="2740" w:type="dxa"/>
            <w:vAlign w:val="center"/>
            <w:hideMark/>
          </w:tcPr>
          <w:p w14:paraId="183AFB7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28 (75.68%)</w:t>
            </w:r>
          </w:p>
        </w:tc>
      </w:tr>
      <w:tr w:rsidR="00506D4A" w:rsidRPr="00506D4A" w14:paraId="29C4F59B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4D7BD815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African American</w:t>
            </w:r>
          </w:p>
        </w:tc>
        <w:tc>
          <w:tcPr>
            <w:tcW w:w="2740" w:type="dxa"/>
            <w:vAlign w:val="center"/>
            <w:hideMark/>
          </w:tcPr>
          <w:p w14:paraId="231D70F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8 (9.88%)</w:t>
            </w:r>
          </w:p>
        </w:tc>
        <w:tc>
          <w:tcPr>
            <w:tcW w:w="2740" w:type="dxa"/>
            <w:vAlign w:val="center"/>
            <w:hideMark/>
          </w:tcPr>
          <w:p w14:paraId="3B82F38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 (2.70%)</w:t>
            </w:r>
          </w:p>
        </w:tc>
      </w:tr>
      <w:tr w:rsidR="00506D4A" w:rsidRPr="00506D4A" w14:paraId="680FE586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040F0F4F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Hispanic or Latino</w:t>
            </w:r>
          </w:p>
        </w:tc>
        <w:tc>
          <w:tcPr>
            <w:tcW w:w="2740" w:type="dxa"/>
            <w:vAlign w:val="center"/>
            <w:hideMark/>
          </w:tcPr>
          <w:p w14:paraId="50CAEE90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10 (12.35%)</w:t>
            </w:r>
          </w:p>
        </w:tc>
        <w:tc>
          <w:tcPr>
            <w:tcW w:w="2740" w:type="dxa"/>
            <w:vAlign w:val="center"/>
            <w:hideMark/>
          </w:tcPr>
          <w:p w14:paraId="142EF23E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 (2.70%)</w:t>
            </w:r>
          </w:p>
        </w:tc>
      </w:tr>
      <w:tr w:rsidR="00506D4A" w:rsidRPr="00506D4A" w14:paraId="20ECF386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44E53DF1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Native American</w:t>
            </w:r>
          </w:p>
        </w:tc>
        <w:tc>
          <w:tcPr>
            <w:tcW w:w="2740" w:type="dxa"/>
            <w:vAlign w:val="center"/>
            <w:hideMark/>
          </w:tcPr>
          <w:p w14:paraId="29860E7C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(2.47%)</w:t>
            </w:r>
          </w:p>
        </w:tc>
        <w:tc>
          <w:tcPr>
            <w:tcW w:w="2740" w:type="dxa"/>
            <w:vAlign w:val="center"/>
            <w:hideMark/>
          </w:tcPr>
          <w:p w14:paraId="16E66CE9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0</w:t>
            </w:r>
          </w:p>
        </w:tc>
      </w:tr>
      <w:tr w:rsidR="00506D4A" w:rsidRPr="00506D4A" w14:paraId="4FD20D2C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3D471D18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Asian</w:t>
            </w:r>
          </w:p>
        </w:tc>
        <w:tc>
          <w:tcPr>
            <w:tcW w:w="2740" w:type="dxa"/>
            <w:vAlign w:val="center"/>
            <w:hideMark/>
          </w:tcPr>
          <w:p w14:paraId="6C33EB25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3 (3.70%)</w:t>
            </w:r>
          </w:p>
        </w:tc>
        <w:tc>
          <w:tcPr>
            <w:tcW w:w="2740" w:type="dxa"/>
            <w:vAlign w:val="center"/>
            <w:hideMark/>
          </w:tcPr>
          <w:p w14:paraId="1ED0EAF2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3 (8.11%)</w:t>
            </w:r>
          </w:p>
        </w:tc>
      </w:tr>
      <w:tr w:rsidR="00506D4A" w:rsidRPr="00506D4A" w14:paraId="5A763EC1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485020DC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Multi-racial</w:t>
            </w:r>
          </w:p>
        </w:tc>
        <w:tc>
          <w:tcPr>
            <w:tcW w:w="2740" w:type="dxa"/>
            <w:vAlign w:val="center"/>
            <w:hideMark/>
          </w:tcPr>
          <w:p w14:paraId="4509638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10 (12.35%)</w:t>
            </w:r>
          </w:p>
        </w:tc>
        <w:tc>
          <w:tcPr>
            <w:tcW w:w="2740" w:type="dxa"/>
            <w:vAlign w:val="center"/>
            <w:hideMark/>
          </w:tcPr>
          <w:p w14:paraId="143BF01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4 (10.81%)</w:t>
            </w:r>
          </w:p>
        </w:tc>
      </w:tr>
      <w:tr w:rsidR="00506D4A" w:rsidRPr="00506D4A" w14:paraId="02C5E691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055245E3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Others</w:t>
            </w:r>
          </w:p>
          <w:p w14:paraId="404FCBCA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Puberty: Late State/Completed</w:t>
            </w:r>
          </w:p>
        </w:tc>
        <w:tc>
          <w:tcPr>
            <w:tcW w:w="2740" w:type="dxa"/>
            <w:vAlign w:val="center"/>
            <w:hideMark/>
          </w:tcPr>
          <w:p w14:paraId="5049D24F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(2.47%)</w:t>
            </w:r>
          </w:p>
          <w:p w14:paraId="3B15F6F1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71 (87.65%)</w:t>
            </w:r>
          </w:p>
        </w:tc>
        <w:tc>
          <w:tcPr>
            <w:tcW w:w="2740" w:type="dxa"/>
            <w:vAlign w:val="center"/>
            <w:hideMark/>
          </w:tcPr>
          <w:p w14:paraId="54AF5803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0</w:t>
            </w:r>
          </w:p>
          <w:p w14:paraId="65D04A79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29 (78.38%)</w:t>
            </w:r>
          </w:p>
        </w:tc>
      </w:tr>
      <w:tr w:rsidR="00506D4A" w:rsidRPr="00506D4A" w14:paraId="4A933CA9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7D2AFDA6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Annual Household Income:</w:t>
            </w:r>
          </w:p>
        </w:tc>
        <w:tc>
          <w:tcPr>
            <w:tcW w:w="2740" w:type="dxa"/>
            <w:vAlign w:val="center"/>
            <w:hideMark/>
          </w:tcPr>
          <w:p w14:paraId="7551B341" w14:textId="77777777" w:rsidR="004C10E7" w:rsidRPr="00506D4A" w:rsidRDefault="004C10E7">
            <w:pPr>
              <w:rPr>
                <w:rFonts w:ascii="Times New Roman" w:eastAsia="DengXian" w:hAnsi="Times New Roman" w:cs="Times New Roman"/>
                <w:color w:val="auto"/>
              </w:rPr>
            </w:pPr>
          </w:p>
        </w:tc>
        <w:tc>
          <w:tcPr>
            <w:tcW w:w="2740" w:type="dxa"/>
            <w:vAlign w:val="center"/>
            <w:hideMark/>
          </w:tcPr>
          <w:p w14:paraId="5A56AF63" w14:textId="77777777" w:rsidR="004C10E7" w:rsidRPr="00506D4A" w:rsidRDefault="004C10E7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6D4A" w:rsidRPr="00506D4A" w14:paraId="33A9BE9F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0D8AF51E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＜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$24,999</w:t>
            </w:r>
          </w:p>
        </w:tc>
        <w:tc>
          <w:tcPr>
            <w:tcW w:w="2740" w:type="dxa"/>
            <w:vAlign w:val="center"/>
            <w:hideMark/>
          </w:tcPr>
          <w:p w14:paraId="26EA2B95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20 (24.69%)</w:t>
            </w:r>
          </w:p>
        </w:tc>
        <w:tc>
          <w:tcPr>
            <w:tcW w:w="2740" w:type="dxa"/>
            <w:vAlign w:val="center"/>
            <w:hideMark/>
          </w:tcPr>
          <w:p w14:paraId="0096C900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(5.41%)</w:t>
            </w:r>
          </w:p>
        </w:tc>
      </w:tr>
      <w:tr w:rsidR="00506D4A" w:rsidRPr="00506D4A" w14:paraId="121A7AC7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1202A764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$25,000 ~ 49,999</w:t>
            </w:r>
          </w:p>
        </w:tc>
        <w:tc>
          <w:tcPr>
            <w:tcW w:w="2740" w:type="dxa"/>
            <w:vAlign w:val="center"/>
            <w:hideMark/>
          </w:tcPr>
          <w:p w14:paraId="0ADC6D3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21 (25.93%)</w:t>
            </w:r>
          </w:p>
        </w:tc>
        <w:tc>
          <w:tcPr>
            <w:tcW w:w="2740" w:type="dxa"/>
            <w:vAlign w:val="center"/>
            <w:hideMark/>
          </w:tcPr>
          <w:p w14:paraId="455612C2" w14:textId="2D45046C" w:rsidR="004C10E7" w:rsidRPr="00506D4A" w:rsidRDefault="00F22BE4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</w:t>
            </w:r>
            <w:r w:rsidR="004C10E7" w:rsidRPr="00506D4A">
              <w:rPr>
                <w:rFonts w:ascii="Times New Roman" w:eastAsia="DengXian" w:hAnsi="Times New Roman" w:cs="Times New Roman"/>
                <w:color w:val="auto"/>
              </w:rPr>
              <w:t>5 (13.51%)</w:t>
            </w:r>
          </w:p>
        </w:tc>
      </w:tr>
      <w:tr w:rsidR="00506D4A" w:rsidRPr="00506D4A" w14:paraId="6431B462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1CE4DB71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$50,000 ~ 99,999</w:t>
            </w:r>
          </w:p>
        </w:tc>
        <w:tc>
          <w:tcPr>
            <w:tcW w:w="2740" w:type="dxa"/>
            <w:vAlign w:val="center"/>
            <w:hideMark/>
          </w:tcPr>
          <w:p w14:paraId="12C34BE8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20 (24.69%)</w:t>
            </w:r>
          </w:p>
        </w:tc>
        <w:tc>
          <w:tcPr>
            <w:tcW w:w="2740" w:type="dxa"/>
            <w:vAlign w:val="center"/>
            <w:hideMark/>
          </w:tcPr>
          <w:p w14:paraId="6943AC31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14 (37.84%)</w:t>
            </w:r>
          </w:p>
        </w:tc>
      </w:tr>
      <w:tr w:rsidR="00506D4A" w:rsidRPr="00506D4A" w14:paraId="2CB94588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61E1F29C" w14:textId="39722FF4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$100,000 ~ 149,999</w:t>
            </w:r>
          </w:p>
          <w:p w14:paraId="56ED997B" w14:textId="5FAE369E" w:rsidR="008524E6" w:rsidRPr="00506D4A" w:rsidRDefault="008524E6" w:rsidP="008524E6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 w:hint="eastAsia"/>
                <w:color w:val="auto"/>
              </w:rPr>
              <w:t xml:space="preserve"> 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＞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$150,000</w:t>
            </w:r>
          </w:p>
          <w:p w14:paraId="342530CD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Parent Marital Status</w:t>
            </w:r>
          </w:p>
          <w:p w14:paraId="11CDF20E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Married</w:t>
            </w:r>
          </w:p>
          <w:p w14:paraId="24CBC4CD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Living with Partner</w:t>
            </w:r>
          </w:p>
          <w:p w14:paraId="3849AB6A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Separated/Divorced</w:t>
            </w:r>
          </w:p>
          <w:p w14:paraId="7D41CB29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Singer/Never Married</w:t>
            </w:r>
          </w:p>
          <w:p w14:paraId="601BD2F0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Widowed</w:t>
            </w:r>
          </w:p>
          <w:p w14:paraId="26782285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Depression Diagnosis</w:t>
            </w:r>
          </w:p>
          <w:p w14:paraId="69D12048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Major Depressive Disorder</w:t>
            </w:r>
          </w:p>
          <w:p w14:paraId="16D04D70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Dysthymia</w:t>
            </w:r>
          </w:p>
          <w:p w14:paraId="50378F03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Depressive Disorder-NOS</w:t>
            </w:r>
          </w:p>
          <w:p w14:paraId="7E76514F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Comorbid Anxiety</w:t>
            </w:r>
          </w:p>
          <w:p w14:paraId="1C1A4122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Medication Use: (non-exclusive)</w:t>
            </w:r>
          </w:p>
          <w:p w14:paraId="36416B87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Antidepressant</w:t>
            </w:r>
          </w:p>
          <w:p w14:paraId="06C6DA09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Antipsychotic</w:t>
            </w:r>
          </w:p>
          <w:p w14:paraId="15A74365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Mood Stabilizing</w:t>
            </w:r>
          </w:p>
          <w:p w14:paraId="4CD12F0A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Stimulant</w:t>
            </w:r>
          </w:p>
          <w:p w14:paraId="10067910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  </w:t>
            </w:r>
            <w:proofErr w:type="spellStart"/>
            <w:r w:rsidRPr="00506D4A">
              <w:rPr>
                <w:rFonts w:ascii="Times New Roman" w:eastAsia="DengXian" w:hAnsi="Times New Roman" w:cs="Times New Roman"/>
                <w:color w:val="auto"/>
              </w:rPr>
              <w:t>Anxiolitic</w:t>
            </w:r>
            <w:proofErr w:type="spellEnd"/>
          </w:p>
          <w:p w14:paraId="635F19E6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Any Medication</w:t>
            </w:r>
          </w:p>
        </w:tc>
        <w:tc>
          <w:tcPr>
            <w:tcW w:w="2740" w:type="dxa"/>
            <w:vAlign w:val="center"/>
          </w:tcPr>
          <w:p w14:paraId="52718A82" w14:textId="38239046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2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(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14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.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81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%)</w:t>
            </w:r>
          </w:p>
          <w:p w14:paraId="6FA121F5" w14:textId="5BB515F3" w:rsidR="008524E6" w:rsidRPr="00506D4A" w:rsidRDefault="008524E6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 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5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(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6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.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17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%)</w:t>
            </w:r>
          </w:p>
          <w:p w14:paraId="68DB8407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</w:p>
          <w:p w14:paraId="4864E279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46 (56.79%)</w:t>
            </w:r>
          </w:p>
          <w:p w14:paraId="6151254E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8 (9.88%)</w:t>
            </w:r>
          </w:p>
          <w:p w14:paraId="01110A0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13 (16.05%)</w:t>
            </w:r>
          </w:p>
          <w:p w14:paraId="05B9E56B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10 (12.35%)</w:t>
            </w:r>
          </w:p>
          <w:p w14:paraId="47A2E28F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(2.47%)</w:t>
            </w:r>
          </w:p>
          <w:p w14:paraId="4EDA5F1F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</w:p>
          <w:p w14:paraId="2A801AAE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55 (67.90%)</w:t>
            </w:r>
          </w:p>
          <w:p w14:paraId="0F8C46B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4 (4.94%)</w:t>
            </w:r>
          </w:p>
          <w:p w14:paraId="1381116E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22 (27.16%)</w:t>
            </w:r>
          </w:p>
          <w:p w14:paraId="5986589D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59 (72.84%)</w:t>
            </w:r>
          </w:p>
          <w:p w14:paraId="12026CF5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</w:p>
          <w:p w14:paraId="021AB86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33 (40.74%)</w:t>
            </w:r>
          </w:p>
          <w:p w14:paraId="56208F72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6 (7.41%)</w:t>
            </w:r>
          </w:p>
          <w:p w14:paraId="3A2BEE52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 (1.23%)</w:t>
            </w:r>
          </w:p>
          <w:p w14:paraId="42628B78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10 (12.35%)</w:t>
            </w:r>
          </w:p>
          <w:p w14:paraId="598D3F9A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6 (7.41%)</w:t>
            </w:r>
          </w:p>
          <w:p w14:paraId="1ACDDBF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40 (49.38%)</w:t>
            </w:r>
          </w:p>
        </w:tc>
        <w:tc>
          <w:tcPr>
            <w:tcW w:w="2740" w:type="dxa"/>
            <w:vAlign w:val="center"/>
          </w:tcPr>
          <w:p w14:paraId="667BCD6B" w14:textId="7C790DB0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2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 xml:space="preserve"> (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32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.</w:t>
            </w:r>
            <w:r w:rsidR="00F22BE4" w:rsidRPr="00506D4A">
              <w:rPr>
                <w:rFonts w:ascii="Times New Roman" w:eastAsia="DengXian" w:hAnsi="Times New Roman" w:cs="Times New Roman"/>
                <w:color w:val="auto"/>
              </w:rPr>
              <w:t>43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%)</w:t>
            </w:r>
          </w:p>
          <w:p w14:paraId="13121656" w14:textId="0E67AA18" w:rsidR="008524E6" w:rsidRPr="00506D4A" w:rsidRDefault="00F22BE4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4</w:t>
            </w:r>
            <w:r w:rsidR="008524E6" w:rsidRPr="00506D4A">
              <w:rPr>
                <w:rFonts w:ascii="Times New Roman" w:eastAsia="DengXian" w:hAnsi="Times New Roman" w:cs="Times New Roman"/>
                <w:color w:val="auto"/>
              </w:rPr>
              <w:t xml:space="preserve"> (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10</w:t>
            </w:r>
            <w:r w:rsidR="008524E6" w:rsidRPr="00506D4A">
              <w:rPr>
                <w:rFonts w:ascii="Times New Roman" w:eastAsia="DengXian" w:hAnsi="Times New Roman" w:cs="Times New Roman"/>
                <w:color w:val="auto"/>
              </w:rPr>
              <w:t>.</w:t>
            </w:r>
            <w:r w:rsidRPr="00506D4A">
              <w:rPr>
                <w:rFonts w:ascii="Times New Roman" w:eastAsia="DengXian" w:hAnsi="Times New Roman" w:cs="Times New Roman"/>
                <w:color w:val="auto"/>
              </w:rPr>
              <w:t>81</w:t>
            </w:r>
            <w:r w:rsidR="008524E6" w:rsidRPr="00506D4A">
              <w:rPr>
                <w:rFonts w:ascii="Times New Roman" w:eastAsia="DengXian" w:hAnsi="Times New Roman" w:cs="Times New Roman"/>
                <w:color w:val="auto"/>
              </w:rPr>
              <w:t>%)</w:t>
            </w:r>
          </w:p>
          <w:p w14:paraId="3684816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</w:p>
          <w:p w14:paraId="146505BE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30 (81.08%)</w:t>
            </w:r>
          </w:p>
          <w:p w14:paraId="0299FBC8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(5.41%)</w:t>
            </w:r>
          </w:p>
          <w:p w14:paraId="685CCC25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3 (8.11%)</w:t>
            </w:r>
          </w:p>
          <w:p w14:paraId="4B1092E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(5.41%)</w:t>
            </w:r>
          </w:p>
          <w:p w14:paraId="55E01170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0 (0%)</w:t>
            </w:r>
          </w:p>
          <w:p w14:paraId="1009E303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</w:p>
          <w:p w14:paraId="66569E17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23FBB472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0A4635F6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4290C8DA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47762CA9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</w:p>
          <w:p w14:paraId="1B9C2497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50347C7C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089893C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60697D33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49F4F3CE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N/A</w:t>
            </w:r>
          </w:p>
          <w:p w14:paraId="5539FD5A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 (5.41%)</w:t>
            </w:r>
          </w:p>
        </w:tc>
      </w:tr>
      <w:tr w:rsidR="00506D4A" w:rsidRPr="00506D4A" w14:paraId="5A23B47E" w14:textId="77777777" w:rsidTr="004C10E7">
        <w:trPr>
          <w:trHeight w:val="278"/>
          <w:jc w:val="center"/>
        </w:trPr>
        <w:tc>
          <w:tcPr>
            <w:tcW w:w="3460" w:type="dxa"/>
            <w:vAlign w:val="center"/>
            <w:hideMark/>
          </w:tcPr>
          <w:p w14:paraId="4167ABB2" w14:textId="1330BA3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Depression severity: M±SD[Range]</w:t>
            </w:r>
          </w:p>
        </w:tc>
        <w:tc>
          <w:tcPr>
            <w:tcW w:w="2740" w:type="dxa"/>
            <w:vAlign w:val="center"/>
            <w:hideMark/>
          </w:tcPr>
          <w:p w14:paraId="4C049A11" w14:textId="4F647E10" w:rsidR="004C10E7" w:rsidRPr="00506D4A" w:rsidRDefault="004C10E7" w:rsidP="000D348B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64.00±13.82 [36-93]</w:t>
            </w:r>
          </w:p>
        </w:tc>
        <w:tc>
          <w:tcPr>
            <w:tcW w:w="2740" w:type="dxa"/>
            <w:vAlign w:val="center"/>
            <w:hideMark/>
          </w:tcPr>
          <w:p w14:paraId="323298FB" w14:textId="5D44FA7C" w:rsidR="004C10E7" w:rsidRPr="00506D4A" w:rsidRDefault="004C10E7" w:rsidP="000D348B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20.27±5.76 [17-44]</w:t>
            </w:r>
          </w:p>
        </w:tc>
      </w:tr>
      <w:tr w:rsidR="00506D4A" w:rsidRPr="00506D4A" w14:paraId="6A7F0688" w14:textId="77777777" w:rsidTr="004C10E7">
        <w:trPr>
          <w:trHeight w:val="278"/>
          <w:jc w:val="center"/>
        </w:trPr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D0216A" w14:textId="77777777" w:rsidR="004C10E7" w:rsidRPr="00506D4A" w:rsidRDefault="004C10E7">
            <w:pPr>
              <w:spacing w:line="240" w:lineRule="auto"/>
              <w:jc w:val="both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Self-compassion: M±SD[Range]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9E989B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7.00±4.51 [0-16]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513584" w14:textId="77777777" w:rsidR="004C10E7" w:rsidRPr="00506D4A" w:rsidRDefault="004C10E7">
            <w:pPr>
              <w:spacing w:line="240" w:lineRule="auto"/>
              <w:jc w:val="center"/>
              <w:rPr>
                <w:rFonts w:ascii="Times New Roman" w:eastAsia="DengXian" w:hAnsi="Times New Roman" w:cs="Times New Roman"/>
                <w:color w:val="auto"/>
              </w:rPr>
            </w:pPr>
            <w:r w:rsidRPr="00506D4A">
              <w:rPr>
                <w:rFonts w:ascii="Times New Roman" w:eastAsia="DengXian" w:hAnsi="Times New Roman" w:cs="Times New Roman"/>
                <w:color w:val="auto"/>
              </w:rPr>
              <w:t>13.11±3.48 [3-16]</w:t>
            </w:r>
          </w:p>
        </w:tc>
      </w:tr>
    </w:tbl>
    <w:p w14:paraId="262A79BB" w14:textId="77777777" w:rsidR="004C10E7" w:rsidRPr="00506D4A" w:rsidRDefault="004C10E7" w:rsidP="004C10E7">
      <w:pPr>
        <w:pStyle w:val="ListParagraph"/>
        <w:numPr>
          <w:ilvl w:val="0"/>
          <w:numId w:val="2"/>
        </w:numPr>
        <w:rPr>
          <w:color w:val="auto"/>
        </w:rPr>
        <w:sectPr w:rsidR="004C10E7" w:rsidRPr="00506D4A" w:rsidSect="00B9498D">
          <w:headerReference w:type="default" r:id="rId11"/>
          <w:pgSz w:w="12240" w:h="15840"/>
          <w:pgMar w:top="1440" w:right="1440" w:bottom="1440" w:left="1440" w:header="270" w:footer="720" w:gutter="0"/>
          <w:pgNumType w:start="1"/>
          <w:cols w:space="720"/>
        </w:sectPr>
      </w:pPr>
    </w:p>
    <w:p w14:paraId="2092CFF6" w14:textId="41ED72BE" w:rsidR="00CB32FF" w:rsidRPr="00506D4A" w:rsidRDefault="00861707" w:rsidP="008730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Stimuli generation </w:t>
      </w:r>
      <w:r w:rsidR="00B9498D" w:rsidRPr="00506D4A">
        <w:rPr>
          <w:rFonts w:ascii="Times New Roman" w:hAnsi="Times New Roman" w:cs="Times New Roman"/>
          <w:b/>
          <w:color w:val="auto"/>
          <w:sz w:val="24"/>
          <w:szCs w:val="24"/>
        </w:rPr>
        <w:t>for the E</w:t>
      </w:r>
      <w:r w:rsidR="00304F69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motional </w:t>
      </w:r>
      <w:r w:rsidR="00B9498D" w:rsidRPr="00506D4A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304F69" w:rsidRPr="00506D4A">
        <w:rPr>
          <w:rFonts w:ascii="Times New Roman" w:hAnsi="Times New Roman" w:cs="Times New Roman"/>
          <w:b/>
          <w:color w:val="auto"/>
          <w:sz w:val="24"/>
          <w:szCs w:val="24"/>
        </w:rPr>
        <w:t>elf-</w:t>
      </w:r>
      <w:r w:rsidR="00B9498D" w:rsidRPr="00506D4A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304F69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ther </w:t>
      </w:r>
      <w:r w:rsidR="00B9498D" w:rsidRPr="00506D4A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="00304F69" w:rsidRPr="00506D4A">
        <w:rPr>
          <w:rFonts w:ascii="Times New Roman" w:hAnsi="Times New Roman" w:cs="Times New Roman"/>
          <w:b/>
          <w:color w:val="auto"/>
          <w:sz w:val="24"/>
          <w:szCs w:val="24"/>
        </w:rPr>
        <w:t>orph-</w:t>
      </w:r>
      <w:r w:rsidR="00B9498D" w:rsidRPr="00506D4A">
        <w:rPr>
          <w:rFonts w:ascii="Times New Roman" w:hAnsi="Times New Roman" w:cs="Times New Roman"/>
          <w:b/>
          <w:color w:val="auto"/>
          <w:sz w:val="24"/>
          <w:szCs w:val="24"/>
        </w:rPr>
        <w:t>Q</w:t>
      </w:r>
      <w:r w:rsidR="00304F69" w:rsidRPr="00506D4A">
        <w:rPr>
          <w:rFonts w:ascii="Times New Roman" w:hAnsi="Times New Roman" w:cs="Times New Roman"/>
          <w:b/>
          <w:color w:val="auto"/>
          <w:sz w:val="24"/>
          <w:szCs w:val="24"/>
        </w:rPr>
        <w:t>uery (ESOM-Q)</w:t>
      </w:r>
      <w:r w:rsidR="007F3838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="007F3838" w:rsidRPr="00506D4A">
        <w:rPr>
          <w:rFonts w:ascii="Times New Roman" w:hAnsi="Times New Roman" w:cs="Times New Roman"/>
          <w:b/>
          <w:color w:val="auto"/>
          <w:sz w:val="24"/>
          <w:szCs w:val="24"/>
        </w:rPr>
        <w:t>ask</w:t>
      </w:r>
    </w:p>
    <w:p w14:paraId="2E4719EC" w14:textId="1F74E53D" w:rsidR="00885A8C" w:rsidRPr="00506D4A" w:rsidRDefault="00304F69" w:rsidP="00C50B4A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Photographs of the participants’ faces with three expressions (happy, </w:t>
      </w:r>
      <w:proofErr w:type="gramStart"/>
      <w:r w:rsidRPr="00506D4A">
        <w:rPr>
          <w:rFonts w:ascii="Times New Roman" w:hAnsi="Times New Roman" w:cs="Times New Roman"/>
          <w:color w:val="auto"/>
          <w:sz w:val="24"/>
          <w:szCs w:val="24"/>
        </w:rPr>
        <w:t>sad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neutral) were obtained during the intake visit under standardized conditions. The researcher would model the face required for each emotional expression (e.g., smiling for the happy face), and/or instruct the participant to recall a memory associated with the emotion prior to taking the photograph. The researcher also elicited expressions by causing the participant to laugh via </w:t>
      </w:r>
      <w:r w:rsidR="000E1A66" w:rsidRPr="00506D4A">
        <w:rPr>
          <w:rFonts w:ascii="Times New Roman" w:hAnsi="Times New Roman" w:cs="Times New Roman"/>
          <w:color w:val="auto"/>
          <w:sz w:val="24"/>
          <w:szCs w:val="24"/>
        </w:rPr>
        <w:t>jokes or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instructing the participant to intensify the expression (e.g., turning down the corners of the mouth or furrowing the brow). Any </w:t>
      </w:r>
      <w:r w:rsidR="00D21E36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of -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B9498D" w:rsidRPr="00506D4A">
        <w:rPr>
          <w:rFonts w:ascii="Times New Roman" w:hAnsi="Times New Roman" w:cs="Times New Roman"/>
          <w:color w:val="auto"/>
          <w:sz w:val="24"/>
          <w:szCs w:val="24"/>
        </w:rPr>
        <w:t>all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these strategies were </w:t>
      </w:r>
      <w:proofErr w:type="gramStart"/>
      <w:r w:rsidRPr="00506D4A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as necessary. Participant’s photographs were then mirror transposed and non-facial attributes (hair, ears, large scars, or pimples) were removed. Faces were presented against a black background. A non-familiar teen face (from available photographs of previous participants) of similar gender, race, </w:t>
      </w:r>
      <w:proofErr w:type="gramStart"/>
      <w:r w:rsidRPr="00506D4A">
        <w:rPr>
          <w:rFonts w:ascii="Times New Roman" w:hAnsi="Times New Roman" w:cs="Times New Roman"/>
          <w:color w:val="auto"/>
          <w:sz w:val="24"/>
          <w:szCs w:val="24"/>
        </w:rPr>
        <w:t>maturity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attractiveness was paired with each participant. Two experimenters agreed in the selection of the appropriate non-familiar face via visual inspection. The individual faces were then manipulated, “morphed,” with their assigned unfamiliar face, (other participants in the sample) in 5% increments using </w:t>
      </w:r>
      <w:proofErr w:type="spellStart"/>
      <w:r w:rsidRPr="00506D4A">
        <w:rPr>
          <w:rFonts w:ascii="Times New Roman" w:hAnsi="Times New Roman" w:cs="Times New Roman"/>
          <w:color w:val="auto"/>
          <w:sz w:val="24"/>
          <w:szCs w:val="24"/>
        </w:rPr>
        <w:t>Abrosoft</w:t>
      </w:r>
      <w:proofErr w:type="spell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06D4A">
        <w:rPr>
          <w:rFonts w:ascii="Times New Roman" w:hAnsi="Times New Roman" w:cs="Times New Roman"/>
          <w:color w:val="auto"/>
          <w:sz w:val="24"/>
          <w:szCs w:val="24"/>
        </w:rPr>
        <w:t>FantaMorph</w:t>
      </w:r>
      <w:proofErr w:type="spell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software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071C17" w:rsidRPr="00506D4A">
        <w:rPr>
          <w:rFonts w:ascii="Times New Roman" w:hAnsi="Times New Roman" w:cs="Times New Roman"/>
          <w:color w:val="auto"/>
          <w:sz w:val="24"/>
          <w:szCs w:val="24"/>
        </w:rPr>
        <w:instrText xml:space="preserve"> ADDIN EN.CITE &lt;EndNote&gt;&lt;Cite&gt;&lt;Author&gt;Abrosoft&lt;/Author&gt;&lt;Year&gt;2011&lt;/Year&gt;&lt;RecNum&gt;49&lt;/RecNum&gt;&lt;DisplayText&gt;(Abrosoft, 2011)&lt;/DisplayText&gt;&lt;record&gt;&lt;rec-number&gt;49&lt;/rec-number&gt;&lt;foreign-keys&gt;&lt;key app="EN" db-id="vtafpwsw1tt29ie9asep0vpute9drrtzs2vp"&gt;49&lt;/key&gt;&lt;/foreign-keys&gt;&lt;ref-type name="Web Page"&gt;12&lt;/ref-type&gt;&lt;contributors&gt;&lt;authors&gt;&lt;author&gt;Abrosoft&lt;/author&gt;&lt;/authors&gt;&lt;secondary-authors&gt;&lt;author&gt;http://www.fantamorph.com/index.html&lt;/author&gt;&lt;/secondary-authors&gt;&lt;/contributors&gt;&lt;titles&gt;&lt;title&gt;Abrosoft FantaMorph&lt;/title&gt;&lt;secondary-title&gt;http://www.fantamorph.com/index.html&lt;/secondary-title&gt;&lt;/titles&gt;&lt;dates&gt;&lt;year&gt;2011&lt;/year&gt;&lt;/dates&gt;&lt;urls&gt;&lt;/urls&gt;&lt;/record&gt;&lt;/Cite&gt;&lt;Cite&gt;&lt;Author&gt;Abrosoft&lt;/Author&gt;&lt;Year&gt;2011&lt;/Year&gt;&lt;RecNum&gt;1&lt;/RecNum&gt;&lt;record&gt;&lt;rec-number&gt;1&lt;/rec-number&gt;&lt;foreign-keys&gt;&lt;key app="EN" db-id="zpptv5sf8f59sde5prz5rx0q5xr52pxpeewx" timestamp="1552447348"&gt;1&lt;/key&gt;&lt;/foreign-keys&gt;&lt;ref-type name="Web Page"&gt;12&lt;/ref-type&gt;&lt;contributors&gt;&lt;authors&gt;&lt;author&gt;Abrosoft&lt;/author&gt;&lt;/authors&gt;&lt;secondary-authors&gt;&lt;author&gt;http://www.fantamorph.com/index.html&lt;/author&gt;&lt;/secondary-authors&gt;&lt;/contributors&gt;&lt;titles&gt;&lt;title&gt;Abrosoft FantaMorph&lt;/title&gt;&lt;secondary-title&gt;http://www.fantamorph.com/index.html&lt;/secondary-title&gt;&lt;/titles&gt;&lt;dates&gt;&lt;year&gt;2011&lt;/year&gt;&lt;/dates&gt;&lt;urls&gt;&lt;/urls&gt;&lt;/record&gt;&lt;/Cite&gt;&lt;/EndNote&gt;</w:instrTex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506D4A">
        <w:rPr>
          <w:rFonts w:ascii="Times New Roman" w:hAnsi="Times New Roman" w:cs="Times New Roman"/>
          <w:noProof/>
          <w:color w:val="auto"/>
          <w:sz w:val="24"/>
          <w:szCs w:val="24"/>
        </w:rPr>
        <w:t>(Abrosoft, 2011)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. This resulted in 21 composites that ranged from 0% self and 100% other to 100% self and 0% other.  The purpose was to have several novel but easy to recognize pictures of a face to prevent habituation.</w:t>
      </w:r>
      <w:r w:rsidR="00735E55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The potential influence of diagnosis on the emotional intensity of the stimulus faces shown in the scanner, as well as their fit within a unique category of emotion (e.g. neutral, </w:t>
      </w:r>
      <w:proofErr w:type="gramStart"/>
      <w:r w:rsidRPr="00506D4A">
        <w:rPr>
          <w:rFonts w:ascii="Times New Roman" w:hAnsi="Times New Roman" w:cs="Times New Roman"/>
          <w:color w:val="auto"/>
          <w:sz w:val="24"/>
          <w:szCs w:val="24"/>
        </w:rPr>
        <w:t>happy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or sad expressions) was examined. Ten trained research assistants, blind to diagnosis, scored the face stimuli for the 100% self-face with neutral, </w:t>
      </w:r>
      <w:proofErr w:type="gramStart"/>
      <w:r w:rsidRPr="00506D4A">
        <w:rPr>
          <w:rFonts w:ascii="Times New Roman" w:hAnsi="Times New Roman" w:cs="Times New Roman"/>
          <w:color w:val="auto"/>
          <w:sz w:val="24"/>
          <w:szCs w:val="24"/>
        </w:rPr>
        <w:t>happy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sad expressions for emotional category of expression, with higher scores indicating better fit for the sought emotional category. Specifically, they rated how neutral the neutral faces were on a 1 to 5 scale, and how happy or sad the emotionally-</w:t>
      </w:r>
      <w:proofErr w:type="spellStart"/>
      <w:r w:rsidRPr="00506D4A">
        <w:rPr>
          <w:rFonts w:ascii="Times New Roman" w:hAnsi="Times New Roman" w:cs="Times New Roman"/>
          <w:color w:val="auto"/>
          <w:sz w:val="24"/>
          <w:szCs w:val="24"/>
        </w:rPr>
        <w:t>valenced</w:t>
      </w:r>
      <w:proofErr w:type="spell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faces were. Additionally, they rated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physical attractiveness for the participant’s face regardless of emotion on a 1 to 10 scale. A repeated measures ANOVA (3 groups by 4 ratings) showed that diagnostic groups did not differ in emotional intensity or physical attractiveness of pictures, </w:t>
      </w:r>
      <w:proofErr w:type="gramStart"/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2, 113) = 0.23,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= 0.79.</w:t>
      </w:r>
      <w:r w:rsidR="00885A8C" w:rsidRPr="00506D4A">
        <w:rPr>
          <w:rFonts w:ascii="Times New Roman" w:hAnsi="Times New Roman" w:cs="Times New Roman"/>
          <w:bCs/>
          <w:color w:val="auto"/>
          <w:sz w:val="24"/>
          <w:szCs w:val="24"/>
        </w:rPr>
        <w:br w:type="page"/>
      </w:r>
    </w:p>
    <w:p w14:paraId="5CDBD328" w14:textId="77777777" w:rsidR="00895C40" w:rsidRPr="00506D4A" w:rsidRDefault="00895C40" w:rsidP="00895C4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Behavioral results on </w:t>
      </w:r>
      <w:r w:rsidR="00234734" w:rsidRPr="00506D4A">
        <w:rPr>
          <w:rFonts w:ascii="Times New Roman" w:hAnsi="Times New Roman" w:cs="Times New Roman"/>
          <w:b/>
          <w:color w:val="auto"/>
          <w:sz w:val="24"/>
          <w:szCs w:val="24"/>
        </w:rPr>
        <w:t>response time and accuracy</w:t>
      </w:r>
    </w:p>
    <w:p w14:paraId="10282D87" w14:textId="5AAE98D1" w:rsidR="00234734" w:rsidRPr="00506D4A" w:rsidRDefault="00234734" w:rsidP="00234734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Mixed repeated-measures ANOVAs with Group (DEP, HC) by Self (self-face, other-face) by Emotion (happy, neutral, sad) were carried out to test whether response time (RT) or accuracy </w:t>
      </w:r>
      <w:r w:rsidR="00C46DD0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in the ESOM-Q task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A07A0A" w:rsidRPr="00506D4A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different across </w:t>
      </w:r>
      <w:r w:rsidR="000D52E1" w:rsidRPr="00506D4A">
        <w:rPr>
          <w:rFonts w:ascii="Times New Roman" w:hAnsi="Times New Roman" w:cs="Times New Roman" w:hint="eastAsia"/>
          <w:color w:val="auto"/>
          <w:sz w:val="24"/>
          <w:szCs w:val="24"/>
        </w:rPr>
        <w:t>gro</w:t>
      </w:r>
      <w:r w:rsidR="000D52E1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ups or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conditions.</w:t>
      </w:r>
    </w:p>
    <w:p w14:paraId="34E37668" w14:textId="210BCB12" w:rsidR="00234734" w:rsidRPr="00506D4A" w:rsidRDefault="00234734" w:rsidP="00234734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t>Results of repeated measures ANOVAs showed that Self had a main effect on RT such that participants responded on average slower during self-face recognition compared to other-face recognition</w:t>
      </w:r>
      <w:r w:rsidR="001D61CD" w:rsidRPr="00506D4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(1, 10</w:t>
      </w:r>
      <w:r w:rsidR="00CC4EA2" w:rsidRPr="00506D4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) = </w:t>
      </w:r>
      <w:r w:rsidR="00CC4EA2" w:rsidRPr="00506D4A">
        <w:rPr>
          <w:rFonts w:ascii="Times New Roman" w:hAnsi="Times New Roman" w:cs="Times New Roman"/>
          <w:color w:val="auto"/>
          <w:sz w:val="24"/>
          <w:szCs w:val="24"/>
        </w:rPr>
        <w:t>8.97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 xml:space="preserve">p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= .00</w:t>
      </w:r>
      <w:r w:rsidR="00CC4EA2" w:rsidRPr="00506D4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7EB" w:rsidRPr="00506D4A">
        <w:rPr>
          <w:rFonts w:ascii="Times New Roman" w:hAnsi="Times New Roman" w:cs="Times New Roman"/>
          <w:color w:val="auto"/>
          <w:sz w:val="24"/>
          <w:szCs w:val="24"/>
        </w:rPr>
        <w:t>(self: 897.90±145.06ms; other: 853.19±179.02ms)</w:t>
      </w:r>
      <w:r w:rsidR="001D61CD" w:rsidRPr="00506D4A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1D61CD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an interaction effect between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Self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Emotion on RT,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(2, 21</w:t>
      </w:r>
      <w:r w:rsidR="00CA3FB3" w:rsidRPr="00506D4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) = 3.</w:t>
      </w:r>
      <w:r w:rsidR="00CA3FB3" w:rsidRPr="00506D4A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.04</w:t>
      </w:r>
      <w:r w:rsidR="00CA3FB3" w:rsidRPr="00506D4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. Multiple comparisons showed that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RT for happy self-face recognition (916.60±171.26ms) was slower than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that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for other-face recognition (847.63±209.93ms), </w:t>
      </w:r>
      <w:r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t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(107) = 3.81,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&lt;.001;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RT for neutral self-face recognition (896.19±169.77ms) was slower than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that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for neutral other-face recognition (855.34±187.25ms): </w:t>
      </w:r>
      <w:r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t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(10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) = 2.5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.01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6A1064">
        <w:rPr>
          <w:rFonts w:ascii="Times New Roman" w:hAnsi="Times New Roman" w:cs="Times New Roman"/>
          <w:color w:val="auto"/>
          <w:sz w:val="24"/>
          <w:szCs w:val="24"/>
        </w:rPr>
        <w:t>but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no significance difference was found on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RT between sad self-face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(880.91</w:t>
      </w:r>
      <w:r w:rsidR="001714DE" w:rsidRPr="00506D4A">
        <w:rPr>
          <w:rFonts w:ascii="Times New Roman" w:hAnsi="Times New Roman" w:cs="Times New Roman" w:hint="eastAsia"/>
          <w:color w:val="auto"/>
          <w:sz w:val="24"/>
          <w:szCs w:val="24"/>
        </w:rPr>
        <w:t>±</w:t>
      </w:r>
      <w:r w:rsidR="001714DE" w:rsidRPr="00506D4A">
        <w:rPr>
          <w:rFonts w:ascii="Times New Roman" w:hAnsi="Times New Roman" w:cs="Times New Roman" w:hint="eastAsia"/>
          <w:color w:val="auto"/>
          <w:sz w:val="24"/>
          <w:szCs w:val="24"/>
        </w:rPr>
        <w:t>1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>78.08)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sad other-face condition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(856.61</w:t>
      </w:r>
      <w:r w:rsidR="001714DE" w:rsidRPr="00506D4A">
        <w:rPr>
          <w:rFonts w:ascii="Times New Roman" w:hAnsi="Times New Roman" w:cs="Times New Roman" w:hint="eastAsia"/>
          <w:color w:val="auto"/>
          <w:sz w:val="24"/>
          <w:szCs w:val="24"/>
        </w:rPr>
        <w:t>±</w:t>
      </w:r>
      <w:r w:rsidR="001714DE" w:rsidRPr="00506D4A">
        <w:rPr>
          <w:rFonts w:ascii="Times New Roman" w:hAnsi="Times New Roman" w:cs="Times New Roman"/>
          <w:color w:val="auto"/>
          <w:sz w:val="24"/>
          <w:szCs w:val="24"/>
        </w:rPr>
        <w:t>210.04)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. No other significant main effects or interaction effects on RT were found. </w:t>
      </w:r>
    </w:p>
    <w:p w14:paraId="5D073552" w14:textId="7E6E4058" w:rsidR="00885A8C" w:rsidRPr="00506D4A" w:rsidRDefault="00234734" w:rsidP="00234734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Results showed that Emotion had a main effect on accuracy: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(2, 21</w:t>
      </w:r>
      <w:r w:rsidR="00CD3501" w:rsidRPr="00506D4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) = 1</w:t>
      </w:r>
      <w:r w:rsidR="000D52E1" w:rsidRPr="00506D4A">
        <w:rPr>
          <w:rFonts w:ascii="Times New Roman" w:hAnsi="Times New Roman" w:cs="Times New Roman"/>
          <w:color w:val="auto"/>
          <w:sz w:val="24"/>
          <w:szCs w:val="24"/>
        </w:rPr>
        <w:t>1.56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 xml:space="preserve">p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&lt; .001 (happy: 0.78±0.2</w:t>
      </w:r>
      <w:r w:rsidR="001D3626" w:rsidRPr="00506D4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; neutral: 0.72±0.1</w:t>
      </w:r>
      <w:r w:rsidR="001D3626" w:rsidRPr="00506D4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; sad: 0.72±0.</w:t>
      </w:r>
      <w:r w:rsidR="001D3626" w:rsidRPr="00506D4A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); and an interaction effect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>between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Emotion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Self on accuracy: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(2, </w:t>
      </w:r>
      <w:r w:rsidR="00251605" w:rsidRPr="00506D4A">
        <w:rPr>
          <w:rFonts w:ascii="Times New Roman" w:hAnsi="Times New Roman" w:cs="Times New Roman"/>
          <w:color w:val="auto"/>
          <w:sz w:val="24"/>
          <w:szCs w:val="24"/>
        </w:rPr>
        <w:t>216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) = 10.0</w:t>
      </w:r>
      <w:r w:rsidR="000D52E1" w:rsidRPr="00506D4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&lt;.001. Multiple comparisons showed that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the accuracy for happy self-face (0.81</w:t>
      </w:r>
      <w:r w:rsidR="00B4679F" w:rsidRPr="00506D4A">
        <w:rPr>
          <w:rFonts w:ascii="Times New Roman" w:hAnsi="Times New Roman" w:cs="Times New Roman" w:hint="eastAsia"/>
          <w:color w:val="auto"/>
          <w:sz w:val="24"/>
          <w:szCs w:val="24"/>
        </w:rPr>
        <w:t>±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>0.23) was higher than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that for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happy other-face (0.76</w:t>
      </w:r>
      <w:r w:rsidR="00B4679F" w:rsidRPr="00506D4A">
        <w:rPr>
          <w:rFonts w:ascii="Times New Roman" w:hAnsi="Times New Roman" w:cs="Times New Roman" w:hint="eastAsia"/>
          <w:color w:val="auto"/>
          <w:sz w:val="24"/>
          <w:szCs w:val="24"/>
        </w:rPr>
        <w:t>±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0.24): </w:t>
      </w:r>
      <w:r w:rsidR="00B4679F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t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(109) = 2.01, </w:t>
      </w:r>
      <w:r w:rsidR="00B4679F"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>=.047;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the accuracy for neutral self-face (0.69±0.18) was lower than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that for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neutral other-face (0.75±0.18): </w:t>
      </w:r>
      <w:r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t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(1</w:t>
      </w:r>
      <w:r w:rsidR="001E14C0" w:rsidRPr="00506D4A">
        <w:rPr>
          <w:rFonts w:ascii="Times New Roman" w:hAnsi="Times New Roman" w:cs="Times New Roman"/>
          <w:color w:val="auto"/>
          <w:sz w:val="24"/>
          <w:szCs w:val="24"/>
        </w:rPr>
        <w:t>09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) = 4.93, 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&lt;.001; </w:t>
      </w:r>
      <w:r w:rsidR="006651FE">
        <w:rPr>
          <w:rFonts w:ascii="Times New Roman" w:hAnsi="Times New Roman" w:cs="Times New Roman"/>
          <w:color w:val="auto"/>
          <w:sz w:val="24"/>
          <w:szCs w:val="24"/>
        </w:rPr>
        <w:t>but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no significance difference was found </w:t>
      </w:r>
      <w:r w:rsidR="004F0B0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on the accuracy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between 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sad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self-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>face (0.73</w:t>
      </w:r>
      <w:r w:rsidR="00B4679F" w:rsidRPr="00506D4A">
        <w:rPr>
          <w:rFonts w:ascii="Times New Roman" w:hAnsi="Times New Roman" w:cs="Times New Roman" w:hint="eastAsia"/>
          <w:color w:val="auto"/>
          <w:sz w:val="24"/>
          <w:szCs w:val="24"/>
        </w:rPr>
        <w:t>±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>0.18)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B4679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sad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other-face</w:t>
      </w:r>
      <w:r w:rsidR="001D3626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(0.72</w:t>
      </w:r>
      <w:r w:rsidR="001D3626" w:rsidRPr="00506D4A">
        <w:rPr>
          <w:rFonts w:ascii="Times New Roman" w:hAnsi="Times New Roman" w:cs="Times New Roman" w:hint="eastAsia"/>
          <w:color w:val="auto"/>
          <w:sz w:val="24"/>
          <w:szCs w:val="24"/>
        </w:rPr>
        <w:t>±</w:t>
      </w:r>
      <w:r w:rsidR="001D3626" w:rsidRPr="00506D4A">
        <w:rPr>
          <w:rFonts w:ascii="Times New Roman" w:hAnsi="Times New Roman" w:cs="Times New Roman"/>
          <w:color w:val="auto"/>
          <w:sz w:val="24"/>
          <w:szCs w:val="24"/>
        </w:rPr>
        <w:t>0.22)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. No other significant main effects or interaction effects on accuracy were found.</w:t>
      </w:r>
    </w:p>
    <w:p w14:paraId="6F292774" w14:textId="77777777" w:rsidR="00885A8C" w:rsidRPr="00506D4A" w:rsidRDefault="00885A8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519DBB1B" w14:textId="43DB4EC6" w:rsidR="008730B8" w:rsidRPr="00506D4A" w:rsidRDefault="007F3838" w:rsidP="00B311D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Additional fMRI </w:t>
      </w:r>
      <w:r w:rsidR="0052563A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analyses and </w:t>
      </w: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t>results</w:t>
      </w:r>
      <w:r w:rsidR="00B311DC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to happy</w:t>
      </w:r>
      <w:r w:rsidR="00D70249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vs. neutral</w:t>
      </w:r>
      <w:r w:rsidR="00B311DC" w:rsidRPr="00506D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self-face </w:t>
      </w:r>
      <w:r w:rsidR="00D70249" w:rsidRPr="00506D4A">
        <w:rPr>
          <w:rFonts w:ascii="Times New Roman" w:hAnsi="Times New Roman" w:cs="Times New Roman"/>
          <w:b/>
          <w:color w:val="auto"/>
          <w:sz w:val="24"/>
          <w:szCs w:val="24"/>
        </w:rPr>
        <w:t>recognition</w:t>
      </w:r>
    </w:p>
    <w:p w14:paraId="3AC0D2BD" w14:textId="77777777" w:rsidR="00870276" w:rsidRPr="00506D4A" w:rsidRDefault="0052563A" w:rsidP="003B0F07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Additional fMRI analyses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14A37E" w14:textId="14EA50F0" w:rsidR="00071C17" w:rsidRPr="00506D4A" w:rsidRDefault="00D70249" w:rsidP="00D70249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8E1CF4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ontrasted images of happy self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&gt;</w:t>
      </w:r>
      <w:r w:rsidR="008E1CF4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neutral self </w:t>
      </w:r>
      <w:proofErr w:type="gramStart"/>
      <w:r w:rsidR="008E1CF4" w:rsidRPr="00506D4A">
        <w:rPr>
          <w:rFonts w:ascii="Times New Roman" w:hAnsi="Times New Roman" w:cs="Times New Roman"/>
          <w:color w:val="auto"/>
          <w:sz w:val="24"/>
          <w:szCs w:val="24"/>
        </w:rPr>
        <w:t>were</w:t>
      </w:r>
      <w:proofErr w:type="gramEnd"/>
      <w:r w:rsidR="008E1CF4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created based on statistical images generated from the first-level analyses described in the main text. The details of the second-level analyses were the same as those described in the main text, the only difference being that </w:t>
      </w:r>
      <w:r w:rsidR="003B0F0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contrasted images of happy self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&gt; </w:t>
      </w:r>
      <w:r w:rsidR="003B0F0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neutral self, </w:t>
      </w:r>
      <w:r w:rsidR="00852D44" w:rsidRPr="00506D4A">
        <w:rPr>
          <w:rFonts w:ascii="Times New Roman" w:hAnsi="Times New Roman" w:cs="Times New Roman"/>
          <w:color w:val="auto"/>
          <w:sz w:val="24"/>
          <w:szCs w:val="24"/>
        </w:rPr>
        <w:t>instead of</w:t>
      </w:r>
      <w:r w:rsidR="003B0F0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sad self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&gt; </w:t>
      </w:r>
      <w:r w:rsidR="003B0F07" w:rsidRPr="00506D4A">
        <w:rPr>
          <w:rFonts w:ascii="Times New Roman" w:hAnsi="Times New Roman" w:cs="Times New Roman"/>
          <w:color w:val="auto"/>
          <w:sz w:val="24"/>
          <w:szCs w:val="24"/>
        </w:rPr>
        <w:t>neutral self, were used.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89DC9AD" w14:textId="26EE4FA0" w:rsidR="00271489" w:rsidRPr="00506D4A" w:rsidRDefault="00E27AD6" w:rsidP="00461BAE">
      <w:pPr>
        <w:spacing w:line="48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Additional fMRI results.</w:t>
      </w:r>
    </w:p>
    <w:p w14:paraId="0050B72F" w14:textId="5A8D030B" w:rsidR="00461BAE" w:rsidRPr="00506D4A" w:rsidRDefault="00D70249" w:rsidP="00461BAE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Neural correlates of self-compassion </w:t>
      </w:r>
      <w:r w:rsidR="00537A2E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during</w:t>
      </w: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happy vs. neutral self-face recognition in the total sample.</w:t>
      </w:r>
      <w:r w:rsidR="00461BA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7A2E" w:rsidRPr="00506D4A">
        <w:rPr>
          <w:rFonts w:ascii="Times New Roman" w:hAnsi="Times New Roman" w:cs="Times New Roman"/>
          <w:color w:val="auto"/>
          <w:sz w:val="24"/>
          <w:szCs w:val="24"/>
        </w:rPr>
        <w:t>No suprathreshold clusters were found related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to</w:t>
      </w:r>
      <w:r w:rsidR="00537A2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self-compassion, diagnostic </w:t>
      </w:r>
      <w:proofErr w:type="gramStart"/>
      <w:r w:rsidR="00537A2E" w:rsidRPr="00506D4A">
        <w:rPr>
          <w:rFonts w:ascii="Times New Roman" w:hAnsi="Times New Roman" w:cs="Times New Roman"/>
          <w:color w:val="auto"/>
          <w:sz w:val="24"/>
          <w:szCs w:val="24"/>
        </w:rPr>
        <w:t>group</w:t>
      </w:r>
      <w:proofErr w:type="gramEnd"/>
      <w:r w:rsidR="00537A2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or the interaction between them during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happy vs. neutral self-face recognition</w:t>
      </w:r>
      <w:r w:rsidR="00D94A40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in the total sample</w:t>
      </w:r>
      <w:r w:rsidR="00461BA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A7DC9D5" w14:textId="1FC595EF" w:rsidR="00D94A40" w:rsidRPr="00506D4A" w:rsidRDefault="00537A2E" w:rsidP="00D94A4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Neural correlates of self-compassion during happy vs. neutral self-face recognition in the HC sub-sample.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4A40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No suprathreshold clusters were found related to self-compassion during happy vs. neutral self-face recognition in the HC sub-sample. </w:t>
      </w:r>
    </w:p>
    <w:p w14:paraId="10FC3503" w14:textId="77777777" w:rsidR="00421790" w:rsidRPr="00506D4A" w:rsidRDefault="00D70249" w:rsidP="0042179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Neural correlates of self-compassion </w:t>
      </w:r>
      <w:r w:rsidR="00537A2E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during</w:t>
      </w: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happy vs. neutral self-face recognition </w:t>
      </w:r>
      <w:r w:rsidR="00461BAE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in the DEP sub-sample.</w:t>
      </w:r>
      <w:r w:rsidR="00461BAE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4A40" w:rsidRPr="00506D4A">
        <w:rPr>
          <w:rFonts w:ascii="Times New Roman" w:hAnsi="Times New Roman" w:cs="Times New Roman"/>
          <w:color w:val="auto"/>
          <w:sz w:val="24"/>
          <w:szCs w:val="24"/>
        </w:rPr>
        <w:t>No suprathreshold clusters were found related to self-compassion during happy vs. neutral self-face recognition in the DEP sub-sample.</w:t>
      </w:r>
    </w:p>
    <w:p w14:paraId="7560C69B" w14:textId="4650C6E9" w:rsidR="00835610" w:rsidRPr="00506D4A" w:rsidRDefault="0083561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2267C506" w14:textId="2E43B03F" w:rsidR="00835610" w:rsidRPr="00506D4A" w:rsidRDefault="00835610" w:rsidP="008356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Additional fMRI analyses and results to sad vs. neutral other-face recognition</w:t>
      </w:r>
    </w:p>
    <w:p w14:paraId="01FE4B67" w14:textId="77777777" w:rsidR="00835610" w:rsidRPr="00506D4A" w:rsidRDefault="00835610" w:rsidP="0083561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Additional fMRI analyses</w:t>
      </w:r>
      <w:r w:rsidRPr="00506D4A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9F6831" w14:textId="555DF6C7" w:rsidR="00835610" w:rsidRPr="00506D4A" w:rsidRDefault="00835610" w:rsidP="00835610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Contrasted images of </w:t>
      </w:r>
      <w:r w:rsidR="00BE144B" w:rsidRPr="00506D4A">
        <w:rPr>
          <w:rFonts w:ascii="Times New Roman" w:hAnsi="Times New Roman" w:cs="Times New Roman"/>
          <w:color w:val="auto"/>
          <w:sz w:val="24"/>
          <w:szCs w:val="24"/>
        </w:rPr>
        <w:t>sad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144B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&gt; neutral </w:t>
      </w:r>
      <w:r w:rsidR="00BE144B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B9498D" w:rsidRPr="00506D4A">
        <w:rPr>
          <w:rFonts w:ascii="Times New Roman" w:hAnsi="Times New Roman" w:cs="Times New Roman"/>
          <w:color w:val="auto"/>
          <w:sz w:val="24"/>
          <w:szCs w:val="24"/>
        </w:rPr>
        <w:t>were</w:t>
      </w:r>
      <w:proofErr w:type="gramEnd"/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created based on statistical images generated from the first-level analyses described in the main text. The details of the second-level analyses were the same as those described in the main text, the only difference being that contrasted images of </w:t>
      </w:r>
      <w:r w:rsidR="00375CD9" w:rsidRPr="00506D4A">
        <w:rPr>
          <w:rFonts w:ascii="Times New Roman" w:hAnsi="Times New Roman" w:cs="Times New Roman"/>
          <w:color w:val="auto"/>
          <w:sz w:val="24"/>
          <w:szCs w:val="24"/>
        </w:rPr>
        <w:t>sad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5CD9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&gt; neutral </w:t>
      </w:r>
      <w:r w:rsidR="00375CD9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instead of sad self &gt; neutral self, were used. </w:t>
      </w:r>
    </w:p>
    <w:p w14:paraId="656CD500" w14:textId="77777777" w:rsidR="00835610" w:rsidRPr="00506D4A" w:rsidRDefault="00835610" w:rsidP="00835610">
      <w:pPr>
        <w:spacing w:line="48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Additional fMRI results.</w:t>
      </w:r>
    </w:p>
    <w:p w14:paraId="1B34507F" w14:textId="40E61B1C" w:rsidR="00835610" w:rsidRPr="00506D4A" w:rsidRDefault="00835610" w:rsidP="0083561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Neural correlates of self-compassion during </w:t>
      </w:r>
      <w:r w:rsidR="00375CD9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sad</w:t>
      </w: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vs. neutral </w:t>
      </w:r>
      <w:r w:rsidR="00375CD9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-face recognition in the total sample.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No suprathreshold clusters were found related to self-compassion</w:t>
      </w:r>
      <w:r w:rsidR="0050642A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or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diagnostic group</w:t>
      </w:r>
      <w:r w:rsidR="0050642A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during 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>sad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vs. neut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>ral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-face recognition in the total sample</w:t>
      </w:r>
      <w:r w:rsidR="00CB6F7E" w:rsidRPr="00506D4A">
        <w:rPr>
          <w:rFonts w:ascii="Times New Roman" w:hAnsi="Times New Roman" w:cs="Times New Roman"/>
          <w:color w:val="auto"/>
          <w:sz w:val="24"/>
          <w:szCs w:val="24"/>
        </w:rPr>
        <w:t>, but</w:t>
      </w:r>
      <w:r w:rsidR="0050642A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3FAD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the self-compassion by diagnostic group interaction 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showed an association with 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>activity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in the left inferior parietal </w:t>
      </w:r>
      <w:r w:rsidR="0073773D" w:rsidRPr="00506D4A">
        <w:rPr>
          <w:rFonts w:ascii="Times New Roman" w:hAnsi="Times New Roman" w:cs="Times New Roman"/>
          <w:color w:val="auto"/>
          <w:sz w:val="24"/>
          <w:szCs w:val="24"/>
        </w:rPr>
        <w:t>lobule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(IPL) 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extending to postcentral gyrus and superior parietal </w:t>
      </w:r>
      <w:r w:rsidR="0073773D" w:rsidRPr="00506D4A">
        <w:rPr>
          <w:rFonts w:ascii="Times New Roman" w:hAnsi="Times New Roman" w:cs="Times New Roman"/>
          <w:color w:val="auto"/>
          <w:sz w:val="24"/>
          <w:szCs w:val="24"/>
        </w:rPr>
        <w:t>lobule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(Table S2). Specifically, 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>self-compassion related positively to activity in the left IPL (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0.53, 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4C63" w:rsidRPr="00506D4A">
        <w:rPr>
          <w:rFonts w:ascii="Times New Roman" w:hAnsi="Times New Roman" w:cs="Times New Roman"/>
          <w:color w:val="auto"/>
          <w:sz w:val="24"/>
          <w:szCs w:val="24"/>
        </w:rPr>
        <w:t>=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.001) in the HC sub-sample but not significantly in the DEP sub-sample (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-0.09, 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.44). 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>However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IPL activity did not significantly relate to depression severity in either sub-sample (HC: 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-0.10, 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.55; DEP: 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0.14, </w:t>
      </w:r>
      <w:r w:rsidR="00245C59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45C59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.22).</w:t>
      </w:r>
    </w:p>
    <w:p w14:paraId="4100D667" w14:textId="3D55F812" w:rsidR="00835610" w:rsidRPr="00506D4A" w:rsidRDefault="00835610" w:rsidP="0083561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Neural correlates of self-compassion during </w:t>
      </w:r>
      <w:r w:rsidR="00375CD9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sad vs. neutral other-face </w:t>
      </w: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recognition in the HC sub-sample.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Whole-brain analysis showed that self-compassion related 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>posi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tively to activity in the 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>left postcentral gyrus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extending to pre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>central and supramarginal gyrus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20EE2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0.6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20EE2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&lt; .001)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>, the left insula extending to lateral orbitofrontal gyrus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B6187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0.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>59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B6187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&lt; .001)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and the right postcentral gyrus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B6187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0.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>59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B6187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5B6187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&lt; .001)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during sad vs. neutral 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>-face recognition in the HC sub-sample (Table S2</w:t>
      </w:r>
      <w:r w:rsidR="00520EE2" w:rsidRPr="00506D4A">
        <w:rPr>
          <w:rFonts w:ascii="Times New Roman" w:hAnsi="Times New Roman" w:cs="Times New Roman" w:hint="eastAsia"/>
          <w:color w:val="auto"/>
          <w:sz w:val="24"/>
          <w:szCs w:val="24"/>
        </w:rPr>
        <w:t>)</w:t>
      </w:r>
      <w:r w:rsidR="00520EE2" w:rsidRPr="00506D4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However, activity in none of these regions related significantly </w:t>
      </w:r>
      <w:r w:rsidR="00A04C8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depression severity (left 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postcentral gyrus: </w:t>
      </w:r>
      <w:r w:rsidR="00290773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-0.07, </w:t>
      </w:r>
      <w:r w:rsidR="00290773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.69; left insula: </w:t>
      </w:r>
      <w:r w:rsidR="00290773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-0.09, </w:t>
      </w:r>
      <w:r w:rsidR="00290773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.61; right postcentral gyrus: </w:t>
      </w:r>
      <w:r w:rsidR="00290773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r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0.0</w:t>
      </w:r>
      <w:r w:rsidR="00E9648D" w:rsidRPr="00506D4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90773" w:rsidRPr="00506D4A">
        <w:rPr>
          <w:rFonts w:ascii="Times New Roman" w:hAnsi="Times New Roman" w:cs="Times New Roman"/>
          <w:i/>
          <w:iCs/>
          <w:color w:val="auto"/>
          <w:sz w:val="24"/>
          <w:szCs w:val="24"/>
        </w:rPr>
        <w:t>p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= .</w:t>
      </w:r>
      <w:r w:rsidR="00E9648D" w:rsidRPr="00506D4A">
        <w:rPr>
          <w:rFonts w:ascii="Times New Roman" w:hAnsi="Times New Roman" w:cs="Times New Roman"/>
          <w:color w:val="auto"/>
          <w:sz w:val="24"/>
          <w:szCs w:val="24"/>
        </w:rPr>
        <w:t>74</w:t>
      </w:r>
      <w:r w:rsidR="00290773" w:rsidRPr="00506D4A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582E0515" w14:textId="3C52BF4D" w:rsidR="00835610" w:rsidRPr="00506D4A" w:rsidRDefault="00835610" w:rsidP="0083561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Neural correlates of self-compassion during </w:t>
      </w:r>
      <w:r w:rsidR="00375CD9"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sad vs. neutral other-face </w:t>
      </w:r>
      <w:r w:rsidRPr="00506D4A">
        <w:rPr>
          <w:rFonts w:ascii="Times New Roman" w:hAnsi="Times New Roman" w:cs="Times New Roman"/>
          <w:b/>
          <w:i/>
          <w:color w:val="auto"/>
          <w:sz w:val="24"/>
          <w:szCs w:val="24"/>
        </w:rPr>
        <w:t>recognition in the DEP sub-sample.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No suprathreshold clusters were found related to self-compassion during 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>sad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vs. neutral </w:t>
      </w:r>
      <w:r w:rsidR="008C661F" w:rsidRPr="00506D4A">
        <w:rPr>
          <w:rFonts w:ascii="Times New Roman" w:hAnsi="Times New Roman" w:cs="Times New Roman"/>
          <w:color w:val="auto"/>
          <w:sz w:val="24"/>
          <w:szCs w:val="24"/>
        </w:rPr>
        <w:t>other</w:t>
      </w:r>
      <w:r w:rsidRPr="00506D4A">
        <w:rPr>
          <w:rFonts w:ascii="Times New Roman" w:hAnsi="Times New Roman" w:cs="Times New Roman"/>
          <w:color w:val="auto"/>
          <w:sz w:val="24"/>
          <w:szCs w:val="24"/>
        </w:rPr>
        <w:t>-face recognition in the DEP sub-sample.</w:t>
      </w:r>
    </w:p>
    <w:p w14:paraId="155CD6BF" w14:textId="77777777" w:rsidR="00835610" w:rsidRPr="00506D4A" w:rsidRDefault="00835610" w:rsidP="0042179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835610" w:rsidRPr="00506D4A" w:rsidSect="00026D4C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B8E8E9B" w14:textId="2A14761F" w:rsidR="00835610" w:rsidRPr="00506D4A" w:rsidRDefault="00835610" w:rsidP="008356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Table S2.</w:t>
      </w:r>
      <w:r w:rsidRPr="00506D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Neural activity correlates during sad vs. neutral other-face </w:t>
      </w:r>
      <w:r w:rsidR="00C048FE">
        <w:rPr>
          <w:rFonts w:ascii="Times New Roman" w:hAnsi="Times New Roman" w:cs="Times New Roman"/>
          <w:bCs/>
          <w:color w:val="auto"/>
          <w:sz w:val="24"/>
          <w:szCs w:val="24"/>
        </w:rPr>
        <w:t>recognition</w:t>
      </w:r>
      <w:r w:rsidRPr="00506D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proofErr w:type="spellStart"/>
      <w:r w:rsidRPr="00506D4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bCs/>
          <w:i/>
          <w:iCs/>
          <w:color w:val="auto"/>
          <w:sz w:val="24"/>
          <w:szCs w:val="24"/>
          <w:vertAlign w:val="subscript"/>
        </w:rPr>
        <w:t>uncorr</w:t>
      </w:r>
      <w:proofErr w:type="spellEnd"/>
      <w:r w:rsidRPr="00506D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&lt; 0.001 at voxel level, cluster-level </w:t>
      </w:r>
      <w:proofErr w:type="spellStart"/>
      <w:r w:rsidRPr="00506D4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p</w:t>
      </w:r>
      <w:r w:rsidRPr="00506D4A">
        <w:rPr>
          <w:rFonts w:ascii="Times New Roman" w:hAnsi="Times New Roman" w:cs="Times New Roman"/>
          <w:bCs/>
          <w:i/>
          <w:iCs/>
          <w:color w:val="auto"/>
          <w:sz w:val="24"/>
          <w:szCs w:val="24"/>
          <w:vertAlign w:val="subscript"/>
        </w:rPr>
        <w:t>FWE</w:t>
      </w:r>
      <w:proofErr w:type="spellEnd"/>
      <w:r w:rsidRPr="00506D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&lt; 0.05)</w:t>
      </w:r>
    </w:p>
    <w:tbl>
      <w:tblPr>
        <w:tblW w:w="12920" w:type="dxa"/>
        <w:jc w:val="center"/>
        <w:tblLook w:val="04A0" w:firstRow="1" w:lastRow="0" w:firstColumn="1" w:lastColumn="0" w:noHBand="0" w:noVBand="1"/>
      </w:tblPr>
      <w:tblGrid>
        <w:gridCol w:w="2970"/>
        <w:gridCol w:w="270"/>
        <w:gridCol w:w="4590"/>
        <w:gridCol w:w="1032"/>
        <w:gridCol w:w="1376"/>
        <w:gridCol w:w="668"/>
        <w:gridCol w:w="668"/>
        <w:gridCol w:w="668"/>
        <w:gridCol w:w="678"/>
      </w:tblGrid>
      <w:tr w:rsidR="00506D4A" w:rsidRPr="00506D4A" w14:paraId="79308281" w14:textId="77777777" w:rsidTr="00EB18C3">
        <w:trPr>
          <w:trHeight w:val="282"/>
          <w:jc w:val="center"/>
        </w:trPr>
        <w:tc>
          <w:tcPr>
            <w:tcW w:w="297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8E94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Covariate of Interest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A032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Region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6B8F2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Cluster Size (K)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D8F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Hemisphere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DF072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MNI coordinates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E2865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T</w:t>
            </w:r>
          </w:p>
        </w:tc>
      </w:tr>
      <w:tr w:rsidR="00506D4A" w:rsidRPr="00506D4A" w14:paraId="0C38E72C" w14:textId="77777777" w:rsidTr="00EB18C3">
        <w:trPr>
          <w:trHeight w:val="294"/>
          <w:jc w:val="center"/>
        </w:trPr>
        <w:tc>
          <w:tcPr>
            <w:tcW w:w="29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0B8A92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CFD8A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B87CA7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92ECA8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DC8A4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70CBA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00A8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</w:t>
            </w:r>
          </w:p>
        </w:tc>
        <w:tc>
          <w:tcPr>
            <w:tcW w:w="67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F16192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</w:p>
        </w:tc>
      </w:tr>
      <w:tr w:rsidR="00506D4A" w:rsidRPr="00506D4A" w14:paraId="5B3A57D5" w14:textId="77777777" w:rsidTr="00EB18C3">
        <w:trPr>
          <w:trHeight w:val="288"/>
          <w:jc w:val="center"/>
        </w:trPr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413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Total sample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90BE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AFDEE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C58D8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937F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44B2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4FEC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DD9D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 </w:t>
            </w:r>
          </w:p>
        </w:tc>
      </w:tr>
      <w:tr w:rsidR="00506D4A" w:rsidRPr="00506D4A" w14:paraId="455C1A9B" w14:textId="77777777" w:rsidTr="004E2A51">
        <w:trPr>
          <w:trHeight w:val="288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85AA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Self-compassion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B5F9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 suprathreshold clusters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ED4E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BADB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3231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6D1C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A6249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95DB1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06D4A" w:rsidRPr="00506D4A" w14:paraId="369B9754" w14:textId="77777777" w:rsidTr="004E2A51">
        <w:trPr>
          <w:trHeight w:val="288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574D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Diagnostic group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02F5A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 suprathreshold clusters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5620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F0B5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4315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6FF0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175A5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B2231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06D4A" w:rsidRPr="00506D4A" w14:paraId="52901E53" w14:textId="77777777" w:rsidTr="004E2A51">
        <w:trPr>
          <w:trHeight w:val="564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95014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Self-compassion by diagnostic group interaction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CB96" w14:textId="7E1E2A0E" w:rsidR="00D316A9" w:rsidRPr="00506D4A" w:rsidRDefault="00B60B6F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Inferior parietal </w:t>
            </w:r>
            <w:r w:rsidR="0073773D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lobule</w:t>
            </w:r>
            <w:r w:rsidR="00D316A9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/postcentral gyrus</w:t>
            </w:r>
            <w:r w:rsidR="00584738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="004E2A51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superior parietal </w:t>
            </w:r>
            <w:r w:rsidR="0073773D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lobule</w:t>
            </w:r>
            <w:r w:rsidR="00D316A9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BA40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F57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3892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Left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1713D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20382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D5D9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CD2C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4.24</w:t>
            </w:r>
          </w:p>
        </w:tc>
      </w:tr>
      <w:tr w:rsidR="00506D4A" w:rsidRPr="00506D4A" w14:paraId="4D7CE716" w14:textId="77777777" w:rsidTr="004E2A51">
        <w:trPr>
          <w:trHeight w:val="288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828C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HC sub-sample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015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B0BF4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647D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EBF6D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2749D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097D4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D965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06D4A" w:rsidRPr="00506D4A" w14:paraId="6DC9D3AD" w14:textId="77777777" w:rsidTr="004E2A51">
        <w:trPr>
          <w:trHeight w:val="288"/>
          <w:jc w:val="center"/>
        </w:trPr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A174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Self-compassion (+)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BC1EE" w14:textId="33306750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Post-/precentral gyrus/</w:t>
            </w:r>
            <w:r w:rsidR="00B60B6F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supramarginal gyrus</w:t>
            </w: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BA6/4/3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B97B5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7E93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Left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A197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02FE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A1E1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201B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5.93</w:t>
            </w:r>
          </w:p>
        </w:tc>
      </w:tr>
      <w:tr w:rsidR="00506D4A" w:rsidRPr="00506D4A" w14:paraId="22BFF6FD" w14:textId="77777777" w:rsidTr="004E2A51">
        <w:trPr>
          <w:trHeight w:val="288"/>
          <w:jc w:val="center"/>
        </w:trPr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A852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28221" w14:textId="14F16DFA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Insula/</w:t>
            </w:r>
            <w:r w:rsidR="00B60B6F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lateral orbitofrontal cortex</w:t>
            </w: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BA47/13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713E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3CF5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Left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767C5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4DEDD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68626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2CAE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4.69</w:t>
            </w:r>
          </w:p>
        </w:tc>
      </w:tr>
      <w:tr w:rsidR="00506D4A" w:rsidRPr="00506D4A" w14:paraId="58346873" w14:textId="77777777" w:rsidTr="004E2A51">
        <w:trPr>
          <w:trHeight w:val="288"/>
          <w:jc w:val="center"/>
        </w:trPr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1157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D10B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Postcentral gyrus, BA3/4/1/6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8369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247F1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Right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EDEA3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FF73E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CF22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34400" w14:textId="2C8C7F1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4.4</w:t>
            </w:r>
            <w:r w:rsidR="00584738"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06D4A" w:rsidRPr="00506D4A" w14:paraId="06E609BA" w14:textId="77777777" w:rsidTr="004E2A51">
        <w:trPr>
          <w:trHeight w:val="288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7E34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DEP sub-sample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9B4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06FE9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1F851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FF784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776B7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23CAC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656D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506D4A" w:rsidRPr="00506D4A" w14:paraId="07EAFDB6" w14:textId="77777777" w:rsidTr="004E2A51">
        <w:trPr>
          <w:trHeight w:val="294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0FD34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Self-compassion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281E4E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 suprathreshold clusters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1F914B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15C6E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7D8CBF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8D77FE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4127D0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A1168D" w14:textId="77777777" w:rsidR="00D316A9" w:rsidRPr="00506D4A" w:rsidRDefault="00D316A9" w:rsidP="00D31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23EBA6B9" w14:textId="23051755" w:rsidR="00421790" w:rsidRPr="00506D4A" w:rsidRDefault="00421790" w:rsidP="0042179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209195" w14:textId="77777777" w:rsidR="00421790" w:rsidRPr="00506D4A" w:rsidRDefault="00421790" w:rsidP="00421790">
      <w:p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65627E" w14:textId="1CB01BA0" w:rsidR="00071C17" w:rsidRPr="00506D4A" w:rsidRDefault="00071C17" w:rsidP="00421790">
      <w:p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t>Supporting references</w:t>
      </w:r>
    </w:p>
    <w:p w14:paraId="1E6CD516" w14:textId="1FF4A42E" w:rsidR="00AB3DEF" w:rsidRPr="00506D4A" w:rsidRDefault="00071C17" w:rsidP="004C10E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ADDIN EN.REFLIST </w:instrText>
      </w: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AB3DE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Abrosoft. (2011). Abrosoft FantaMorph. </w:t>
      </w:r>
      <w:hyperlink r:id="rId12" w:history="1">
        <w:r w:rsidR="00AB3DEF" w:rsidRPr="00506D4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http://www.fantamorph.com/index.html</w:t>
        </w:r>
      </w:hyperlink>
      <w:r w:rsidR="00AB3DEF" w:rsidRPr="00506D4A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AB3DEF" w:rsidRPr="00506D4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AA641EB" w14:textId="49102FFE" w:rsidR="0052563A" w:rsidRPr="00506D4A" w:rsidRDefault="00071C17" w:rsidP="004C10E7">
      <w:p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sectPr w:rsidR="0052563A" w:rsidRPr="00506D4A" w:rsidSect="00835610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271DE" w14:textId="77777777" w:rsidR="00E4743B" w:rsidRDefault="00E4743B" w:rsidP="001E4D37">
      <w:pPr>
        <w:spacing w:line="240" w:lineRule="auto"/>
      </w:pPr>
      <w:r>
        <w:separator/>
      </w:r>
    </w:p>
  </w:endnote>
  <w:endnote w:type="continuationSeparator" w:id="0">
    <w:p w14:paraId="4427DD3A" w14:textId="77777777" w:rsidR="00E4743B" w:rsidRDefault="00E4743B" w:rsidP="001E4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85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E48EF" w14:textId="6CBF1622" w:rsidR="00FC6356" w:rsidRDefault="00FC6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D609" w14:textId="77777777" w:rsidR="00FC6356" w:rsidRDefault="00FC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392CF" w14:textId="77777777" w:rsidR="00E4743B" w:rsidRDefault="00E4743B" w:rsidP="001E4D37">
      <w:pPr>
        <w:spacing w:line="240" w:lineRule="auto"/>
      </w:pPr>
      <w:r>
        <w:separator/>
      </w:r>
    </w:p>
  </w:footnote>
  <w:footnote w:type="continuationSeparator" w:id="0">
    <w:p w14:paraId="5DD80F22" w14:textId="77777777" w:rsidR="00E4743B" w:rsidRDefault="00E4743B" w:rsidP="001E4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470467"/>
      <w:docPartObj>
        <w:docPartGallery w:val="Page Numbers (Top of Page)"/>
        <w:docPartUnique/>
      </w:docPartObj>
    </w:sdtPr>
    <w:sdtEndPr/>
    <w:sdtContent>
      <w:p w14:paraId="3F1F2104" w14:textId="16E38A0B" w:rsidR="00234734" w:rsidRDefault="0023473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125BEE" w14:textId="1B419C8A" w:rsidR="000418C3" w:rsidRPr="0001125E" w:rsidRDefault="000418C3" w:rsidP="001E4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E768" w14:textId="484F4D8B" w:rsidR="00B9498D" w:rsidRDefault="00B9498D">
    <w:pPr>
      <w:pStyle w:val="Header"/>
    </w:pPr>
  </w:p>
  <w:p w14:paraId="5B8084EE" w14:textId="13CABD53" w:rsidR="00FC6356" w:rsidRDefault="00FC6356" w:rsidP="00FC6356">
    <w:pPr>
      <w:pStyle w:val="Header"/>
      <w:ind w:right="1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93DB7"/>
    <w:multiLevelType w:val="hybridMultilevel"/>
    <w:tmpl w:val="29D08536"/>
    <w:lvl w:ilvl="0" w:tplc="9A704128">
      <w:start w:val="16"/>
      <w:numFmt w:val="bullet"/>
      <w:lvlText w:val=""/>
      <w:lvlJc w:val="left"/>
      <w:pPr>
        <w:ind w:left="636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49F326CE"/>
    <w:multiLevelType w:val="hybridMultilevel"/>
    <w:tmpl w:val="2374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4066"/>
    <w:multiLevelType w:val="hybridMultilevel"/>
    <w:tmpl w:val="547A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024B3"/>
    <w:rsid w:val="0000262F"/>
    <w:rsid w:val="000043B6"/>
    <w:rsid w:val="00006356"/>
    <w:rsid w:val="00011116"/>
    <w:rsid w:val="0001125E"/>
    <w:rsid w:val="00026D4C"/>
    <w:rsid w:val="00032979"/>
    <w:rsid w:val="00033B80"/>
    <w:rsid w:val="00033BB4"/>
    <w:rsid w:val="000418C3"/>
    <w:rsid w:val="00043ADD"/>
    <w:rsid w:val="000513C7"/>
    <w:rsid w:val="00071C17"/>
    <w:rsid w:val="00074690"/>
    <w:rsid w:val="000A14A6"/>
    <w:rsid w:val="000A3D0B"/>
    <w:rsid w:val="000B1BA0"/>
    <w:rsid w:val="000D348B"/>
    <w:rsid w:val="000D52E1"/>
    <w:rsid w:val="000E1A66"/>
    <w:rsid w:val="000E2AA8"/>
    <w:rsid w:val="000E54CF"/>
    <w:rsid w:val="000F1C09"/>
    <w:rsid w:val="001024B3"/>
    <w:rsid w:val="00107315"/>
    <w:rsid w:val="00112F96"/>
    <w:rsid w:val="00116DBA"/>
    <w:rsid w:val="001273B4"/>
    <w:rsid w:val="00133A68"/>
    <w:rsid w:val="001358A6"/>
    <w:rsid w:val="0013603F"/>
    <w:rsid w:val="00136BB9"/>
    <w:rsid w:val="00142F26"/>
    <w:rsid w:val="00144407"/>
    <w:rsid w:val="00144440"/>
    <w:rsid w:val="00152018"/>
    <w:rsid w:val="00152994"/>
    <w:rsid w:val="001534F3"/>
    <w:rsid w:val="00165E62"/>
    <w:rsid w:val="0017122C"/>
    <w:rsid w:val="001714DE"/>
    <w:rsid w:val="001747E2"/>
    <w:rsid w:val="001905D4"/>
    <w:rsid w:val="001C75E3"/>
    <w:rsid w:val="001C77B8"/>
    <w:rsid w:val="001D0B78"/>
    <w:rsid w:val="001D3626"/>
    <w:rsid w:val="001D61CD"/>
    <w:rsid w:val="001E14C0"/>
    <w:rsid w:val="001E4D37"/>
    <w:rsid w:val="001F0E8D"/>
    <w:rsid w:val="0020536B"/>
    <w:rsid w:val="002113A6"/>
    <w:rsid w:val="00212B6D"/>
    <w:rsid w:val="00220D16"/>
    <w:rsid w:val="002210CF"/>
    <w:rsid w:val="00234734"/>
    <w:rsid w:val="00236F99"/>
    <w:rsid w:val="0024324E"/>
    <w:rsid w:val="00245C59"/>
    <w:rsid w:val="00247728"/>
    <w:rsid w:val="002478D8"/>
    <w:rsid w:val="00251605"/>
    <w:rsid w:val="00266F8D"/>
    <w:rsid w:val="00271489"/>
    <w:rsid w:val="0027480C"/>
    <w:rsid w:val="00287DE4"/>
    <w:rsid w:val="00287F64"/>
    <w:rsid w:val="00290773"/>
    <w:rsid w:val="00294428"/>
    <w:rsid w:val="002C65A1"/>
    <w:rsid w:val="002D0994"/>
    <w:rsid w:val="002E2423"/>
    <w:rsid w:val="002F0D44"/>
    <w:rsid w:val="00304F69"/>
    <w:rsid w:val="00307C2F"/>
    <w:rsid w:val="00307F85"/>
    <w:rsid w:val="00314C6E"/>
    <w:rsid w:val="00321217"/>
    <w:rsid w:val="00345D96"/>
    <w:rsid w:val="00375CD9"/>
    <w:rsid w:val="003821B1"/>
    <w:rsid w:val="00390BAD"/>
    <w:rsid w:val="003A10CD"/>
    <w:rsid w:val="003B0F07"/>
    <w:rsid w:val="003B349F"/>
    <w:rsid w:val="003B7701"/>
    <w:rsid w:val="003C22DE"/>
    <w:rsid w:val="003E1D44"/>
    <w:rsid w:val="003F2F5D"/>
    <w:rsid w:val="00401028"/>
    <w:rsid w:val="0040167C"/>
    <w:rsid w:val="004079E5"/>
    <w:rsid w:val="00407BBF"/>
    <w:rsid w:val="00421790"/>
    <w:rsid w:val="00422B09"/>
    <w:rsid w:val="00442809"/>
    <w:rsid w:val="004523BC"/>
    <w:rsid w:val="00461BAE"/>
    <w:rsid w:val="00464A6D"/>
    <w:rsid w:val="00472CE1"/>
    <w:rsid w:val="004753BD"/>
    <w:rsid w:val="00482425"/>
    <w:rsid w:val="0049398F"/>
    <w:rsid w:val="004975F7"/>
    <w:rsid w:val="004A0B13"/>
    <w:rsid w:val="004B25DD"/>
    <w:rsid w:val="004C10E7"/>
    <w:rsid w:val="004D069B"/>
    <w:rsid w:val="004E149E"/>
    <w:rsid w:val="004E2A51"/>
    <w:rsid w:val="004F0B02"/>
    <w:rsid w:val="004F5792"/>
    <w:rsid w:val="00503FB6"/>
    <w:rsid w:val="0050642A"/>
    <w:rsid w:val="00506D4A"/>
    <w:rsid w:val="00511D40"/>
    <w:rsid w:val="00514573"/>
    <w:rsid w:val="00517C2F"/>
    <w:rsid w:val="00520EE2"/>
    <w:rsid w:val="005252C6"/>
    <w:rsid w:val="0052563A"/>
    <w:rsid w:val="0052564A"/>
    <w:rsid w:val="00534E18"/>
    <w:rsid w:val="00537A2E"/>
    <w:rsid w:val="00546935"/>
    <w:rsid w:val="005817CB"/>
    <w:rsid w:val="00584738"/>
    <w:rsid w:val="005A4704"/>
    <w:rsid w:val="005B6187"/>
    <w:rsid w:val="005B61F7"/>
    <w:rsid w:val="005F03BC"/>
    <w:rsid w:val="005F1C54"/>
    <w:rsid w:val="005F34C7"/>
    <w:rsid w:val="005F3AC3"/>
    <w:rsid w:val="00612B2A"/>
    <w:rsid w:val="0062104A"/>
    <w:rsid w:val="006240FF"/>
    <w:rsid w:val="00627793"/>
    <w:rsid w:val="0063001E"/>
    <w:rsid w:val="00630336"/>
    <w:rsid w:val="00631FE7"/>
    <w:rsid w:val="0064349C"/>
    <w:rsid w:val="006476D1"/>
    <w:rsid w:val="00660439"/>
    <w:rsid w:val="006651FE"/>
    <w:rsid w:val="00680CED"/>
    <w:rsid w:val="00680F87"/>
    <w:rsid w:val="00691610"/>
    <w:rsid w:val="006A1064"/>
    <w:rsid w:val="006B647A"/>
    <w:rsid w:val="006B73A0"/>
    <w:rsid w:val="006E2837"/>
    <w:rsid w:val="006E4F9E"/>
    <w:rsid w:val="006F5883"/>
    <w:rsid w:val="006F5CA5"/>
    <w:rsid w:val="006F7BC6"/>
    <w:rsid w:val="007175BC"/>
    <w:rsid w:val="0071780C"/>
    <w:rsid w:val="00732749"/>
    <w:rsid w:val="00735E55"/>
    <w:rsid w:val="0073773D"/>
    <w:rsid w:val="00740CC6"/>
    <w:rsid w:val="007414DE"/>
    <w:rsid w:val="00751B07"/>
    <w:rsid w:val="00782CEA"/>
    <w:rsid w:val="00784D49"/>
    <w:rsid w:val="0079057C"/>
    <w:rsid w:val="00796327"/>
    <w:rsid w:val="0079637D"/>
    <w:rsid w:val="007E78CF"/>
    <w:rsid w:val="007F3838"/>
    <w:rsid w:val="007F5E80"/>
    <w:rsid w:val="007F7FC2"/>
    <w:rsid w:val="0080111A"/>
    <w:rsid w:val="00801131"/>
    <w:rsid w:val="00801728"/>
    <w:rsid w:val="00815EE6"/>
    <w:rsid w:val="00817287"/>
    <w:rsid w:val="00835610"/>
    <w:rsid w:val="008458DA"/>
    <w:rsid w:val="00851D41"/>
    <w:rsid w:val="008524E6"/>
    <w:rsid w:val="00852D44"/>
    <w:rsid w:val="00861707"/>
    <w:rsid w:val="0086193A"/>
    <w:rsid w:val="00870276"/>
    <w:rsid w:val="00872BB7"/>
    <w:rsid w:val="008730B8"/>
    <w:rsid w:val="0088259E"/>
    <w:rsid w:val="00885A8C"/>
    <w:rsid w:val="0088793B"/>
    <w:rsid w:val="00895C40"/>
    <w:rsid w:val="008B45D3"/>
    <w:rsid w:val="008B4B26"/>
    <w:rsid w:val="008C4050"/>
    <w:rsid w:val="008C661F"/>
    <w:rsid w:val="008D6288"/>
    <w:rsid w:val="008E1CF4"/>
    <w:rsid w:val="008F5E49"/>
    <w:rsid w:val="008F62E7"/>
    <w:rsid w:val="00903AC2"/>
    <w:rsid w:val="00906F38"/>
    <w:rsid w:val="009173DA"/>
    <w:rsid w:val="0092205D"/>
    <w:rsid w:val="00925537"/>
    <w:rsid w:val="00933B0C"/>
    <w:rsid w:val="00964E5B"/>
    <w:rsid w:val="00965F96"/>
    <w:rsid w:val="00973452"/>
    <w:rsid w:val="00976E5A"/>
    <w:rsid w:val="00981EA9"/>
    <w:rsid w:val="00984C63"/>
    <w:rsid w:val="009A1D09"/>
    <w:rsid w:val="009A36F6"/>
    <w:rsid w:val="009B383C"/>
    <w:rsid w:val="009B5951"/>
    <w:rsid w:val="009C4402"/>
    <w:rsid w:val="009D1712"/>
    <w:rsid w:val="009D2828"/>
    <w:rsid w:val="00A0167B"/>
    <w:rsid w:val="00A04C81"/>
    <w:rsid w:val="00A07A0A"/>
    <w:rsid w:val="00A21652"/>
    <w:rsid w:val="00A264AF"/>
    <w:rsid w:val="00A279F2"/>
    <w:rsid w:val="00A47C81"/>
    <w:rsid w:val="00A5109E"/>
    <w:rsid w:val="00A63330"/>
    <w:rsid w:val="00A647AD"/>
    <w:rsid w:val="00A77922"/>
    <w:rsid w:val="00A77EFE"/>
    <w:rsid w:val="00A85A94"/>
    <w:rsid w:val="00A94E78"/>
    <w:rsid w:val="00AA21CB"/>
    <w:rsid w:val="00AA2E44"/>
    <w:rsid w:val="00AA4FCA"/>
    <w:rsid w:val="00AB2806"/>
    <w:rsid w:val="00AB32A0"/>
    <w:rsid w:val="00AB3DEF"/>
    <w:rsid w:val="00AE6756"/>
    <w:rsid w:val="00AF146F"/>
    <w:rsid w:val="00B04B98"/>
    <w:rsid w:val="00B1323A"/>
    <w:rsid w:val="00B16E97"/>
    <w:rsid w:val="00B311DC"/>
    <w:rsid w:val="00B3628B"/>
    <w:rsid w:val="00B4679F"/>
    <w:rsid w:val="00B55433"/>
    <w:rsid w:val="00B55E75"/>
    <w:rsid w:val="00B564DB"/>
    <w:rsid w:val="00B6093C"/>
    <w:rsid w:val="00B60B6F"/>
    <w:rsid w:val="00B60E93"/>
    <w:rsid w:val="00B65F5B"/>
    <w:rsid w:val="00B70545"/>
    <w:rsid w:val="00B9498D"/>
    <w:rsid w:val="00B9734E"/>
    <w:rsid w:val="00BB662F"/>
    <w:rsid w:val="00BD3488"/>
    <w:rsid w:val="00BD52B0"/>
    <w:rsid w:val="00BD6A3A"/>
    <w:rsid w:val="00BE144B"/>
    <w:rsid w:val="00BE34AC"/>
    <w:rsid w:val="00BE7045"/>
    <w:rsid w:val="00C002E1"/>
    <w:rsid w:val="00C048FE"/>
    <w:rsid w:val="00C2356D"/>
    <w:rsid w:val="00C23940"/>
    <w:rsid w:val="00C33DBA"/>
    <w:rsid w:val="00C46C1A"/>
    <w:rsid w:val="00C46DD0"/>
    <w:rsid w:val="00C46EBA"/>
    <w:rsid w:val="00C477FF"/>
    <w:rsid w:val="00C50B4A"/>
    <w:rsid w:val="00C6681C"/>
    <w:rsid w:val="00C766C4"/>
    <w:rsid w:val="00C90EE9"/>
    <w:rsid w:val="00C93AAE"/>
    <w:rsid w:val="00C95F9B"/>
    <w:rsid w:val="00CA2CB5"/>
    <w:rsid w:val="00CA3FB3"/>
    <w:rsid w:val="00CB32FF"/>
    <w:rsid w:val="00CB6F7E"/>
    <w:rsid w:val="00CC4EA2"/>
    <w:rsid w:val="00CD3501"/>
    <w:rsid w:val="00CE17FA"/>
    <w:rsid w:val="00CF1AF6"/>
    <w:rsid w:val="00CF52E8"/>
    <w:rsid w:val="00D07212"/>
    <w:rsid w:val="00D07CCC"/>
    <w:rsid w:val="00D135A5"/>
    <w:rsid w:val="00D17D7C"/>
    <w:rsid w:val="00D21E36"/>
    <w:rsid w:val="00D316A9"/>
    <w:rsid w:val="00D70249"/>
    <w:rsid w:val="00D727A0"/>
    <w:rsid w:val="00D77AA7"/>
    <w:rsid w:val="00D805FE"/>
    <w:rsid w:val="00D82D5D"/>
    <w:rsid w:val="00D94A40"/>
    <w:rsid w:val="00DA13D0"/>
    <w:rsid w:val="00DC04CA"/>
    <w:rsid w:val="00DC2434"/>
    <w:rsid w:val="00DC6A62"/>
    <w:rsid w:val="00DC6CFF"/>
    <w:rsid w:val="00DD5AF4"/>
    <w:rsid w:val="00DE0D30"/>
    <w:rsid w:val="00DE16B7"/>
    <w:rsid w:val="00DF36E6"/>
    <w:rsid w:val="00E17D1C"/>
    <w:rsid w:val="00E23FAD"/>
    <w:rsid w:val="00E27AD6"/>
    <w:rsid w:val="00E3264A"/>
    <w:rsid w:val="00E32787"/>
    <w:rsid w:val="00E378AB"/>
    <w:rsid w:val="00E42E56"/>
    <w:rsid w:val="00E44318"/>
    <w:rsid w:val="00E4743B"/>
    <w:rsid w:val="00E605C2"/>
    <w:rsid w:val="00E6629F"/>
    <w:rsid w:val="00E7563D"/>
    <w:rsid w:val="00E76A30"/>
    <w:rsid w:val="00E82E43"/>
    <w:rsid w:val="00E847EB"/>
    <w:rsid w:val="00E9648D"/>
    <w:rsid w:val="00E96902"/>
    <w:rsid w:val="00EA60B9"/>
    <w:rsid w:val="00EB18C3"/>
    <w:rsid w:val="00EB5B44"/>
    <w:rsid w:val="00ED76E6"/>
    <w:rsid w:val="00EF36CA"/>
    <w:rsid w:val="00EF6A50"/>
    <w:rsid w:val="00EF7FCA"/>
    <w:rsid w:val="00F0013D"/>
    <w:rsid w:val="00F007BF"/>
    <w:rsid w:val="00F059A6"/>
    <w:rsid w:val="00F148C0"/>
    <w:rsid w:val="00F22BE4"/>
    <w:rsid w:val="00F42885"/>
    <w:rsid w:val="00F53CE9"/>
    <w:rsid w:val="00F571F4"/>
    <w:rsid w:val="00F63227"/>
    <w:rsid w:val="00F75F80"/>
    <w:rsid w:val="00F907FE"/>
    <w:rsid w:val="00F95D61"/>
    <w:rsid w:val="00FB01FF"/>
    <w:rsid w:val="00FB3F71"/>
    <w:rsid w:val="00FB436C"/>
    <w:rsid w:val="00FB6B00"/>
    <w:rsid w:val="00FC0C32"/>
    <w:rsid w:val="00FC6356"/>
    <w:rsid w:val="00FD3B70"/>
    <w:rsid w:val="00FE2973"/>
    <w:rsid w:val="00FF1E82"/>
    <w:rsid w:val="00FF4C5F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5C264"/>
  <w15:docId w15:val="{9924E4B6-1EE3-4F19-9F5F-CF68F6DD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4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4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39"/>
  </w:style>
  <w:style w:type="paragraph" w:styleId="Footer">
    <w:name w:val="footer"/>
    <w:basedOn w:val="Normal"/>
    <w:link w:val="FooterChar"/>
    <w:uiPriority w:val="99"/>
    <w:unhideWhenUsed/>
    <w:rsid w:val="00660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E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E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79F2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41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9360"/>
      </w:tabs>
      <w:spacing w:after="100" w:line="259" w:lineRule="auto"/>
    </w:pPr>
    <w:rPr>
      <w:rFonts w:ascii="Calibri" w:eastAsia="Times New Roman" w:hAnsi="Calibri" w:cs="Times New Roman"/>
      <w:color w:val="auto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41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9360"/>
      </w:tabs>
      <w:spacing w:after="100" w:line="259" w:lineRule="auto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41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leader="dot" w:pos="9360"/>
      </w:tabs>
      <w:spacing w:after="100" w:line="259" w:lineRule="auto"/>
    </w:pPr>
    <w:rPr>
      <w:rFonts w:ascii="Calibri" w:eastAsia="Times New Roman" w:hAnsi="Calibri" w:cs="Times New Roman"/>
      <w:color w:val="auto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3F71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071C17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071C17"/>
    <w:rPr>
      <w:noProof/>
    </w:rPr>
  </w:style>
  <w:style w:type="paragraph" w:customStyle="1" w:styleId="EndNoteBibliography">
    <w:name w:val="EndNote Bibliography"/>
    <w:basedOn w:val="Normal"/>
    <w:link w:val="EndNoteBibliography0"/>
    <w:rsid w:val="00071C17"/>
    <w:pPr>
      <w:spacing w:line="240" w:lineRule="auto"/>
      <w:jc w:val="both"/>
    </w:pPr>
    <w:rPr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071C17"/>
    <w:rPr>
      <w:noProof/>
    </w:rPr>
  </w:style>
  <w:style w:type="character" w:styleId="UnresolvedMention">
    <w:name w:val="Unresolved Mention"/>
    <w:basedOn w:val="DefaultParagraphFont"/>
    <w:uiPriority w:val="99"/>
    <w:rsid w:val="0007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ve001@um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ntamorph.com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B014-AB7D-4BED-97BF-5DC484A4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Zhang</dc:creator>
  <cp:keywords/>
  <dc:description/>
  <cp:lastModifiedBy>Guanmin Liu</cp:lastModifiedBy>
  <cp:revision>151</cp:revision>
  <cp:lastPrinted>2018-01-07T03:56:00Z</cp:lastPrinted>
  <dcterms:created xsi:type="dcterms:W3CDTF">2018-03-04T17:45:00Z</dcterms:created>
  <dcterms:modified xsi:type="dcterms:W3CDTF">2020-07-16T16:34:00Z</dcterms:modified>
</cp:coreProperties>
</file>