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76" w:rsidRDefault="00C43576" w:rsidP="00C435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3576">
        <w:rPr>
          <w:rFonts w:ascii="Times New Roman" w:hAnsi="Times New Roman" w:cs="Times New Roman"/>
          <w:b/>
          <w:sz w:val="36"/>
          <w:szCs w:val="36"/>
          <w:lang w:val="en-US"/>
        </w:rPr>
        <w:t>Supplemental</w:t>
      </w:r>
      <w:r w:rsidRPr="00C43576">
        <w:rPr>
          <w:rFonts w:ascii="Times New Roman" w:hAnsi="Times New Roman" w:cs="Times New Roman"/>
          <w:b/>
          <w:sz w:val="36"/>
          <w:szCs w:val="36"/>
        </w:rPr>
        <w:t xml:space="preserve"> material</w:t>
      </w:r>
    </w:p>
    <w:tbl>
      <w:tblPr>
        <w:tblStyle w:val="TableNormal"/>
        <w:tblW w:w="9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2"/>
      </w:tblGrid>
      <w:tr w:rsidR="00C43576" w:rsidTr="004E2051">
        <w:trPr>
          <w:trHeight w:val="302"/>
        </w:trPr>
        <w:tc>
          <w:tcPr>
            <w:tcW w:w="9062" w:type="dxa"/>
            <w:tcBorders>
              <w:top w:val="nil"/>
              <w:left w:val="nil"/>
              <w:bottom w:val="single" w:sz="2" w:space="0" w:color="D9959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/>
        </w:tc>
      </w:tr>
      <w:tr w:rsidR="00C43576" w:rsidRPr="00C32B74" w:rsidTr="004E2051">
        <w:trPr>
          <w:trHeight w:val="183"/>
        </w:trPr>
        <w:tc>
          <w:tcPr>
            <w:tcW w:w="9062" w:type="dxa"/>
            <w:tcBorders>
              <w:top w:val="single" w:sz="2" w:space="0" w:color="D99594"/>
              <w:left w:val="nil"/>
              <w:bottom w:val="single" w:sz="2" w:space="0" w:color="D9959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lang w:val="en-US"/>
              </w:rPr>
            </w:pPr>
            <w:proofErr w:type="spellStart"/>
            <w:proofErr w:type="gram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proofErr w:type="gramEnd"/>
            <w:r w:rsidRPr="00C43576">
              <w:rPr>
                <w:sz w:val="16"/>
                <w:szCs w:val="16"/>
                <w:lang w:val="en-US"/>
              </w:rPr>
              <w:t xml:space="preserve"> Autoantibodies/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autoantibod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*.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</w:t>
            </w:r>
            <w:proofErr w:type="gramStart"/>
            <w:r w:rsidRPr="00C43576">
              <w:rPr>
                <w:sz w:val="16"/>
                <w:szCs w:val="16"/>
                <w:lang w:val="en-US"/>
              </w:rPr>
              <w:t>OR</w:t>
            </w:r>
            <w:proofErr w:type="gramEnd"/>
            <w:r w:rsidRPr="00C4357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Antibodies/ OR. </w:t>
            </w:r>
            <w:proofErr w:type="spellStart"/>
            <w:proofErr w:type="gramStart"/>
            <w:r w:rsidRPr="00C43576">
              <w:rPr>
                <w:sz w:val="16"/>
                <w:szCs w:val="16"/>
                <w:lang w:val="en-US"/>
              </w:rPr>
              <w:t>antibod</w:t>
            </w:r>
            <w:proofErr w:type="spellEnd"/>
            <w:proofErr w:type="gramEnd"/>
            <w:r w:rsidRPr="00C43576">
              <w:rPr>
                <w:sz w:val="16"/>
                <w:szCs w:val="16"/>
                <w:lang w:val="en-US"/>
              </w:rPr>
              <w:t>*.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.</w:t>
            </w:r>
          </w:p>
        </w:tc>
      </w:tr>
      <w:tr w:rsidR="00C43576" w:rsidTr="003C2DEE">
        <w:trPr>
          <w:trHeight w:val="183"/>
        </w:trPr>
        <w:tc>
          <w:tcPr>
            <w:tcW w:w="9062" w:type="dxa"/>
            <w:tcBorders>
              <w:top w:val="single" w:sz="2" w:space="0" w:color="D99594"/>
              <w:left w:val="nil"/>
              <w:bottom w:val="single" w:sz="2" w:space="0" w:color="D9959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rPr>
                <w:b/>
                <w:bCs/>
                <w:sz w:val="16"/>
                <w:szCs w:val="16"/>
              </w:rPr>
              <w:t>AND</w:t>
            </w:r>
          </w:p>
        </w:tc>
      </w:tr>
      <w:tr w:rsidR="00C43576" w:rsidRPr="00C32B74" w:rsidTr="004E2051">
        <w:trPr>
          <w:trHeight w:val="183"/>
        </w:trPr>
        <w:tc>
          <w:tcPr>
            <w:tcW w:w="9062" w:type="dxa"/>
            <w:tcBorders>
              <w:top w:val="single" w:sz="2" w:space="0" w:color="D99594"/>
              <w:left w:val="nil"/>
              <w:bottom w:val="single" w:sz="2" w:space="0" w:color="D9959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lang w:val="en-US"/>
              </w:rPr>
            </w:pP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Encephalitis/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enceph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*.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. OR brain inflammation.mp.</w:t>
            </w:r>
          </w:p>
        </w:tc>
      </w:tr>
      <w:tr w:rsidR="00C43576" w:rsidTr="003C2DEE">
        <w:trPr>
          <w:trHeight w:val="183"/>
        </w:trPr>
        <w:tc>
          <w:tcPr>
            <w:tcW w:w="9062" w:type="dxa"/>
            <w:tcBorders>
              <w:top w:val="single" w:sz="2" w:space="0" w:color="D99594"/>
              <w:left w:val="nil"/>
              <w:bottom w:val="single" w:sz="2" w:space="0" w:color="D9959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rPr>
                <w:b/>
                <w:bCs/>
                <w:sz w:val="16"/>
                <w:szCs w:val="16"/>
              </w:rPr>
              <w:t>AND</w:t>
            </w:r>
          </w:p>
        </w:tc>
      </w:tr>
      <w:tr w:rsidR="00C43576" w:rsidRPr="00C32B74" w:rsidTr="004E2051">
        <w:trPr>
          <w:trHeight w:val="4503"/>
        </w:trPr>
        <w:tc>
          <w:tcPr>
            <w:tcW w:w="9062" w:type="dxa"/>
            <w:tcBorders>
              <w:top w:val="single" w:sz="2" w:space="0" w:color="D99594"/>
              <w:left w:val="nil"/>
              <w:bottom w:val="single" w:sz="2" w:space="0" w:color="D9959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lang w:val="en-US"/>
              </w:rPr>
            </w:pP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Receptors, AMPA/ OR (ampa1* or ampa2* or ampa-1* or ampa-2*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ampa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1*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ampa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2* or alfa-amino-3-hydroxy-5-methyl-4-isoxazolepropionic acid 1*).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Receptors, GABA-B/ OR (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gaba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-b*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gaba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b*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gabab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* or gamma-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aminobutyric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acid b* or gamma-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aminobutyric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acid-b*).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Receptors, Dopamine D2/ OR dopamine D2*.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.  OR (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dipeptidyl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-peptidase-like protein 6* or DPPX*).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. OR glycine receptor*.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Receptors, Metabotropic Glutamate/ OR (receptors, metabotropic glutamate* or mGluR1* or mGluR5*).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Receptors, Nicotinic/ OR (Receptors, Nicotinic* or acetylcholine receptors, nicotinic*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nACh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-receptor*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nACh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-R*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nACh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receptor*).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. OR (ANNA* or anti-neuronal nuclear*).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Receptors, N-Methyl-D-Aspartate/ OR (Receptors, N-Methyl-D-Aspartate* or receptors, n-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methylaspartate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* or NMDA* or NMDAR* or NMDA-R*).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Calcium Channels/ OR (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vdcc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* or voltage dependent calcium channels* or voltage-dependent calcium channels*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vgcc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Potassium Channels, Voltage-Gated/ OR (k+ channels, voltage-gated*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kv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potassium channels* or Potassium Channels, Voltage- Gated* or LGI1* or Caspr2* or VGKC*).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Amphiphysin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*.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. OR (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Adenylate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Kinase 5*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Adenylate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-Kinase 5* or AK5*).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. OR (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Collapsin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Response Mediator Protein 5* or CRMP5* or CRMP-5* or CRMP 5*).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Glutamate Decarboxylase/ OR (glutamic acid decarboxylase 65* or GAD65* or GAD 65* or GAD-65* or acid decarboxylase 65, glutamic*).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. OR (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hu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* or anti-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hu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. OR (Anti-Ma 2* or Ma 2* or Ma-2* or Anti-Ma1* or Ma 1* or Ma-1*).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. OR (Homer 3* or Homer-3* or Homer3*).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OR (Purkinje cell cytoplasmic* or PCA-2* or PCA 2* or PCA2* or PCA-1* or PCA 1* or PCA1*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Yo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* or anti-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Yo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. OR (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Ri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* or anti-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Ri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. OR (SRY-related HMG-box 1* or SOX1* or SOX-1* or SOX 1*).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. OR (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Tr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* or anti-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Tr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OR (Hashimoto's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encephal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* or Hashimoto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encephal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* or SREAT* or Steroid-responsive encephalopathy associated with autoimmune thyroiditis* or Steroid responsive encephalopathy associated with autoimmune thyroiditis* or steroid responsive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encephal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* or steroid-responsive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encephal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OR (thyroid Peroxidase*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thyroidperoxidase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* or thyroid-peroxidase*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antithyroid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peroxidase*or anti-thyroid peroxidase* or anti-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thyroidperoxidase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* or anti-thyroid-peroxidase*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antithyroid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-peroxidase* or anti thyroid peroxidase* or anti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thyroidperoxidase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* or anti-TPO* or anti TPO* or TPO*).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OR (thyroglobulin* or TG* or anti-thyroglobulin*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antithyroglobulin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* or anti-TG* or anti TG*).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. OR (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thyrotropin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receptor*,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tsh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receptor* or thyroid stimulating hormone receptor* or anti-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thyrotropin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antithyrotropin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* or anti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thyrotropin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* or anti-TSH* or anti TSH* or TRAK*).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Aquaporin 4/ OR (aqp4* or aqp-4*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aqp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4* or aquaporin 4* or aquaporin-4*).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Myelin-Oligodendrocyte Glycoprotein/ OR (Myelin-Oligodendrocyte Glycoprotein* or Myelin Oligodendrocyte Glycoprotein* or MOG*).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OR (Zic4*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Zic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4* or Zic-4*).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. OR IgLON5*.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OR (ARHGAP26*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GTPase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activating protein 26).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.</w:t>
            </w:r>
          </w:p>
        </w:tc>
      </w:tr>
      <w:tr w:rsidR="00C43576" w:rsidRPr="00C32B74" w:rsidTr="003C2DEE">
        <w:trPr>
          <w:trHeight w:val="183"/>
        </w:trPr>
        <w:tc>
          <w:tcPr>
            <w:tcW w:w="9062" w:type="dxa"/>
            <w:tcBorders>
              <w:top w:val="single" w:sz="2" w:space="0" w:color="D99594"/>
              <w:left w:val="nil"/>
              <w:bottom w:val="single" w:sz="2" w:space="0" w:color="D9959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lang w:val="en-US"/>
              </w:rPr>
            </w:pPr>
            <w:r w:rsidRPr="00C43576">
              <w:rPr>
                <w:b/>
                <w:bCs/>
                <w:sz w:val="16"/>
                <w:szCs w:val="16"/>
                <w:lang w:val="en-US"/>
              </w:rPr>
              <w:t>AND</w:t>
            </w:r>
          </w:p>
        </w:tc>
      </w:tr>
      <w:tr w:rsidR="00C43576" w:rsidRPr="00C32B74" w:rsidTr="004E2051">
        <w:trPr>
          <w:trHeight w:val="2698"/>
        </w:trPr>
        <w:tc>
          <w:tcPr>
            <w:tcW w:w="9062" w:type="dxa"/>
            <w:tcBorders>
              <w:top w:val="single" w:sz="2" w:space="0" w:color="D99594"/>
              <w:left w:val="nil"/>
              <w:bottom w:val="single" w:sz="2" w:space="0" w:color="D9959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lang w:val="en-US"/>
              </w:rPr>
            </w:pP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Psychotic Disorders/ OR (psychotic*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schizo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* or delusion* or catatonic* or catatonia* or psychos* or paranoid* or paranoia* or depersonalization*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derealization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Depressive Disorder/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Bipolar Disorder/ OR (Bipolar Disorder* or bipolar psych* or manic* or mania*).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Obsessive-Compulsive Disorder/ OR (Obsessive-Compulsive* or OCD*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anankastic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Anxiety Disorders/ OR anxiety*.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Delirium/ OR Delirium*.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Dementia/ OR (Dementia* or amentia*).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OR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Cognition Disorders/ OR (cognition disorder* or MCI* or cognitive impairment* or cognitive dysfunction* or cognitive-decline* or mental deterioration*).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.  OR (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dysexecutive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* or executive dysfunction*).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Mood Disorders/ OR (affective* or mood* or depressive* or depression* or melancholia* or dysphoric*).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Depressive Disorder, Major/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Depression/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Depressive Disorder, Treatment-Resistant/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Affective Disorders, Psychotic/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Attention Deficit Disorder with Hyperactivity/ OR (ADHD* or ADDH* or ADD* or Attention Deficit*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Hyperactiv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>* or Hyperkinetic* or Minimal Brain Dysfunction* or MBD*).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Tic Disorders/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Tourette Syndrome/ OR (tic-disorder* or Tourette*).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Autistic Disorder/ OR (Autism* or autistic*).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"Sleep Initiation and Maintenance Disorders"/ OR (("Sleep Initiation and Maintenance Disorders*") or insomnia*).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Mental Disorders/ OR (mental disorder* or psychiatric* or behavioral disorder*).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mp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.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Paranoid Disorders/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Schizophrenia/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Schizophrenia, Catatonic/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Schizophrenia, Disorganized/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Schizophrenia, Paranoid/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Shared Paranoid Disorder/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Delusional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Parasitosis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/ OR </w:t>
            </w:r>
            <w:proofErr w:type="spellStart"/>
            <w:r w:rsidRPr="00C43576">
              <w:rPr>
                <w:sz w:val="16"/>
                <w:szCs w:val="16"/>
                <w:lang w:val="en-US"/>
              </w:rPr>
              <w:t>exp</w:t>
            </w:r>
            <w:proofErr w:type="spellEnd"/>
            <w:r w:rsidRPr="00C43576">
              <w:rPr>
                <w:sz w:val="16"/>
                <w:szCs w:val="16"/>
                <w:lang w:val="en-US"/>
              </w:rPr>
              <w:t xml:space="preserve"> Schizophrenia, Childhood/</w:t>
            </w:r>
          </w:p>
        </w:tc>
      </w:tr>
    </w:tbl>
    <w:p w:rsidR="00C32B74" w:rsidRDefault="00C32B74" w:rsidP="00C43576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C43576" w:rsidRPr="00C43576" w:rsidRDefault="00C43576" w:rsidP="00C43576">
      <w:p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  <w:r w:rsidRPr="00C43576">
        <w:rPr>
          <w:rFonts w:ascii="Times New Roman" w:hAnsi="Times New Roman"/>
          <w:b/>
          <w:bCs/>
          <w:sz w:val="20"/>
          <w:szCs w:val="20"/>
          <w:lang w:val="en-US"/>
        </w:rPr>
        <w:t>Supplemental Table 1: Search strategy.</w:t>
      </w:r>
      <w:r w:rsidRPr="00C43576">
        <w:rPr>
          <w:rFonts w:ascii="Times New Roman" w:hAnsi="Times New Roman"/>
          <w:sz w:val="20"/>
          <w:szCs w:val="20"/>
          <w:lang w:val="en-US"/>
        </w:rPr>
        <w:t xml:space="preserve"> Abbreviations: </w:t>
      </w:r>
      <w:proofErr w:type="spellStart"/>
      <w:r w:rsidRPr="00C43576">
        <w:rPr>
          <w:rFonts w:ascii="Times New Roman" w:hAnsi="Times New Roman"/>
          <w:sz w:val="20"/>
          <w:szCs w:val="20"/>
          <w:lang w:val="en-US"/>
        </w:rPr>
        <w:t>mp</w:t>
      </w:r>
      <w:proofErr w:type="spellEnd"/>
      <w:r w:rsidRPr="00C43576">
        <w:rPr>
          <w:rFonts w:ascii="Times New Roman" w:hAnsi="Times New Roman"/>
          <w:sz w:val="20"/>
          <w:szCs w:val="20"/>
          <w:lang w:val="en-US"/>
        </w:rPr>
        <w:t xml:space="preserve"> = title, abstract, original title, name of substance word, subject heading word, keyword heading word, protocol supplementary concept word, rare disease supplementary concept word, unique identifier, synonyms.</w:t>
      </w:r>
    </w:p>
    <w:p w:rsidR="00C43576" w:rsidRDefault="00C43576" w:rsidP="00C4357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43576" w:rsidRDefault="00C43576" w:rsidP="00C4357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43576" w:rsidRDefault="00C43576" w:rsidP="00C4357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43576" w:rsidRDefault="00C43576" w:rsidP="00C4357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43576" w:rsidRDefault="00C43576" w:rsidP="00C43576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10206" w:type="dxa"/>
        <w:tblInd w:w="-5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1665"/>
        <w:gridCol w:w="1666"/>
        <w:gridCol w:w="1665"/>
        <w:gridCol w:w="1666"/>
      </w:tblGrid>
      <w:tr w:rsidR="00C43576" w:rsidTr="004E2051">
        <w:trPr>
          <w:trHeight w:val="664"/>
        </w:trPr>
        <w:tc>
          <w:tcPr>
            <w:tcW w:w="3544" w:type="dxa"/>
            <w:tcBorders>
              <w:top w:val="nil"/>
              <w:left w:val="nil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87A8E" w:rsidRDefault="00C43576" w:rsidP="003C2DEE">
            <w:pPr>
              <w:rPr>
                <w:lang w:val="en-US"/>
              </w:rPr>
            </w:pPr>
          </w:p>
        </w:tc>
        <w:tc>
          <w:tcPr>
            <w:tcW w:w="1665" w:type="dxa"/>
            <w:tcBorders>
              <w:top w:val="nil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lang w:val="en-US"/>
              </w:rPr>
            </w:pPr>
            <w:r w:rsidRPr="00C43576">
              <w:rPr>
                <w:b/>
                <w:bCs/>
                <w:lang w:val="en-US"/>
              </w:rPr>
              <w:t>Patients with anti-NMDA-R antibodies</w:t>
            </w:r>
          </w:p>
        </w:tc>
        <w:tc>
          <w:tcPr>
            <w:tcW w:w="1666" w:type="dxa"/>
            <w:tcBorders>
              <w:top w:val="nil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lang w:val="en-US"/>
              </w:rPr>
            </w:pPr>
            <w:r w:rsidRPr="00C43576">
              <w:rPr>
                <w:b/>
                <w:bCs/>
                <w:lang w:val="en-US"/>
              </w:rPr>
              <w:t>Patients with anti-VGKC antibodies</w:t>
            </w:r>
          </w:p>
        </w:tc>
        <w:tc>
          <w:tcPr>
            <w:tcW w:w="1665" w:type="dxa"/>
            <w:tcBorders>
              <w:top w:val="nil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lang w:val="en-US"/>
              </w:rPr>
            </w:pPr>
            <w:r w:rsidRPr="00C43576">
              <w:rPr>
                <w:b/>
                <w:bCs/>
                <w:lang w:val="en-US"/>
              </w:rPr>
              <w:t>Patients with anti-AMPA-R antibodies</w:t>
            </w:r>
          </w:p>
        </w:tc>
        <w:tc>
          <w:tcPr>
            <w:tcW w:w="1666" w:type="dxa"/>
            <w:tcBorders>
              <w:top w:val="nil"/>
              <w:left w:val="single" w:sz="2" w:space="0" w:color="D99594"/>
              <w:bottom w:val="single" w:sz="2" w:space="0" w:color="D9959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rPr>
                <w:b/>
                <w:bCs/>
              </w:rPr>
              <w:t xml:space="preserve">Other antineuronal </w:t>
            </w:r>
            <w:proofErr w:type="spellStart"/>
            <w:r>
              <w:rPr>
                <w:b/>
                <w:bCs/>
              </w:rPr>
              <w:t>antibodies</w:t>
            </w:r>
            <w:proofErr w:type="spellEnd"/>
            <w:r>
              <w:rPr>
                <w:b/>
                <w:bCs/>
              </w:rPr>
              <w:t xml:space="preserve"> * </w:t>
            </w:r>
          </w:p>
        </w:tc>
      </w:tr>
      <w:tr w:rsidR="00C43576" w:rsidTr="00C32B74">
        <w:trPr>
          <w:trHeight w:val="51"/>
        </w:trPr>
        <w:tc>
          <w:tcPr>
            <w:tcW w:w="3544" w:type="dxa"/>
            <w:tcBorders>
              <w:top w:val="single" w:sz="2" w:space="0" w:color="D99594"/>
              <w:left w:val="nil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lang w:val="en-US"/>
              </w:rPr>
            </w:pPr>
            <w:r w:rsidRPr="00C43576">
              <w:rPr>
                <w:b/>
                <w:bCs/>
                <w:lang w:val="en-US"/>
              </w:rPr>
              <w:t xml:space="preserve">Number of cases </w:t>
            </w:r>
            <w:r w:rsidRPr="00C43576">
              <w:rPr>
                <w:sz w:val="16"/>
                <w:szCs w:val="16"/>
                <w:lang w:val="en-US"/>
              </w:rPr>
              <w:t>(% per subgroup of patients with antibodies against cell surface antigens)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 xml:space="preserve">46 (58%) 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18 (23%)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12 (15%)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4 (5%)</w:t>
            </w:r>
          </w:p>
        </w:tc>
      </w:tr>
      <w:tr w:rsidR="00C43576" w:rsidTr="00EA7B44">
        <w:trPr>
          <w:trHeight w:val="442"/>
        </w:trPr>
        <w:tc>
          <w:tcPr>
            <w:tcW w:w="3544" w:type="dxa"/>
            <w:tcBorders>
              <w:top w:val="single" w:sz="2" w:space="0" w:color="D99594"/>
              <w:left w:val="nil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pPr>
              <w:rPr>
                <w:rFonts w:eastAsia="Times New Roman"/>
              </w:rPr>
            </w:pPr>
            <w:proofErr w:type="spellStart"/>
            <w:r>
              <w:rPr>
                <w:b/>
                <w:bCs/>
              </w:rPr>
              <w:t>Females</w:t>
            </w:r>
            <w:proofErr w:type="spellEnd"/>
            <w:r>
              <w:rPr>
                <w:b/>
                <w:bCs/>
              </w:rPr>
              <w:t xml:space="preserve"> (%): </w:t>
            </w:r>
          </w:p>
          <w:p w:rsidR="00C43576" w:rsidRDefault="00C43576" w:rsidP="003C2DEE">
            <w:r>
              <w:rPr>
                <w:b/>
                <w:bCs/>
              </w:rPr>
              <w:t>Males (%)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pPr>
              <w:rPr>
                <w:rFonts w:eastAsia="Times New Roman"/>
              </w:rPr>
            </w:pPr>
            <w:r>
              <w:t>26 (57%):</w:t>
            </w:r>
          </w:p>
          <w:p w:rsidR="00C43576" w:rsidRDefault="00C43576" w:rsidP="003C2DEE">
            <w:r>
              <w:t>20 (43%)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pPr>
              <w:rPr>
                <w:rFonts w:eastAsia="Times New Roman"/>
              </w:rPr>
            </w:pPr>
            <w:r>
              <w:t xml:space="preserve">10 (56%): </w:t>
            </w:r>
          </w:p>
          <w:p w:rsidR="00C43576" w:rsidRDefault="00C43576" w:rsidP="003C2DEE">
            <w:r>
              <w:t>8 (44%)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pPr>
              <w:rPr>
                <w:rFonts w:eastAsia="Times New Roman"/>
              </w:rPr>
            </w:pPr>
            <w:r>
              <w:t>10 (83%):</w:t>
            </w:r>
          </w:p>
          <w:p w:rsidR="00C43576" w:rsidRDefault="00C43576" w:rsidP="003C2DEE">
            <w:r>
              <w:t>2 (17%)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pPr>
              <w:rPr>
                <w:rFonts w:eastAsia="Times New Roman"/>
              </w:rPr>
            </w:pPr>
            <w:r>
              <w:t>3 (75%):</w:t>
            </w:r>
          </w:p>
          <w:p w:rsidR="00C43576" w:rsidRDefault="00C43576" w:rsidP="003C2DEE">
            <w:r>
              <w:t>1 (25%)</w:t>
            </w:r>
          </w:p>
        </w:tc>
      </w:tr>
      <w:tr w:rsidR="00C43576" w:rsidTr="004E2051">
        <w:trPr>
          <w:trHeight w:val="437"/>
        </w:trPr>
        <w:tc>
          <w:tcPr>
            <w:tcW w:w="3544" w:type="dxa"/>
            <w:tcBorders>
              <w:top w:val="single" w:sz="2" w:space="0" w:color="D99594"/>
              <w:left w:val="nil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lang w:val="en-US"/>
              </w:rPr>
            </w:pPr>
            <w:r w:rsidRPr="00C43576">
              <w:rPr>
                <w:b/>
                <w:bCs/>
                <w:lang w:val="en-US"/>
              </w:rPr>
              <w:t>Age ± SD in years (range)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29.45 ± 16.41 (</w:t>
            </w:r>
            <w:proofErr w:type="spellStart"/>
            <w:r>
              <w:t>from</w:t>
            </w:r>
            <w:proofErr w:type="spellEnd"/>
            <w:r>
              <w:t xml:space="preserve"> 2 </w:t>
            </w:r>
            <w:proofErr w:type="spellStart"/>
            <w:r>
              <w:t>to</w:t>
            </w:r>
            <w:proofErr w:type="spellEnd"/>
            <w:r>
              <w:t xml:space="preserve"> 71)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53.22 ± 24.39 (</w:t>
            </w:r>
            <w:proofErr w:type="spellStart"/>
            <w:r>
              <w:t>from</w:t>
            </w:r>
            <w:proofErr w:type="spellEnd"/>
            <w:r>
              <w:t xml:space="preserve"> 7 </w:t>
            </w:r>
            <w:proofErr w:type="spellStart"/>
            <w:r>
              <w:t>to</w:t>
            </w:r>
            <w:proofErr w:type="spellEnd"/>
            <w:r>
              <w:t xml:space="preserve"> 91)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59.8 ± 14.03 (</w:t>
            </w:r>
            <w:proofErr w:type="spellStart"/>
            <w:r>
              <w:t>from</w:t>
            </w:r>
            <w:proofErr w:type="spellEnd"/>
            <w:r>
              <w:t xml:space="preserve"> 35 </w:t>
            </w:r>
            <w:proofErr w:type="spellStart"/>
            <w:r>
              <w:t>to</w:t>
            </w:r>
            <w:proofErr w:type="spellEnd"/>
            <w:r>
              <w:t xml:space="preserve"> 81)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56.25 ± 11.09</w:t>
            </w:r>
            <w:r>
              <w:rPr>
                <w:shd w:val="clear" w:color="auto" w:fill="FFFF00"/>
              </w:rPr>
              <w:t xml:space="preserve"> </w:t>
            </w:r>
            <w:r>
              <w:t>(</w:t>
            </w:r>
            <w:proofErr w:type="spellStart"/>
            <w:r>
              <w:t>from</w:t>
            </w:r>
            <w:proofErr w:type="spellEnd"/>
            <w:r>
              <w:t xml:space="preserve"> 42 </w:t>
            </w:r>
            <w:proofErr w:type="spellStart"/>
            <w:r>
              <w:t>to</w:t>
            </w:r>
            <w:proofErr w:type="spellEnd"/>
            <w:r>
              <w:t xml:space="preserve"> 69)</w:t>
            </w:r>
          </w:p>
        </w:tc>
      </w:tr>
      <w:tr w:rsidR="00C43576" w:rsidTr="00C32B74">
        <w:trPr>
          <w:trHeight w:val="1195"/>
        </w:trPr>
        <w:tc>
          <w:tcPr>
            <w:tcW w:w="3544" w:type="dxa"/>
            <w:tcBorders>
              <w:top w:val="single" w:sz="2" w:space="0" w:color="D99594"/>
              <w:left w:val="nil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proofErr w:type="spellStart"/>
            <w:r>
              <w:rPr>
                <w:b/>
                <w:bCs/>
              </w:rPr>
              <w:t>Antibody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subtypes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(% per </w:t>
            </w:r>
            <w:proofErr w:type="spellStart"/>
            <w:r>
              <w:t>subgroup</w:t>
            </w:r>
            <w:proofErr w:type="spellEnd"/>
            <w:r>
              <w:t>)*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rFonts w:eastAsia="Times New Roman"/>
                <w:lang w:val="en-US"/>
              </w:rPr>
            </w:pPr>
            <w:proofErr w:type="spellStart"/>
            <w:r w:rsidRPr="00C43576">
              <w:rPr>
                <w:lang w:val="en-US"/>
              </w:rPr>
              <w:t>Glu</w:t>
            </w:r>
            <w:proofErr w:type="spellEnd"/>
            <w:r w:rsidRPr="00C43576">
              <w:rPr>
                <w:lang w:val="en-US"/>
              </w:rPr>
              <w:t xml:space="preserve"> NR1: 8 (17%)</w:t>
            </w:r>
          </w:p>
          <w:p w:rsidR="00C43576" w:rsidRPr="00C43576" w:rsidRDefault="00C43576" w:rsidP="003C2DEE">
            <w:pPr>
              <w:rPr>
                <w:rFonts w:eastAsia="Times New Roman"/>
                <w:lang w:val="en-US"/>
              </w:rPr>
            </w:pPr>
            <w:r w:rsidRPr="00C43576">
              <w:rPr>
                <w:lang w:val="en-US"/>
              </w:rPr>
              <w:t xml:space="preserve">Isolated </w:t>
            </w:r>
            <w:proofErr w:type="spellStart"/>
            <w:r w:rsidRPr="00C43576">
              <w:rPr>
                <w:lang w:val="en-US"/>
              </w:rPr>
              <w:t>Glu</w:t>
            </w:r>
            <w:proofErr w:type="spellEnd"/>
            <w:r w:rsidRPr="00C43576">
              <w:rPr>
                <w:lang w:val="en-US"/>
              </w:rPr>
              <w:t xml:space="preserve"> NR2: 5 (11%)</w:t>
            </w:r>
          </w:p>
          <w:p w:rsidR="00C43576" w:rsidRDefault="00C43576" w:rsidP="003C2DEE">
            <w:r>
              <w:t xml:space="preserve">Not </w:t>
            </w:r>
            <w:proofErr w:type="spellStart"/>
            <w:r>
              <w:t>reported</w:t>
            </w:r>
            <w:proofErr w:type="spellEnd"/>
            <w:r>
              <w:t>: 33 (72%)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rFonts w:eastAsia="Times New Roman"/>
                <w:lang w:val="en-US"/>
              </w:rPr>
            </w:pPr>
            <w:r w:rsidRPr="00C43576">
              <w:rPr>
                <w:lang w:val="en-US"/>
              </w:rPr>
              <w:t>LGI1: 4 (22%)</w:t>
            </w:r>
          </w:p>
          <w:p w:rsidR="00C43576" w:rsidRPr="00C43576" w:rsidRDefault="00C43576" w:rsidP="003C2DEE">
            <w:pPr>
              <w:rPr>
                <w:rFonts w:eastAsia="Times New Roman"/>
                <w:lang w:val="en-US"/>
              </w:rPr>
            </w:pPr>
            <w:r w:rsidRPr="00C43576">
              <w:rPr>
                <w:lang w:val="en-US"/>
              </w:rPr>
              <w:t>CASPR2: 0 (0%)</w:t>
            </w:r>
          </w:p>
          <w:p w:rsidR="00C43576" w:rsidRPr="00C43576" w:rsidRDefault="00C43576" w:rsidP="003C2DEE">
            <w:pPr>
              <w:rPr>
                <w:lang w:val="en-US"/>
              </w:rPr>
            </w:pPr>
            <w:r w:rsidRPr="00C43576">
              <w:rPr>
                <w:lang w:val="en-US"/>
              </w:rPr>
              <w:t>Differentiation not performed/</w:t>
            </w:r>
            <w:r w:rsidRPr="00C43576">
              <w:rPr>
                <w:shd w:val="clear" w:color="auto" w:fill="FFFF00"/>
                <w:lang w:val="en-US"/>
              </w:rPr>
              <w:t xml:space="preserve"> </w:t>
            </w:r>
            <w:proofErr w:type="gramStart"/>
            <w:r w:rsidRPr="00C43576">
              <w:rPr>
                <w:lang w:val="en-US"/>
              </w:rPr>
              <w:t>reported:</w:t>
            </w:r>
            <w:proofErr w:type="gramEnd"/>
            <w:r w:rsidRPr="00C43576">
              <w:rPr>
                <w:lang w:val="en-US"/>
              </w:rPr>
              <w:t xml:space="preserve"> 14</w:t>
            </w:r>
            <w:r w:rsidRPr="00C43576">
              <w:rPr>
                <w:shd w:val="clear" w:color="auto" w:fill="FFFF00"/>
                <w:lang w:val="en-US"/>
              </w:rPr>
              <w:t xml:space="preserve"> </w:t>
            </w:r>
            <w:r w:rsidRPr="00C43576">
              <w:rPr>
                <w:lang w:val="en-US"/>
              </w:rPr>
              <w:t>(78%)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lang w:val="en-US"/>
              </w:rPr>
            </w:pP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pPr>
              <w:rPr>
                <w:rFonts w:eastAsia="Times New Roman"/>
              </w:rPr>
            </w:pPr>
            <w:r>
              <w:t>AQP4: 1 (25%)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DPPX: 1 (25%)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GABA</w:t>
            </w:r>
            <w:r>
              <w:rPr>
                <w:vertAlign w:val="subscript"/>
              </w:rPr>
              <w:t>A</w:t>
            </w:r>
            <w:r>
              <w:t>: 1 (25%)</w:t>
            </w:r>
          </w:p>
          <w:p w:rsidR="00C43576" w:rsidRDefault="00C43576" w:rsidP="003C2DEE">
            <w:proofErr w:type="spellStart"/>
            <w:r>
              <w:t>Unknown</w:t>
            </w:r>
            <w:proofErr w:type="spellEnd"/>
            <w:r>
              <w:t>: 1 (25%)</w:t>
            </w:r>
          </w:p>
        </w:tc>
      </w:tr>
      <w:tr w:rsidR="00C43576" w:rsidTr="004E2051">
        <w:trPr>
          <w:trHeight w:val="57"/>
        </w:trPr>
        <w:tc>
          <w:tcPr>
            <w:tcW w:w="3544" w:type="dxa"/>
            <w:tcBorders>
              <w:top w:val="single" w:sz="2" w:space="0" w:color="D99594"/>
              <w:left w:val="nil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lang w:val="en-US"/>
              </w:rPr>
            </w:pPr>
            <w:r w:rsidRPr="00C43576">
              <w:rPr>
                <w:b/>
                <w:bCs/>
                <w:lang w:val="en-US"/>
              </w:rPr>
              <w:t>Antibody investigation in serum/CSF (reported)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pPr>
              <w:rPr>
                <w:rFonts w:eastAsia="Times New Roman"/>
              </w:rPr>
            </w:pPr>
            <w:r>
              <w:t>Serum: 36 (78%)</w:t>
            </w:r>
          </w:p>
          <w:p w:rsidR="00C43576" w:rsidRDefault="00C43576" w:rsidP="003C2DEE">
            <w:r>
              <w:t>CSF: 34 (74%)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pPr>
              <w:rPr>
                <w:rFonts w:eastAsia="Times New Roman"/>
              </w:rPr>
            </w:pPr>
            <w:r>
              <w:t>Serum: 18 (100%)</w:t>
            </w:r>
          </w:p>
          <w:p w:rsidR="00C43576" w:rsidRDefault="00C43576" w:rsidP="003C2DEE">
            <w:r>
              <w:t>CSF: 3 (17%)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pPr>
              <w:rPr>
                <w:rFonts w:eastAsia="Times New Roman"/>
              </w:rPr>
            </w:pPr>
            <w:r>
              <w:t>Serum: 12 (100%)</w:t>
            </w:r>
          </w:p>
          <w:p w:rsidR="00C43576" w:rsidRDefault="00C43576" w:rsidP="003C2DEE">
            <w:r>
              <w:t>CSF: 7 (58%)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pPr>
              <w:rPr>
                <w:rFonts w:eastAsia="Times New Roman"/>
              </w:rPr>
            </w:pPr>
            <w:r>
              <w:t>Serum: 4 (100%)</w:t>
            </w:r>
          </w:p>
          <w:p w:rsidR="00C43576" w:rsidRDefault="00C43576" w:rsidP="003C2DEE">
            <w:r>
              <w:t>CSF: 3 (75%)</w:t>
            </w:r>
          </w:p>
        </w:tc>
      </w:tr>
      <w:tr w:rsidR="00C43576" w:rsidRPr="00C32B74" w:rsidTr="00EA7B44">
        <w:trPr>
          <w:trHeight w:val="1102"/>
        </w:trPr>
        <w:tc>
          <w:tcPr>
            <w:tcW w:w="3544" w:type="dxa"/>
            <w:tcBorders>
              <w:top w:val="single" w:sz="2" w:space="0" w:color="D99594"/>
              <w:left w:val="nil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lang w:val="en-US"/>
              </w:rPr>
            </w:pPr>
            <w:r w:rsidRPr="00C43576">
              <w:rPr>
                <w:b/>
                <w:bCs/>
                <w:lang w:val="en-US"/>
              </w:rPr>
              <w:t>Antibody detection in serum/CSF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rFonts w:eastAsia="Times New Roman"/>
                <w:lang w:val="en-US"/>
              </w:rPr>
            </w:pPr>
            <w:r w:rsidRPr="00C43576">
              <w:rPr>
                <w:lang w:val="en-US"/>
              </w:rPr>
              <w:t>Serum: 30 from 34 (88%)</w:t>
            </w:r>
          </w:p>
          <w:p w:rsidR="00C43576" w:rsidRPr="00C43576" w:rsidRDefault="00C43576" w:rsidP="003C2DEE">
            <w:pPr>
              <w:rPr>
                <w:rFonts w:eastAsia="Times New Roman"/>
                <w:lang w:val="en-US"/>
              </w:rPr>
            </w:pPr>
            <w:r w:rsidRPr="00C43576">
              <w:rPr>
                <w:lang w:val="en-US"/>
              </w:rPr>
              <w:t>CSF: 31 from 34 (91%)</w:t>
            </w:r>
          </w:p>
          <w:p w:rsidR="00C43576" w:rsidRPr="00C43576" w:rsidRDefault="00C43576" w:rsidP="003C2DEE">
            <w:pPr>
              <w:rPr>
                <w:lang w:val="en-US"/>
              </w:rPr>
            </w:pPr>
            <w:r w:rsidRPr="00C43576">
              <w:rPr>
                <w:lang w:val="en-US"/>
              </w:rPr>
              <w:t>Unclear: 0 (0%)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rFonts w:eastAsia="Times New Roman"/>
                <w:lang w:val="en-US"/>
              </w:rPr>
            </w:pPr>
            <w:r w:rsidRPr="00C43576">
              <w:rPr>
                <w:lang w:val="en-US"/>
              </w:rPr>
              <w:t>Serum: 18 from 18 (100%)</w:t>
            </w:r>
          </w:p>
          <w:p w:rsidR="00C43576" w:rsidRPr="00C43576" w:rsidRDefault="00C43576" w:rsidP="003C2DEE">
            <w:pPr>
              <w:rPr>
                <w:rFonts w:eastAsia="Times New Roman"/>
                <w:lang w:val="en-US"/>
              </w:rPr>
            </w:pPr>
            <w:r w:rsidRPr="00C43576">
              <w:rPr>
                <w:lang w:val="en-US"/>
              </w:rPr>
              <w:t>CSF: 3 from 3 (100%)</w:t>
            </w:r>
          </w:p>
          <w:p w:rsidR="00C43576" w:rsidRPr="00C43576" w:rsidRDefault="00C43576" w:rsidP="003C2DEE">
            <w:pPr>
              <w:rPr>
                <w:lang w:val="en-US"/>
              </w:rPr>
            </w:pPr>
            <w:r w:rsidRPr="00C43576">
              <w:rPr>
                <w:lang w:val="en-US"/>
              </w:rPr>
              <w:t>Unclear: 0 (0%)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rFonts w:eastAsia="Times New Roman"/>
                <w:lang w:val="en-US"/>
              </w:rPr>
            </w:pPr>
            <w:r w:rsidRPr="00C43576">
              <w:rPr>
                <w:lang w:val="en-US"/>
              </w:rPr>
              <w:t>Serum: 6 from 12 (50%)</w:t>
            </w:r>
          </w:p>
          <w:p w:rsidR="00C43576" w:rsidRPr="00C43576" w:rsidRDefault="00C43576" w:rsidP="003C2DEE">
            <w:pPr>
              <w:rPr>
                <w:rFonts w:eastAsia="Times New Roman"/>
                <w:lang w:val="en-US"/>
              </w:rPr>
            </w:pPr>
            <w:r w:rsidRPr="00C43576">
              <w:rPr>
                <w:lang w:val="en-US"/>
              </w:rPr>
              <w:t>CSF: 1 from 7 (14%)</w:t>
            </w:r>
          </w:p>
          <w:p w:rsidR="00C43576" w:rsidRPr="00C43576" w:rsidRDefault="00C43576" w:rsidP="003C2DEE">
            <w:pPr>
              <w:rPr>
                <w:lang w:val="en-US"/>
              </w:rPr>
            </w:pPr>
            <w:r w:rsidRPr="00C43576">
              <w:rPr>
                <w:lang w:val="en-US"/>
              </w:rPr>
              <w:t>Unclear: 6 (50%)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rFonts w:eastAsia="Times New Roman"/>
                <w:lang w:val="en-US"/>
              </w:rPr>
            </w:pPr>
            <w:r w:rsidRPr="00C43576">
              <w:rPr>
                <w:lang w:val="en-US"/>
              </w:rPr>
              <w:t>Serum: 3 from 4 (75%)</w:t>
            </w:r>
          </w:p>
          <w:p w:rsidR="00C43576" w:rsidRPr="00C43576" w:rsidRDefault="00C43576" w:rsidP="003C2DEE">
            <w:pPr>
              <w:rPr>
                <w:rFonts w:eastAsia="Times New Roman"/>
                <w:lang w:val="en-US"/>
              </w:rPr>
            </w:pPr>
            <w:r w:rsidRPr="00C43576">
              <w:rPr>
                <w:lang w:val="en-US"/>
              </w:rPr>
              <w:t>CSF: 3 from 3 (100%)</w:t>
            </w:r>
          </w:p>
          <w:p w:rsidR="00C43576" w:rsidRPr="00C43576" w:rsidRDefault="00C43576" w:rsidP="003C2DEE">
            <w:pPr>
              <w:rPr>
                <w:lang w:val="en-US"/>
              </w:rPr>
            </w:pPr>
            <w:r w:rsidRPr="00C43576">
              <w:rPr>
                <w:lang w:val="en-US"/>
              </w:rPr>
              <w:t>Unclear: 0 (0%)</w:t>
            </w:r>
          </w:p>
        </w:tc>
      </w:tr>
      <w:tr w:rsidR="00C43576" w:rsidTr="004E2051">
        <w:trPr>
          <w:trHeight w:val="2202"/>
        </w:trPr>
        <w:tc>
          <w:tcPr>
            <w:tcW w:w="3544" w:type="dxa"/>
            <w:tcBorders>
              <w:top w:val="single" w:sz="2" w:space="0" w:color="D99594"/>
              <w:left w:val="nil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rFonts w:eastAsia="Times New Roman"/>
                <w:lang w:val="en-US"/>
              </w:rPr>
            </w:pPr>
            <w:r w:rsidRPr="00C43576">
              <w:rPr>
                <w:b/>
                <w:bCs/>
                <w:lang w:val="en-US"/>
              </w:rPr>
              <w:t xml:space="preserve">Syndromes </w:t>
            </w:r>
            <w:r w:rsidRPr="00C43576">
              <w:rPr>
                <w:lang w:val="en-US"/>
              </w:rPr>
              <w:t>(% per subgroup)</w:t>
            </w:r>
          </w:p>
          <w:p w:rsidR="00C43576" w:rsidRPr="00C43576" w:rsidRDefault="00C43576" w:rsidP="003C2DEE">
            <w:pPr>
              <w:rPr>
                <w:rFonts w:eastAsia="Times New Roman"/>
                <w:lang w:val="en-US"/>
              </w:rPr>
            </w:pPr>
            <w:r w:rsidRPr="00C43576">
              <w:rPr>
                <w:lang w:val="en-US"/>
              </w:rPr>
              <w:t xml:space="preserve">- </w:t>
            </w:r>
            <w:proofErr w:type="spellStart"/>
            <w:r w:rsidRPr="00C43576">
              <w:rPr>
                <w:lang w:val="en-US"/>
              </w:rPr>
              <w:t>Schizophreniform</w:t>
            </w:r>
            <w:proofErr w:type="spellEnd"/>
            <w:r w:rsidRPr="00C43576">
              <w:rPr>
                <w:lang w:val="en-US"/>
              </w:rPr>
              <w:t xml:space="preserve"> </w:t>
            </w:r>
          </w:p>
          <w:p w:rsidR="00C43576" w:rsidRPr="00C43576" w:rsidRDefault="00C43576" w:rsidP="003C2DEE">
            <w:pPr>
              <w:rPr>
                <w:rFonts w:eastAsia="Times New Roman"/>
                <w:lang w:val="en-US"/>
              </w:rPr>
            </w:pPr>
            <w:r w:rsidRPr="00C43576">
              <w:rPr>
                <w:lang w:val="en-US"/>
              </w:rPr>
              <w:t>- Amnestic/dementia-like</w:t>
            </w:r>
          </w:p>
          <w:p w:rsidR="00C43576" w:rsidRPr="00C43576" w:rsidRDefault="00C43576" w:rsidP="003C2DEE">
            <w:pPr>
              <w:rPr>
                <w:rFonts w:eastAsia="Times New Roman"/>
                <w:lang w:val="en-US"/>
              </w:rPr>
            </w:pPr>
            <w:r w:rsidRPr="00C43576">
              <w:rPr>
                <w:lang w:val="en-US"/>
              </w:rPr>
              <w:t xml:space="preserve">- </w:t>
            </w:r>
            <w:proofErr w:type="spellStart"/>
            <w:r w:rsidRPr="00C43576">
              <w:rPr>
                <w:lang w:val="en-US"/>
              </w:rPr>
              <w:t>Confusional</w:t>
            </w:r>
            <w:proofErr w:type="spellEnd"/>
            <w:r w:rsidRPr="00C43576">
              <w:rPr>
                <w:lang w:val="en-US"/>
              </w:rPr>
              <w:t xml:space="preserve"> </w:t>
            </w:r>
          </w:p>
          <w:p w:rsidR="00C43576" w:rsidRPr="00C43576" w:rsidRDefault="00C43576" w:rsidP="003C2DEE">
            <w:pPr>
              <w:rPr>
                <w:rFonts w:eastAsia="Times New Roman"/>
                <w:lang w:val="en-US"/>
              </w:rPr>
            </w:pPr>
            <w:r w:rsidRPr="00C43576">
              <w:rPr>
                <w:lang w:val="en-US"/>
              </w:rPr>
              <w:t>- Depressive</w:t>
            </w:r>
          </w:p>
          <w:p w:rsidR="00C43576" w:rsidRPr="00C43576" w:rsidRDefault="00C43576" w:rsidP="003C2DEE">
            <w:pPr>
              <w:rPr>
                <w:rFonts w:eastAsia="Times New Roman"/>
                <w:lang w:val="en-US"/>
              </w:rPr>
            </w:pPr>
            <w:r w:rsidRPr="00C43576">
              <w:rPr>
                <w:lang w:val="en-US"/>
              </w:rPr>
              <w:t xml:space="preserve">- Manic </w:t>
            </w:r>
          </w:p>
          <w:p w:rsidR="00C43576" w:rsidRPr="00C43576" w:rsidRDefault="00C43576" w:rsidP="003C2DEE">
            <w:pPr>
              <w:rPr>
                <w:rFonts w:eastAsia="Times New Roman"/>
                <w:lang w:val="en-US"/>
              </w:rPr>
            </w:pPr>
            <w:r w:rsidRPr="00C43576">
              <w:rPr>
                <w:lang w:val="en-US"/>
              </w:rPr>
              <w:t xml:space="preserve">- Tic </w:t>
            </w:r>
          </w:p>
          <w:p w:rsidR="00C43576" w:rsidRPr="00C43576" w:rsidRDefault="00C43576" w:rsidP="003C2DEE">
            <w:pPr>
              <w:rPr>
                <w:rFonts w:eastAsia="Times New Roman"/>
                <w:b/>
                <w:bCs/>
                <w:lang w:val="en-US"/>
              </w:rPr>
            </w:pPr>
            <w:r w:rsidRPr="00C43576">
              <w:rPr>
                <w:lang w:val="en-US"/>
              </w:rPr>
              <w:t xml:space="preserve">- Sleep-disturbance 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 xml:space="preserve">- </w:t>
            </w:r>
            <w:proofErr w:type="spellStart"/>
            <w:r>
              <w:t>Autistic</w:t>
            </w:r>
            <w:proofErr w:type="spellEnd"/>
          </w:p>
          <w:p w:rsidR="00C43576" w:rsidRDefault="00C43576" w:rsidP="003C2DEE">
            <w:r>
              <w:t xml:space="preserve">- </w:t>
            </w:r>
            <w:proofErr w:type="spellStart"/>
            <w:r>
              <w:t>Anxiety-compulsive</w:t>
            </w:r>
            <w:proofErr w:type="spellEnd"/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pPr>
              <w:rPr>
                <w:rFonts w:eastAsia="Times New Roman"/>
              </w:rPr>
            </w:pP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26 (57%)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4 (9%)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7 (15%)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4 (9%)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3 (7%)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0 (0%)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0 (0%)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2 (4%)</w:t>
            </w:r>
          </w:p>
          <w:p w:rsidR="00C43576" w:rsidRDefault="00C43576" w:rsidP="003C2DEE">
            <w:r>
              <w:t>0 (0%)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pPr>
              <w:rPr>
                <w:rFonts w:eastAsia="Times New Roman"/>
              </w:rPr>
            </w:pP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2 (11%)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13 (72%)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1 (6%)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1 (6%)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0 (0%)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0 (0%)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1 (6%)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0 (0%)</w:t>
            </w:r>
          </w:p>
          <w:p w:rsidR="00C43576" w:rsidRDefault="00C43576" w:rsidP="003C2DEE">
            <w:r>
              <w:t>0 (0%)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pPr>
              <w:rPr>
                <w:rFonts w:eastAsia="Times New Roman"/>
              </w:rPr>
            </w:pP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0 (0%)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9 (75%)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3 (25%)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(0%)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(0%)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(0%)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(0%)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(0%)</w:t>
            </w:r>
          </w:p>
          <w:p w:rsidR="00C43576" w:rsidRDefault="00C43576" w:rsidP="003C2DEE">
            <w:r>
              <w:t>(0%)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pPr>
              <w:rPr>
                <w:rFonts w:eastAsia="Times New Roman"/>
              </w:rPr>
            </w:pP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1 (25%)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2 (50%)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0 (0%)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0 (0%)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0 (0%)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0 (0%)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1 (25%)</w:t>
            </w:r>
          </w:p>
          <w:p w:rsidR="00C43576" w:rsidRDefault="00C43576" w:rsidP="003C2DEE">
            <w:pPr>
              <w:rPr>
                <w:rFonts w:eastAsia="Times New Roman"/>
              </w:rPr>
            </w:pPr>
            <w:r>
              <w:t>0 (0%)</w:t>
            </w:r>
          </w:p>
          <w:p w:rsidR="00C43576" w:rsidRDefault="00C43576" w:rsidP="003C2DEE">
            <w:r>
              <w:t>0 (0%)</w:t>
            </w:r>
          </w:p>
        </w:tc>
      </w:tr>
      <w:tr w:rsidR="00C43576" w:rsidTr="00EA7B44">
        <w:trPr>
          <w:trHeight w:val="32"/>
        </w:trPr>
        <w:tc>
          <w:tcPr>
            <w:tcW w:w="3544" w:type="dxa"/>
            <w:tcBorders>
              <w:top w:val="single" w:sz="2" w:space="0" w:color="D99594"/>
              <w:left w:val="nil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proofErr w:type="spellStart"/>
            <w:r>
              <w:rPr>
                <w:b/>
                <w:bCs/>
              </w:rPr>
              <w:t>Slight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neurological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symptoms</w:t>
            </w:r>
            <w:proofErr w:type="spellEnd"/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18 (39%)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7 (39%)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3 (25%)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1 (25%)</w:t>
            </w:r>
          </w:p>
        </w:tc>
      </w:tr>
      <w:tr w:rsidR="00C43576" w:rsidTr="004E2051">
        <w:trPr>
          <w:trHeight w:val="69"/>
        </w:trPr>
        <w:tc>
          <w:tcPr>
            <w:tcW w:w="3544" w:type="dxa"/>
            <w:tcBorders>
              <w:top w:val="single" w:sz="2" w:space="0" w:color="D99594"/>
              <w:left w:val="nil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lang w:val="en-US"/>
              </w:rPr>
            </w:pPr>
            <w:r w:rsidRPr="00C43576">
              <w:rPr>
                <w:b/>
                <w:bCs/>
                <w:lang w:val="en-US"/>
              </w:rPr>
              <w:t xml:space="preserve">CSF overall alterations </w:t>
            </w:r>
            <w:r w:rsidRPr="00C43576">
              <w:rPr>
                <w:lang w:val="en-US"/>
              </w:rPr>
              <w:t>(% of cases with reported CSF results)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38 (</w:t>
            </w:r>
            <w:proofErr w:type="spellStart"/>
            <w:r>
              <w:t>from</w:t>
            </w:r>
            <w:proofErr w:type="spellEnd"/>
            <w:r>
              <w:t xml:space="preserve"> 42; 90%) 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10 (</w:t>
            </w:r>
            <w:proofErr w:type="spellStart"/>
            <w:r>
              <w:t>from</w:t>
            </w:r>
            <w:proofErr w:type="spellEnd"/>
            <w:r>
              <w:t xml:space="preserve"> 14; 71%)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12 (</w:t>
            </w:r>
            <w:proofErr w:type="spellStart"/>
            <w:r>
              <w:t>from</w:t>
            </w:r>
            <w:proofErr w:type="spellEnd"/>
            <w:r>
              <w:t xml:space="preserve"> 12; 100%)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4 (</w:t>
            </w:r>
            <w:proofErr w:type="spellStart"/>
            <w:r>
              <w:t>from</w:t>
            </w:r>
            <w:proofErr w:type="spellEnd"/>
            <w:r>
              <w:t xml:space="preserve"> 4; 100%)</w:t>
            </w:r>
          </w:p>
        </w:tc>
      </w:tr>
      <w:tr w:rsidR="00C43576" w:rsidTr="00EA7B44">
        <w:trPr>
          <w:trHeight w:val="26"/>
        </w:trPr>
        <w:tc>
          <w:tcPr>
            <w:tcW w:w="3544" w:type="dxa"/>
            <w:tcBorders>
              <w:top w:val="single" w:sz="2" w:space="0" w:color="D99594"/>
              <w:left w:val="nil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lang w:val="en-US"/>
              </w:rPr>
            </w:pPr>
            <w:r w:rsidRPr="00C43576">
              <w:rPr>
                <w:b/>
                <w:bCs/>
                <w:lang w:val="en-US"/>
              </w:rPr>
              <w:t xml:space="preserve">EEG overall alterations </w:t>
            </w:r>
            <w:r w:rsidRPr="00C43576">
              <w:rPr>
                <w:lang w:val="en-US"/>
              </w:rPr>
              <w:t>(% of cases with reported EEG results)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18 (</w:t>
            </w:r>
            <w:proofErr w:type="spellStart"/>
            <w:r>
              <w:t>from</w:t>
            </w:r>
            <w:proofErr w:type="spellEnd"/>
            <w:r>
              <w:t xml:space="preserve"> 30; 60%)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7 (</w:t>
            </w:r>
            <w:proofErr w:type="spellStart"/>
            <w:r>
              <w:t>from</w:t>
            </w:r>
            <w:proofErr w:type="spellEnd"/>
            <w:r>
              <w:t xml:space="preserve"> 12; 58%)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 xml:space="preserve"> 9 (</w:t>
            </w:r>
            <w:proofErr w:type="spellStart"/>
            <w:r>
              <w:t>from</w:t>
            </w:r>
            <w:proofErr w:type="spellEnd"/>
            <w:r>
              <w:t xml:space="preserve"> 11; 82%)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1 (</w:t>
            </w:r>
            <w:proofErr w:type="spellStart"/>
            <w:r>
              <w:t>from</w:t>
            </w:r>
            <w:proofErr w:type="spellEnd"/>
            <w:r>
              <w:t xml:space="preserve"> 2; 50%)</w:t>
            </w:r>
          </w:p>
        </w:tc>
      </w:tr>
      <w:tr w:rsidR="00C43576" w:rsidTr="004E2051">
        <w:trPr>
          <w:trHeight w:val="26"/>
        </w:trPr>
        <w:tc>
          <w:tcPr>
            <w:tcW w:w="3544" w:type="dxa"/>
            <w:tcBorders>
              <w:top w:val="single" w:sz="2" w:space="0" w:color="D99594"/>
              <w:left w:val="nil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lang w:val="en-US"/>
              </w:rPr>
            </w:pPr>
            <w:r w:rsidRPr="00C43576">
              <w:rPr>
                <w:b/>
                <w:bCs/>
                <w:lang w:val="en-US"/>
              </w:rPr>
              <w:t xml:space="preserve">MRI overall alterations </w:t>
            </w:r>
            <w:r w:rsidRPr="00C43576">
              <w:rPr>
                <w:lang w:val="en-US"/>
              </w:rPr>
              <w:t>(% of cases with reported MRI results)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19 (</w:t>
            </w:r>
            <w:proofErr w:type="spellStart"/>
            <w:r>
              <w:t>from</w:t>
            </w:r>
            <w:proofErr w:type="spellEnd"/>
            <w:r>
              <w:t xml:space="preserve"> 43; 44%) 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10 (</w:t>
            </w:r>
            <w:proofErr w:type="spellStart"/>
            <w:r>
              <w:t>from</w:t>
            </w:r>
            <w:proofErr w:type="spellEnd"/>
            <w:r>
              <w:t xml:space="preserve"> 18; 56%)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9 (</w:t>
            </w:r>
            <w:proofErr w:type="spellStart"/>
            <w:r>
              <w:t>from</w:t>
            </w:r>
            <w:proofErr w:type="spellEnd"/>
            <w:r>
              <w:t xml:space="preserve"> 12; 75%)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3 (</w:t>
            </w:r>
            <w:proofErr w:type="spellStart"/>
            <w:r>
              <w:t>from</w:t>
            </w:r>
            <w:proofErr w:type="spellEnd"/>
            <w:r>
              <w:t xml:space="preserve"> 4; 75%)</w:t>
            </w:r>
          </w:p>
        </w:tc>
      </w:tr>
      <w:tr w:rsidR="00C43576" w:rsidTr="00EA7B44">
        <w:trPr>
          <w:trHeight w:val="437"/>
        </w:trPr>
        <w:tc>
          <w:tcPr>
            <w:tcW w:w="3544" w:type="dxa"/>
            <w:tcBorders>
              <w:top w:val="single" w:sz="2" w:space="0" w:color="D99594"/>
              <w:left w:val="nil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lang w:val="en-US"/>
              </w:rPr>
            </w:pPr>
            <w:r w:rsidRPr="00C43576">
              <w:rPr>
                <w:b/>
                <w:bCs/>
                <w:lang w:val="en-US"/>
              </w:rPr>
              <w:t xml:space="preserve">Tumor association overall </w:t>
            </w:r>
            <w:r w:rsidRPr="00C43576">
              <w:rPr>
                <w:lang w:val="en-US"/>
              </w:rPr>
              <w:t>(% per full group)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13 (28%)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3 (17%)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 xml:space="preserve"> 8 (67%)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1 (25%)</w:t>
            </w:r>
          </w:p>
        </w:tc>
      </w:tr>
      <w:tr w:rsidR="00C43576" w:rsidTr="004E2051">
        <w:trPr>
          <w:trHeight w:val="666"/>
        </w:trPr>
        <w:tc>
          <w:tcPr>
            <w:tcW w:w="3544" w:type="dxa"/>
            <w:tcBorders>
              <w:top w:val="single" w:sz="2" w:space="0" w:color="D99594"/>
              <w:left w:val="nil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C43576" w:rsidRDefault="00C43576" w:rsidP="003C2DEE">
            <w:pPr>
              <w:rPr>
                <w:lang w:val="en-US"/>
              </w:rPr>
            </w:pPr>
            <w:r w:rsidRPr="00C43576">
              <w:rPr>
                <w:b/>
                <w:bCs/>
                <w:lang w:val="en-US"/>
              </w:rPr>
              <w:t>Improvement through</w:t>
            </w:r>
            <w:r w:rsidRPr="00C43576">
              <w:rPr>
                <w:b/>
                <w:bCs/>
                <w:shd w:val="clear" w:color="auto" w:fill="FFFF00"/>
                <w:lang w:val="en-US"/>
              </w:rPr>
              <w:t xml:space="preserve"> </w:t>
            </w:r>
            <w:proofErr w:type="spellStart"/>
            <w:r w:rsidRPr="00C96148">
              <w:rPr>
                <w:b/>
                <w:bCs/>
                <w:lang w:val="en-US"/>
              </w:rPr>
              <w:t>immunomodulatory</w:t>
            </w:r>
            <w:proofErr w:type="spellEnd"/>
            <w:r w:rsidRPr="00C96148">
              <w:rPr>
                <w:b/>
                <w:bCs/>
                <w:lang w:val="en-US"/>
              </w:rPr>
              <w:t xml:space="preserve"> drugs in general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37 (</w:t>
            </w:r>
            <w:proofErr w:type="spellStart"/>
            <w:r>
              <w:t>from</w:t>
            </w:r>
            <w:proofErr w:type="spellEnd"/>
            <w:r>
              <w:t xml:space="preserve"> 40</w:t>
            </w:r>
            <w:r>
              <w:rPr>
                <w:shd w:val="clear" w:color="auto" w:fill="FFFF00"/>
              </w:rPr>
              <w:t xml:space="preserve"> </w:t>
            </w:r>
            <w:proofErr w:type="spellStart"/>
            <w:r>
              <w:t>treated</w:t>
            </w:r>
            <w:proofErr w:type="spellEnd"/>
            <w:r>
              <w:t xml:space="preserve"> </w:t>
            </w:r>
            <w:proofErr w:type="spellStart"/>
            <w:r>
              <w:t>patients</w:t>
            </w:r>
            <w:proofErr w:type="spellEnd"/>
            <w:r>
              <w:t>; 93%)</w:t>
            </w:r>
            <w:r>
              <w:rPr>
                <w:shd w:val="clear" w:color="auto" w:fill="FFFF00"/>
              </w:rPr>
              <w:t xml:space="preserve"> 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13 (</w:t>
            </w:r>
            <w:proofErr w:type="spellStart"/>
            <w:r>
              <w:t>from</w:t>
            </w:r>
            <w:proofErr w:type="spellEnd"/>
            <w:r>
              <w:t xml:space="preserve"> 15 </w:t>
            </w:r>
            <w:proofErr w:type="spellStart"/>
            <w:r>
              <w:t>treated</w:t>
            </w:r>
            <w:proofErr w:type="spellEnd"/>
            <w:r>
              <w:t xml:space="preserve"> </w:t>
            </w:r>
            <w:proofErr w:type="spellStart"/>
            <w:r>
              <w:t>patients</w:t>
            </w:r>
            <w:proofErr w:type="spellEnd"/>
            <w:r>
              <w:t>; 87%)</w:t>
            </w:r>
          </w:p>
        </w:tc>
        <w:tc>
          <w:tcPr>
            <w:tcW w:w="1665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single" w:sz="2" w:space="0" w:color="D9959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10 (</w:t>
            </w:r>
            <w:proofErr w:type="spellStart"/>
            <w:r>
              <w:t>from</w:t>
            </w:r>
            <w:proofErr w:type="spellEnd"/>
            <w:r>
              <w:t xml:space="preserve"> 11 </w:t>
            </w:r>
            <w:proofErr w:type="spellStart"/>
            <w:r>
              <w:t>treated</w:t>
            </w:r>
            <w:proofErr w:type="spellEnd"/>
            <w:r>
              <w:t xml:space="preserve"> </w:t>
            </w:r>
            <w:proofErr w:type="spellStart"/>
            <w:r>
              <w:t>patients</w:t>
            </w:r>
            <w:proofErr w:type="spellEnd"/>
            <w:r>
              <w:t>; 91%)</w:t>
            </w:r>
          </w:p>
        </w:tc>
        <w:tc>
          <w:tcPr>
            <w:tcW w:w="1666" w:type="dxa"/>
            <w:tcBorders>
              <w:top w:val="single" w:sz="2" w:space="0" w:color="D99594"/>
              <w:left w:val="single" w:sz="2" w:space="0" w:color="D99594"/>
              <w:bottom w:val="single" w:sz="2" w:space="0" w:color="D99594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Default="00C43576" w:rsidP="003C2DEE">
            <w:r>
              <w:t>4 (</w:t>
            </w:r>
            <w:proofErr w:type="spellStart"/>
            <w:r>
              <w:t>from</w:t>
            </w:r>
            <w:proofErr w:type="spellEnd"/>
            <w:r>
              <w:t xml:space="preserve"> 4 </w:t>
            </w:r>
            <w:proofErr w:type="spellStart"/>
            <w:r>
              <w:t>treated</w:t>
            </w:r>
            <w:proofErr w:type="spellEnd"/>
            <w:r>
              <w:rPr>
                <w:shd w:val="clear" w:color="auto" w:fill="FFFF00"/>
              </w:rPr>
              <w:t xml:space="preserve"> </w:t>
            </w:r>
            <w:proofErr w:type="spellStart"/>
            <w:r>
              <w:t>patients</w:t>
            </w:r>
            <w:proofErr w:type="spellEnd"/>
            <w:r>
              <w:t>; 100%)</w:t>
            </w:r>
          </w:p>
        </w:tc>
      </w:tr>
    </w:tbl>
    <w:p w:rsidR="00C43576" w:rsidRDefault="00C43576" w:rsidP="00C43576">
      <w:pPr>
        <w:widowContro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</w:rPr>
      </w:pPr>
    </w:p>
    <w:p w:rsidR="00C43576" w:rsidRPr="00C43576" w:rsidRDefault="00C43576" w:rsidP="00C43576">
      <w:pPr>
        <w:jc w:val="both"/>
        <w:rPr>
          <w:rFonts w:ascii="Times New Roman" w:hAnsi="Times New Roman"/>
          <w:sz w:val="20"/>
          <w:szCs w:val="20"/>
          <w:lang w:val="en-US"/>
        </w:rPr>
      </w:pPr>
      <w:bookmarkStart w:id="1" w:name="_Hlk7729124"/>
      <w:r w:rsidRPr="00C43576">
        <w:rPr>
          <w:rFonts w:ascii="Times New Roman" w:hAnsi="Times New Roman"/>
          <w:b/>
          <w:bCs/>
          <w:sz w:val="20"/>
          <w:szCs w:val="20"/>
          <w:lang w:val="en-US"/>
        </w:rPr>
        <w:t xml:space="preserve">Supplemental Table 2: </w:t>
      </w:r>
      <w:bookmarkEnd w:id="1"/>
      <w:r w:rsidRPr="00C43576">
        <w:rPr>
          <w:rFonts w:ascii="Times New Roman" w:hAnsi="Times New Roman"/>
          <w:b/>
          <w:bCs/>
          <w:sz w:val="20"/>
          <w:szCs w:val="20"/>
          <w:lang w:val="en-US"/>
        </w:rPr>
        <w:t xml:space="preserve">Findings in patients with established </w:t>
      </w:r>
      <w:proofErr w:type="spellStart"/>
      <w:r w:rsidRPr="00C43576">
        <w:rPr>
          <w:rFonts w:ascii="Times New Roman" w:hAnsi="Times New Roman"/>
          <w:b/>
          <w:bCs/>
          <w:sz w:val="20"/>
          <w:szCs w:val="20"/>
          <w:lang w:val="en-US"/>
        </w:rPr>
        <w:t>antineuronal</w:t>
      </w:r>
      <w:proofErr w:type="spellEnd"/>
      <w:r w:rsidRPr="00C43576">
        <w:rPr>
          <w:rFonts w:ascii="Times New Roman" w:hAnsi="Times New Roman"/>
          <w:b/>
          <w:bCs/>
          <w:sz w:val="20"/>
          <w:szCs w:val="20"/>
          <w:lang w:val="en-US"/>
        </w:rPr>
        <w:t xml:space="preserve"> antibodies.</w:t>
      </w:r>
      <w:r w:rsidRPr="00C43576">
        <w:rPr>
          <w:rFonts w:ascii="Times New Roman" w:hAnsi="Times New Roman"/>
          <w:sz w:val="20"/>
          <w:szCs w:val="20"/>
          <w:lang w:val="en-US"/>
        </w:rPr>
        <w:t xml:space="preserve"> Abbreviations: CSF, cerebrospinal fluid; EEG, electroencephalography, MRI, magnetic resonance imaging.</w:t>
      </w:r>
    </w:p>
    <w:p w:rsidR="00C43576" w:rsidRPr="00C43576" w:rsidRDefault="00C43576" w:rsidP="00C43576">
      <w:p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TableNormal"/>
        <w:tblW w:w="11199" w:type="dxa"/>
        <w:tblInd w:w="-993" w:type="dxa"/>
        <w:tblBorders>
          <w:bottom w:val="single" w:sz="2" w:space="0" w:color="D99594"/>
          <w:insideH w:val="single" w:sz="2" w:space="0" w:color="D99594"/>
          <w:insideV w:val="single" w:sz="2" w:space="0" w:color="D99594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87"/>
        <w:gridCol w:w="5812"/>
      </w:tblGrid>
      <w:tr w:rsidR="00C43576" w:rsidRPr="00C32B74" w:rsidTr="004E2051">
        <w:trPr>
          <w:trHeight w:val="25"/>
        </w:trPr>
        <w:tc>
          <w:tcPr>
            <w:tcW w:w="53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pPr>
              <w:rPr>
                <w:lang w:val="en-US"/>
              </w:rPr>
            </w:pPr>
          </w:p>
        </w:tc>
        <w:tc>
          <w:tcPr>
            <w:tcW w:w="58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pPr>
              <w:rPr>
                <w:lang w:val="en-US"/>
              </w:rPr>
            </w:pPr>
            <w:r w:rsidRPr="004E2051">
              <w:rPr>
                <w:b/>
                <w:bCs/>
                <w:lang w:val="en-US"/>
              </w:rPr>
              <w:t>Patients with exclusively psychiatric/ neurocognitive syndromes</w:t>
            </w:r>
          </w:p>
        </w:tc>
      </w:tr>
      <w:tr w:rsidR="00C43576" w:rsidTr="004E2051">
        <w:trPr>
          <w:trHeight w:val="54"/>
        </w:trPr>
        <w:tc>
          <w:tcPr>
            <w:tcW w:w="53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pPr>
              <w:rPr>
                <w:lang w:val="en-US"/>
              </w:rPr>
            </w:pPr>
            <w:r w:rsidRPr="004E2051">
              <w:rPr>
                <w:b/>
                <w:bCs/>
                <w:lang w:val="en-US"/>
              </w:rPr>
              <w:t xml:space="preserve">Number of cases </w:t>
            </w:r>
            <w:r w:rsidRPr="004E2051">
              <w:rPr>
                <w:lang w:val="en-US"/>
              </w:rPr>
              <w:t>(% per subgroup)</w:t>
            </w:r>
          </w:p>
        </w:tc>
        <w:tc>
          <w:tcPr>
            <w:tcW w:w="58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r w:rsidRPr="004E2051">
              <w:t xml:space="preserve">99 </w:t>
            </w:r>
            <w:proofErr w:type="spellStart"/>
            <w:r w:rsidRPr="004E2051">
              <w:t>from</w:t>
            </w:r>
            <w:proofErr w:type="spellEnd"/>
            <w:r w:rsidRPr="004E2051">
              <w:t xml:space="preserve"> 145 </w:t>
            </w:r>
            <w:proofErr w:type="spellStart"/>
            <w:r w:rsidRPr="004E2051">
              <w:t>included</w:t>
            </w:r>
            <w:proofErr w:type="spellEnd"/>
            <w:r w:rsidRPr="004E2051">
              <w:t xml:space="preserve"> </w:t>
            </w:r>
            <w:proofErr w:type="spellStart"/>
            <w:r w:rsidRPr="004E2051">
              <w:t>patients</w:t>
            </w:r>
            <w:proofErr w:type="spellEnd"/>
            <w:r w:rsidRPr="004E2051">
              <w:t xml:space="preserve"> (68%)</w:t>
            </w:r>
          </w:p>
        </w:tc>
      </w:tr>
      <w:tr w:rsidR="00C43576" w:rsidTr="004E2051">
        <w:trPr>
          <w:trHeight w:val="74"/>
        </w:trPr>
        <w:tc>
          <w:tcPr>
            <w:tcW w:w="53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proofErr w:type="spellStart"/>
            <w:r w:rsidRPr="004E2051">
              <w:rPr>
                <w:b/>
                <w:bCs/>
              </w:rPr>
              <w:t>Females</w:t>
            </w:r>
            <w:proofErr w:type="spellEnd"/>
            <w:r w:rsidRPr="004E2051">
              <w:rPr>
                <w:b/>
                <w:bCs/>
              </w:rPr>
              <w:t xml:space="preserve"> (%): Males (%)</w:t>
            </w:r>
          </w:p>
        </w:tc>
        <w:tc>
          <w:tcPr>
            <w:tcW w:w="58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r w:rsidRPr="004E2051">
              <w:t>65 (66%): 34 (34%)</w:t>
            </w:r>
          </w:p>
        </w:tc>
      </w:tr>
      <w:tr w:rsidR="00C43576" w:rsidTr="004E2051">
        <w:trPr>
          <w:trHeight w:val="222"/>
        </w:trPr>
        <w:tc>
          <w:tcPr>
            <w:tcW w:w="53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pPr>
              <w:rPr>
                <w:lang w:val="en-US"/>
              </w:rPr>
            </w:pPr>
            <w:r w:rsidRPr="004E2051">
              <w:rPr>
                <w:b/>
                <w:bCs/>
                <w:lang w:val="en-US"/>
              </w:rPr>
              <w:t>Age ± SD in years (range)</w:t>
            </w:r>
          </w:p>
        </w:tc>
        <w:tc>
          <w:tcPr>
            <w:tcW w:w="58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r w:rsidRPr="004E2051">
              <w:t>45.62 ± 22.57 (</w:t>
            </w:r>
            <w:proofErr w:type="spellStart"/>
            <w:r w:rsidRPr="004E2051">
              <w:t>from</w:t>
            </w:r>
            <w:proofErr w:type="spellEnd"/>
            <w:r w:rsidRPr="004E2051">
              <w:t xml:space="preserve"> 6 </w:t>
            </w:r>
            <w:proofErr w:type="spellStart"/>
            <w:r w:rsidRPr="004E2051">
              <w:t>to</w:t>
            </w:r>
            <w:proofErr w:type="spellEnd"/>
            <w:r w:rsidRPr="004E2051">
              <w:t xml:space="preserve"> 91 </w:t>
            </w:r>
            <w:proofErr w:type="spellStart"/>
            <w:r w:rsidRPr="004E2051">
              <w:t>years</w:t>
            </w:r>
            <w:proofErr w:type="spellEnd"/>
            <w:r w:rsidRPr="004E2051">
              <w:t>)</w:t>
            </w:r>
          </w:p>
        </w:tc>
      </w:tr>
      <w:tr w:rsidR="00C43576" w:rsidTr="004E2051">
        <w:trPr>
          <w:trHeight w:val="4182"/>
        </w:trPr>
        <w:tc>
          <w:tcPr>
            <w:tcW w:w="53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proofErr w:type="spellStart"/>
            <w:r w:rsidRPr="004E2051">
              <w:rPr>
                <w:b/>
                <w:bCs/>
              </w:rPr>
              <w:t>Antibody</w:t>
            </w:r>
            <w:proofErr w:type="spellEnd"/>
            <w:r w:rsidRPr="004E2051">
              <w:rPr>
                <w:b/>
                <w:bCs/>
              </w:rPr>
              <w:t xml:space="preserve"> </w:t>
            </w:r>
            <w:proofErr w:type="spellStart"/>
            <w:r w:rsidRPr="004E2051">
              <w:rPr>
                <w:b/>
                <w:bCs/>
              </w:rPr>
              <w:t>subtypes</w:t>
            </w:r>
            <w:proofErr w:type="spellEnd"/>
            <w:r w:rsidRPr="004E2051">
              <w:rPr>
                <w:b/>
                <w:bCs/>
              </w:rPr>
              <w:t xml:space="preserve"> </w:t>
            </w:r>
            <w:r w:rsidRPr="004E2051">
              <w:t xml:space="preserve">(% per </w:t>
            </w:r>
            <w:proofErr w:type="spellStart"/>
            <w:r w:rsidRPr="004E2051">
              <w:t>subgroup</w:t>
            </w:r>
            <w:proofErr w:type="spellEnd"/>
            <w:r w:rsidRPr="004E2051">
              <w:t>)*</w:t>
            </w:r>
          </w:p>
        </w:tc>
        <w:tc>
          <w:tcPr>
            <w:tcW w:w="58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pPr>
              <w:rPr>
                <w:lang w:val="en-US"/>
              </w:rPr>
            </w:pPr>
            <w:r w:rsidRPr="004E2051">
              <w:rPr>
                <w:lang w:val="en-US"/>
              </w:rPr>
              <w:t>Abs against cell surface antigens: 51 (52%)</w:t>
            </w:r>
          </w:p>
          <w:p w:rsidR="00C43576" w:rsidRPr="004E2051" w:rsidRDefault="00C43576" w:rsidP="00C43576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E2051">
              <w:rPr>
                <w:rFonts w:ascii="Times New Roman" w:hAnsi="Times New Roman"/>
                <w:color w:val="auto"/>
                <w:sz w:val="20"/>
                <w:szCs w:val="20"/>
              </w:rPr>
              <w:t>Anti-NMDA-R: 28 (55%)</w:t>
            </w:r>
          </w:p>
          <w:p w:rsidR="00C43576" w:rsidRPr="004E2051" w:rsidRDefault="00C43576" w:rsidP="00C43576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E2051">
              <w:rPr>
                <w:rFonts w:ascii="Times New Roman" w:hAnsi="Times New Roman"/>
                <w:color w:val="auto"/>
                <w:sz w:val="20"/>
                <w:szCs w:val="20"/>
              </w:rPr>
              <w:t>Anti-VGKC: 11 (22%) **</w:t>
            </w:r>
          </w:p>
          <w:p w:rsidR="00C43576" w:rsidRPr="004E2051" w:rsidRDefault="00C43576" w:rsidP="003C2DEE">
            <w:pPr>
              <w:pStyle w:val="Listenabsatz"/>
              <w:ind w:left="1405"/>
              <w:rPr>
                <w:color w:val="auto"/>
              </w:rPr>
            </w:pPr>
            <w:r w:rsidRPr="004E2051">
              <w:rPr>
                <w:rFonts w:ascii="Times New Roman" w:hAnsi="Times New Roman"/>
                <w:color w:val="auto"/>
                <w:sz w:val="20"/>
                <w:szCs w:val="20"/>
              </w:rPr>
              <w:t>- LGI1: 3 (6%)</w:t>
            </w:r>
          </w:p>
          <w:p w:rsidR="00C43576" w:rsidRPr="004E2051" w:rsidRDefault="00C43576" w:rsidP="00C4357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E2051">
              <w:rPr>
                <w:rFonts w:ascii="Times New Roman" w:hAnsi="Times New Roman"/>
                <w:color w:val="auto"/>
                <w:sz w:val="20"/>
                <w:szCs w:val="20"/>
              </w:rPr>
              <w:t>Anti-AMPA: 9 (18%)</w:t>
            </w:r>
          </w:p>
          <w:p w:rsidR="00C43576" w:rsidRPr="004E2051" w:rsidRDefault="00C43576" w:rsidP="00C4357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E2051">
              <w:rPr>
                <w:rFonts w:ascii="Times New Roman" w:hAnsi="Times New Roman"/>
                <w:color w:val="auto"/>
                <w:sz w:val="20"/>
                <w:szCs w:val="20"/>
              </w:rPr>
              <w:t>Anti-GABA</w:t>
            </w:r>
            <w:r w:rsidRPr="004E2051">
              <w:rPr>
                <w:rFonts w:ascii="Times New Roman" w:hAnsi="Times New Roman"/>
                <w:color w:val="auto"/>
                <w:sz w:val="20"/>
                <w:szCs w:val="20"/>
                <w:vertAlign w:val="subscript"/>
              </w:rPr>
              <w:t>A</w:t>
            </w:r>
            <w:r w:rsidRPr="004E2051">
              <w:rPr>
                <w:rFonts w:ascii="Times New Roman" w:hAnsi="Times New Roman"/>
                <w:color w:val="auto"/>
                <w:sz w:val="20"/>
                <w:szCs w:val="20"/>
              </w:rPr>
              <w:t>: 1 (2%)</w:t>
            </w:r>
          </w:p>
          <w:p w:rsidR="00C43576" w:rsidRPr="004E2051" w:rsidRDefault="00C43576" w:rsidP="00C4357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E2051">
              <w:rPr>
                <w:rFonts w:ascii="Times New Roman" w:hAnsi="Times New Roman"/>
                <w:color w:val="auto"/>
                <w:sz w:val="20"/>
                <w:szCs w:val="20"/>
              </w:rPr>
              <w:t>Anti-DPPX: 1 (2%)</w:t>
            </w:r>
          </w:p>
          <w:p w:rsidR="00C43576" w:rsidRPr="004E2051" w:rsidRDefault="00C43576" w:rsidP="00C4357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E2051">
              <w:rPr>
                <w:rFonts w:ascii="Times New Roman" w:hAnsi="Times New Roman"/>
                <w:color w:val="auto"/>
                <w:sz w:val="20"/>
                <w:szCs w:val="20"/>
              </w:rPr>
              <w:t>Unknown: 1 (2%)</w:t>
            </w:r>
          </w:p>
          <w:p w:rsidR="00C43576" w:rsidRPr="004E2051" w:rsidRDefault="00C43576" w:rsidP="003C2DEE">
            <w:proofErr w:type="spellStart"/>
            <w:r w:rsidRPr="004E2051">
              <w:t>Abs</w:t>
            </w:r>
            <w:proofErr w:type="spellEnd"/>
            <w:r w:rsidRPr="004E2051">
              <w:t xml:space="preserve"> </w:t>
            </w:r>
            <w:proofErr w:type="spellStart"/>
            <w:r w:rsidRPr="004E2051">
              <w:t>against</w:t>
            </w:r>
            <w:proofErr w:type="spellEnd"/>
            <w:r w:rsidRPr="004E2051">
              <w:t xml:space="preserve"> </w:t>
            </w:r>
            <w:proofErr w:type="spellStart"/>
            <w:r w:rsidRPr="004E2051">
              <w:t>intracellular</w:t>
            </w:r>
            <w:proofErr w:type="spellEnd"/>
            <w:r w:rsidRPr="004E2051">
              <w:t xml:space="preserve"> </w:t>
            </w:r>
            <w:proofErr w:type="spellStart"/>
            <w:r w:rsidRPr="004E2051">
              <w:t>antigens</w:t>
            </w:r>
            <w:proofErr w:type="spellEnd"/>
            <w:r w:rsidRPr="004E2051">
              <w:t>: 13 (13%)</w:t>
            </w:r>
          </w:p>
          <w:p w:rsidR="00C43576" w:rsidRPr="004E2051" w:rsidRDefault="00C43576" w:rsidP="00C4357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E2051">
              <w:rPr>
                <w:rFonts w:ascii="Times New Roman" w:hAnsi="Times New Roman"/>
                <w:color w:val="auto"/>
                <w:sz w:val="20"/>
                <w:szCs w:val="20"/>
              </w:rPr>
              <w:t>Anti-GAD65: 1 (7%)</w:t>
            </w:r>
          </w:p>
          <w:p w:rsidR="00C43576" w:rsidRPr="004E2051" w:rsidRDefault="00C43576" w:rsidP="00C4357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E2051">
              <w:rPr>
                <w:rFonts w:ascii="Times New Roman" w:hAnsi="Times New Roman"/>
                <w:color w:val="auto"/>
                <w:sz w:val="20"/>
                <w:szCs w:val="20"/>
              </w:rPr>
              <w:t>Anti-Ma1/2: 3 (23%)</w:t>
            </w:r>
          </w:p>
          <w:p w:rsidR="00C43576" w:rsidRPr="004E2051" w:rsidRDefault="00C43576" w:rsidP="00C4357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E2051">
              <w:rPr>
                <w:rFonts w:ascii="Times New Roman" w:hAnsi="Times New Roman"/>
                <w:color w:val="auto"/>
                <w:sz w:val="20"/>
                <w:szCs w:val="20"/>
              </w:rPr>
              <w:t>Anti-</w:t>
            </w:r>
            <w:proofErr w:type="spellStart"/>
            <w:r w:rsidRPr="004E2051">
              <w:rPr>
                <w:rFonts w:ascii="Times New Roman" w:hAnsi="Times New Roman"/>
                <w:color w:val="auto"/>
                <w:sz w:val="20"/>
                <w:szCs w:val="20"/>
              </w:rPr>
              <w:t>Ri</w:t>
            </w:r>
            <w:proofErr w:type="spellEnd"/>
            <w:r w:rsidRPr="004E2051">
              <w:rPr>
                <w:rFonts w:ascii="Times New Roman" w:hAnsi="Times New Roman"/>
                <w:color w:val="auto"/>
                <w:sz w:val="20"/>
                <w:szCs w:val="20"/>
              </w:rPr>
              <w:t>: 2 (15%)</w:t>
            </w:r>
          </w:p>
          <w:p w:rsidR="00C43576" w:rsidRPr="004E2051" w:rsidRDefault="00C43576" w:rsidP="00C4357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E2051">
              <w:rPr>
                <w:rFonts w:ascii="Times New Roman" w:hAnsi="Times New Roman"/>
                <w:color w:val="auto"/>
                <w:sz w:val="20"/>
                <w:szCs w:val="20"/>
              </w:rPr>
              <w:t>Anti-Hu: 1 (7%)</w:t>
            </w:r>
          </w:p>
          <w:p w:rsidR="00C43576" w:rsidRPr="004E2051" w:rsidRDefault="00C43576" w:rsidP="00C4357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E2051">
              <w:rPr>
                <w:rFonts w:ascii="Times New Roman" w:hAnsi="Times New Roman"/>
                <w:color w:val="auto"/>
                <w:sz w:val="20"/>
                <w:szCs w:val="20"/>
              </w:rPr>
              <w:t>Anti-AK5: 5 (38%)</w:t>
            </w:r>
          </w:p>
          <w:p w:rsidR="00C43576" w:rsidRPr="004E2051" w:rsidRDefault="00C43576" w:rsidP="00C4357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E2051">
              <w:rPr>
                <w:rFonts w:ascii="Times New Roman" w:hAnsi="Times New Roman"/>
                <w:color w:val="auto"/>
                <w:sz w:val="20"/>
                <w:szCs w:val="20"/>
              </w:rPr>
              <w:t>Anti-BRSK2: 1 (7%)</w:t>
            </w:r>
          </w:p>
          <w:p w:rsidR="00C43576" w:rsidRPr="004E2051" w:rsidRDefault="00C43576" w:rsidP="003C2DEE">
            <w:r w:rsidRPr="004E2051">
              <w:t xml:space="preserve">Hashimoto </w:t>
            </w:r>
            <w:proofErr w:type="spellStart"/>
            <w:r w:rsidRPr="004E2051">
              <w:t>encephalopathy</w:t>
            </w:r>
            <w:proofErr w:type="spellEnd"/>
            <w:r w:rsidRPr="004E2051">
              <w:t>/SREAT: 35 (35%)</w:t>
            </w:r>
          </w:p>
          <w:p w:rsidR="00C43576" w:rsidRPr="004E2051" w:rsidRDefault="00C43576" w:rsidP="00C4357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E2051">
              <w:rPr>
                <w:rFonts w:ascii="Times New Roman" w:hAnsi="Times New Roman"/>
                <w:color w:val="auto"/>
                <w:sz w:val="20"/>
                <w:szCs w:val="20"/>
              </w:rPr>
              <w:t>Anti-TPO: 14 (40%)</w:t>
            </w:r>
          </w:p>
          <w:p w:rsidR="00C43576" w:rsidRPr="004E2051" w:rsidRDefault="00C43576" w:rsidP="00C4357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E2051">
              <w:rPr>
                <w:rFonts w:ascii="Times New Roman" w:hAnsi="Times New Roman"/>
                <w:color w:val="auto"/>
                <w:sz w:val="20"/>
                <w:szCs w:val="20"/>
              </w:rPr>
              <w:t>Anti-TG: 1 (3%)</w:t>
            </w:r>
          </w:p>
          <w:p w:rsidR="00C43576" w:rsidRPr="004E2051" w:rsidRDefault="00C43576" w:rsidP="00C43576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E2051">
              <w:rPr>
                <w:rFonts w:ascii="Times New Roman" w:hAnsi="Times New Roman"/>
                <w:color w:val="auto"/>
                <w:sz w:val="20"/>
                <w:szCs w:val="20"/>
              </w:rPr>
              <w:t>Anti-TPO+TG: 19 (54%)</w:t>
            </w:r>
          </w:p>
        </w:tc>
      </w:tr>
      <w:tr w:rsidR="00C43576" w:rsidTr="004E2051">
        <w:trPr>
          <w:trHeight w:val="217"/>
        </w:trPr>
        <w:tc>
          <w:tcPr>
            <w:tcW w:w="53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pPr>
              <w:rPr>
                <w:lang w:val="en-US"/>
              </w:rPr>
            </w:pPr>
            <w:r w:rsidRPr="004E2051">
              <w:rPr>
                <w:b/>
                <w:bCs/>
                <w:lang w:val="en-US"/>
              </w:rPr>
              <w:t>Antibody investigation in serum/CSF</w:t>
            </w:r>
          </w:p>
        </w:tc>
        <w:tc>
          <w:tcPr>
            <w:tcW w:w="58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r w:rsidRPr="004E2051">
              <w:t>Serum: 95 (96%)/ CSF: 53 (54%)</w:t>
            </w:r>
          </w:p>
        </w:tc>
      </w:tr>
      <w:tr w:rsidR="00C43576" w:rsidRPr="00C32B74" w:rsidTr="004E2051">
        <w:trPr>
          <w:trHeight w:val="32"/>
        </w:trPr>
        <w:tc>
          <w:tcPr>
            <w:tcW w:w="53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pPr>
              <w:rPr>
                <w:lang w:val="en-US"/>
              </w:rPr>
            </w:pPr>
            <w:r w:rsidRPr="004E2051">
              <w:rPr>
                <w:b/>
                <w:bCs/>
                <w:lang w:val="en-US"/>
              </w:rPr>
              <w:t>Antibody detection in serum/CSF</w:t>
            </w:r>
          </w:p>
        </w:tc>
        <w:tc>
          <w:tcPr>
            <w:tcW w:w="58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pPr>
              <w:rPr>
                <w:lang w:val="en-US"/>
              </w:rPr>
            </w:pPr>
            <w:r w:rsidRPr="004E2051">
              <w:rPr>
                <w:lang w:val="en-US"/>
              </w:rPr>
              <w:t>Serum: 80 from 95 (84%)/CSF: 37 from 53 (70%)/Unclear: 6 (6%)</w:t>
            </w:r>
          </w:p>
        </w:tc>
      </w:tr>
      <w:tr w:rsidR="00C43576" w:rsidTr="004E2051">
        <w:trPr>
          <w:trHeight w:val="2032"/>
        </w:trPr>
        <w:tc>
          <w:tcPr>
            <w:tcW w:w="53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pPr>
              <w:rPr>
                <w:rFonts w:eastAsia="Times New Roman"/>
              </w:rPr>
            </w:pPr>
            <w:proofErr w:type="spellStart"/>
            <w:r w:rsidRPr="004E2051">
              <w:rPr>
                <w:b/>
                <w:bCs/>
              </w:rPr>
              <w:t>Syndromes</w:t>
            </w:r>
            <w:proofErr w:type="spellEnd"/>
            <w:r w:rsidRPr="004E2051">
              <w:rPr>
                <w:b/>
                <w:bCs/>
              </w:rPr>
              <w:t xml:space="preserve"> </w:t>
            </w:r>
            <w:r w:rsidRPr="004E2051">
              <w:t xml:space="preserve">(% per </w:t>
            </w:r>
            <w:proofErr w:type="spellStart"/>
            <w:r w:rsidRPr="004E2051">
              <w:t>subgroup</w:t>
            </w:r>
            <w:proofErr w:type="spellEnd"/>
            <w:r w:rsidRPr="004E2051">
              <w:t>)</w:t>
            </w:r>
          </w:p>
          <w:p w:rsidR="00C43576" w:rsidRPr="004E2051" w:rsidRDefault="00C43576" w:rsidP="003C2DEE">
            <w:r w:rsidRPr="004E2051">
              <w:rPr>
                <w:shd w:val="clear" w:color="auto" w:fill="FFFF00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pPr>
              <w:rPr>
                <w:rFonts w:eastAsia="Times New Roman"/>
                <w:b/>
                <w:bCs/>
                <w:shd w:val="clear" w:color="auto" w:fill="FFFF00"/>
                <w:lang w:val="en-US"/>
              </w:rPr>
            </w:pPr>
            <w:proofErr w:type="spellStart"/>
            <w:r w:rsidRPr="004E2051">
              <w:rPr>
                <w:lang w:val="en-US"/>
              </w:rPr>
              <w:t>Schizophreniform</w:t>
            </w:r>
            <w:proofErr w:type="spellEnd"/>
            <w:r w:rsidRPr="004E2051">
              <w:rPr>
                <w:lang w:val="en-US"/>
              </w:rPr>
              <w:t>: 29 (29%)</w:t>
            </w:r>
            <w:r w:rsidRPr="004E2051">
              <w:rPr>
                <w:shd w:val="clear" w:color="auto" w:fill="FFFF00"/>
                <w:lang w:val="en-US"/>
              </w:rPr>
              <w:t xml:space="preserve"> </w:t>
            </w:r>
          </w:p>
          <w:p w:rsidR="00C43576" w:rsidRPr="004E2051" w:rsidRDefault="00C43576" w:rsidP="003C2DEE">
            <w:pPr>
              <w:rPr>
                <w:rFonts w:eastAsia="Times New Roman"/>
                <w:b/>
                <w:bCs/>
                <w:shd w:val="clear" w:color="auto" w:fill="FFFF00"/>
                <w:lang w:val="en-US"/>
              </w:rPr>
            </w:pPr>
            <w:r w:rsidRPr="004E2051">
              <w:rPr>
                <w:lang w:val="en-US"/>
              </w:rPr>
              <w:t>Amnestic/dementia-like: 48 (48%)</w:t>
            </w:r>
            <w:r w:rsidRPr="004E2051">
              <w:rPr>
                <w:shd w:val="clear" w:color="auto" w:fill="FFFF00"/>
                <w:lang w:val="en-US"/>
              </w:rPr>
              <w:t xml:space="preserve"> </w:t>
            </w:r>
          </w:p>
          <w:p w:rsidR="00C43576" w:rsidRPr="004E2051" w:rsidRDefault="00C43576" w:rsidP="003C2DEE">
            <w:pPr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4E2051">
              <w:rPr>
                <w:lang w:val="en-US"/>
              </w:rPr>
              <w:t>Confusional</w:t>
            </w:r>
            <w:proofErr w:type="spellEnd"/>
            <w:r w:rsidRPr="004E2051">
              <w:rPr>
                <w:lang w:val="en-US"/>
              </w:rPr>
              <w:t>: 10 (10%)</w:t>
            </w:r>
          </w:p>
          <w:p w:rsidR="00C43576" w:rsidRPr="004E2051" w:rsidRDefault="00C43576" w:rsidP="003C2DEE">
            <w:pPr>
              <w:rPr>
                <w:rFonts w:eastAsia="Times New Roman"/>
                <w:b/>
                <w:bCs/>
                <w:lang w:val="en-US"/>
              </w:rPr>
            </w:pPr>
            <w:r w:rsidRPr="004E2051">
              <w:rPr>
                <w:lang w:val="en-US"/>
              </w:rPr>
              <w:t>Depressive: 5 (5%)</w:t>
            </w:r>
          </w:p>
          <w:p w:rsidR="00C43576" w:rsidRPr="004E2051" w:rsidRDefault="00C43576" w:rsidP="003C2DEE">
            <w:pPr>
              <w:rPr>
                <w:rFonts w:eastAsia="Times New Roman"/>
                <w:b/>
                <w:bCs/>
                <w:lang w:val="en-US"/>
              </w:rPr>
            </w:pPr>
            <w:r w:rsidRPr="004E2051">
              <w:rPr>
                <w:lang w:val="en-US"/>
              </w:rPr>
              <w:t>Manic: 5 (5%)</w:t>
            </w:r>
          </w:p>
          <w:p w:rsidR="00C43576" w:rsidRPr="004E2051" w:rsidRDefault="00C43576" w:rsidP="003C2DEE">
            <w:pPr>
              <w:rPr>
                <w:rFonts w:eastAsia="Times New Roman"/>
                <w:b/>
                <w:bCs/>
                <w:lang w:val="en-US"/>
              </w:rPr>
            </w:pPr>
            <w:r w:rsidRPr="004E2051">
              <w:rPr>
                <w:lang w:val="en-US"/>
              </w:rPr>
              <w:t>Tic: 1 (1%)</w:t>
            </w:r>
          </w:p>
          <w:p w:rsidR="00C43576" w:rsidRPr="004E2051" w:rsidRDefault="00C43576" w:rsidP="003C2DEE">
            <w:pPr>
              <w:rPr>
                <w:rFonts w:eastAsia="Times New Roman"/>
                <w:lang w:val="en-US"/>
              </w:rPr>
            </w:pPr>
            <w:r w:rsidRPr="004E2051">
              <w:rPr>
                <w:lang w:val="en-US"/>
              </w:rPr>
              <w:t xml:space="preserve">Sleep-disturbance: 0 (0%) </w:t>
            </w:r>
          </w:p>
          <w:p w:rsidR="00C43576" w:rsidRPr="004E2051" w:rsidRDefault="00C43576" w:rsidP="003C2DEE">
            <w:pPr>
              <w:rPr>
                <w:rFonts w:eastAsia="Times New Roman"/>
                <w:b/>
                <w:bCs/>
              </w:rPr>
            </w:pPr>
            <w:proofErr w:type="spellStart"/>
            <w:r w:rsidRPr="004E2051">
              <w:t>Autistic</w:t>
            </w:r>
            <w:proofErr w:type="spellEnd"/>
            <w:r w:rsidRPr="004E2051">
              <w:t>: 0 (0%)</w:t>
            </w:r>
          </w:p>
          <w:p w:rsidR="00C43576" w:rsidRPr="004E2051" w:rsidRDefault="00C43576" w:rsidP="003C2DEE">
            <w:proofErr w:type="spellStart"/>
            <w:r w:rsidRPr="004E2051">
              <w:t>Anxiety-compulsive</w:t>
            </w:r>
            <w:proofErr w:type="spellEnd"/>
            <w:r w:rsidRPr="004E2051">
              <w:t>: 1 (1%)</w:t>
            </w:r>
          </w:p>
        </w:tc>
      </w:tr>
      <w:tr w:rsidR="00C43576" w:rsidTr="004E2051">
        <w:trPr>
          <w:trHeight w:val="32"/>
        </w:trPr>
        <w:tc>
          <w:tcPr>
            <w:tcW w:w="53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pPr>
              <w:rPr>
                <w:lang w:val="en-US"/>
              </w:rPr>
            </w:pPr>
            <w:r w:rsidRPr="004E2051">
              <w:rPr>
                <w:b/>
                <w:bCs/>
                <w:lang w:val="en-US"/>
              </w:rPr>
              <w:t xml:space="preserve">CSF overall alterations </w:t>
            </w:r>
            <w:r w:rsidRPr="004E2051">
              <w:rPr>
                <w:lang w:val="en-US"/>
              </w:rPr>
              <w:t>(% of cases with reported CSF results)</w:t>
            </w:r>
          </w:p>
        </w:tc>
        <w:tc>
          <w:tcPr>
            <w:tcW w:w="58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r w:rsidRPr="004E2051">
              <w:t>67 (</w:t>
            </w:r>
            <w:proofErr w:type="spellStart"/>
            <w:r w:rsidRPr="004E2051">
              <w:t>from</w:t>
            </w:r>
            <w:proofErr w:type="spellEnd"/>
            <w:r w:rsidRPr="004E2051">
              <w:t xml:space="preserve"> 86; 78%)</w:t>
            </w:r>
          </w:p>
        </w:tc>
      </w:tr>
      <w:tr w:rsidR="00C43576" w:rsidTr="004E2051">
        <w:trPr>
          <w:trHeight w:val="32"/>
        </w:trPr>
        <w:tc>
          <w:tcPr>
            <w:tcW w:w="53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pPr>
              <w:rPr>
                <w:lang w:val="en-US"/>
              </w:rPr>
            </w:pPr>
            <w:r w:rsidRPr="004E2051">
              <w:rPr>
                <w:b/>
                <w:bCs/>
                <w:lang w:val="en-US"/>
              </w:rPr>
              <w:t xml:space="preserve">EEG overall alterations </w:t>
            </w:r>
            <w:r w:rsidRPr="004E2051">
              <w:rPr>
                <w:lang w:val="en-US"/>
              </w:rPr>
              <w:t>(% of cases with reported EEG results)</w:t>
            </w:r>
          </w:p>
        </w:tc>
        <w:tc>
          <w:tcPr>
            <w:tcW w:w="58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r w:rsidRPr="004E2051">
              <w:t>42 (</w:t>
            </w:r>
            <w:proofErr w:type="spellStart"/>
            <w:r w:rsidRPr="004E2051">
              <w:t>from</w:t>
            </w:r>
            <w:proofErr w:type="spellEnd"/>
            <w:r w:rsidRPr="004E2051">
              <w:t xml:space="preserve"> 69; 61%)</w:t>
            </w:r>
          </w:p>
        </w:tc>
      </w:tr>
      <w:tr w:rsidR="00C43576" w:rsidTr="004E2051">
        <w:trPr>
          <w:trHeight w:val="29"/>
        </w:trPr>
        <w:tc>
          <w:tcPr>
            <w:tcW w:w="53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pPr>
              <w:rPr>
                <w:lang w:val="en-US"/>
              </w:rPr>
            </w:pPr>
            <w:r w:rsidRPr="004E2051">
              <w:rPr>
                <w:b/>
                <w:bCs/>
                <w:lang w:val="en-US"/>
              </w:rPr>
              <w:t xml:space="preserve">MRI overall alterations </w:t>
            </w:r>
            <w:r w:rsidRPr="004E2051">
              <w:rPr>
                <w:lang w:val="en-US"/>
              </w:rPr>
              <w:t>(% of cases with reported MRI results)</w:t>
            </w:r>
          </w:p>
        </w:tc>
        <w:tc>
          <w:tcPr>
            <w:tcW w:w="58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r w:rsidRPr="004E2051">
              <w:t>52 (</w:t>
            </w:r>
            <w:proofErr w:type="spellStart"/>
            <w:r w:rsidRPr="004E2051">
              <w:t>from</w:t>
            </w:r>
            <w:proofErr w:type="spellEnd"/>
            <w:r w:rsidRPr="004E2051">
              <w:t xml:space="preserve"> 94; 55%)</w:t>
            </w:r>
          </w:p>
        </w:tc>
      </w:tr>
      <w:tr w:rsidR="00C43576" w:rsidTr="004E2051">
        <w:trPr>
          <w:trHeight w:val="40"/>
        </w:trPr>
        <w:tc>
          <w:tcPr>
            <w:tcW w:w="53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pPr>
              <w:rPr>
                <w:lang w:val="en-US"/>
              </w:rPr>
            </w:pPr>
            <w:r w:rsidRPr="004E2051">
              <w:rPr>
                <w:b/>
                <w:bCs/>
                <w:lang w:val="en-US"/>
              </w:rPr>
              <w:t xml:space="preserve">Tumor association overall </w:t>
            </w:r>
            <w:r w:rsidRPr="004E2051">
              <w:rPr>
                <w:lang w:val="en-US"/>
              </w:rPr>
              <w:t>(% per full group)</w:t>
            </w:r>
          </w:p>
        </w:tc>
        <w:tc>
          <w:tcPr>
            <w:tcW w:w="58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r w:rsidRPr="004E2051">
              <w:t>21 (</w:t>
            </w:r>
            <w:proofErr w:type="spellStart"/>
            <w:r w:rsidRPr="004E2051">
              <w:t>from</w:t>
            </w:r>
            <w:proofErr w:type="spellEnd"/>
            <w:r w:rsidRPr="004E2051">
              <w:t xml:space="preserve"> 99; 21%)</w:t>
            </w:r>
          </w:p>
        </w:tc>
      </w:tr>
      <w:tr w:rsidR="00C43576" w:rsidTr="004E2051">
        <w:trPr>
          <w:trHeight w:val="59"/>
        </w:trPr>
        <w:tc>
          <w:tcPr>
            <w:tcW w:w="53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pPr>
              <w:rPr>
                <w:lang w:val="en-US"/>
              </w:rPr>
            </w:pPr>
            <w:r w:rsidRPr="004E2051">
              <w:rPr>
                <w:b/>
                <w:bCs/>
                <w:lang w:val="en-US"/>
              </w:rPr>
              <w:t xml:space="preserve">Improvement through </w:t>
            </w:r>
            <w:proofErr w:type="spellStart"/>
            <w:r w:rsidRPr="004E2051">
              <w:rPr>
                <w:b/>
                <w:bCs/>
                <w:lang w:val="en-US"/>
              </w:rPr>
              <w:t>immunomodulatory</w:t>
            </w:r>
            <w:proofErr w:type="spellEnd"/>
            <w:r w:rsidRPr="004E2051">
              <w:rPr>
                <w:b/>
                <w:bCs/>
                <w:lang w:val="en-US"/>
              </w:rPr>
              <w:t xml:space="preserve"> drugs in general</w:t>
            </w:r>
          </w:p>
        </w:tc>
        <w:tc>
          <w:tcPr>
            <w:tcW w:w="58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576" w:rsidRPr="004E2051" w:rsidRDefault="00C43576" w:rsidP="003C2DEE">
            <w:r w:rsidRPr="004E2051">
              <w:t>79 (</w:t>
            </w:r>
            <w:proofErr w:type="spellStart"/>
            <w:r w:rsidRPr="004E2051">
              <w:t>from</w:t>
            </w:r>
            <w:proofErr w:type="spellEnd"/>
            <w:r w:rsidRPr="004E2051">
              <w:t xml:space="preserve"> 85; 93%)</w:t>
            </w:r>
          </w:p>
        </w:tc>
      </w:tr>
    </w:tbl>
    <w:p w:rsidR="00C43576" w:rsidRDefault="00C43576" w:rsidP="00C43576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3576" w:rsidRPr="00C43576" w:rsidRDefault="00C43576" w:rsidP="00C43576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C43576">
        <w:rPr>
          <w:rFonts w:ascii="Times New Roman" w:hAnsi="Times New Roman"/>
          <w:b/>
          <w:bCs/>
          <w:sz w:val="20"/>
          <w:szCs w:val="20"/>
          <w:lang w:val="en-US"/>
        </w:rPr>
        <w:t xml:space="preserve">Supplemental Table 3: Clinical and additional findings of patients with isolated psychiatric or neurocognitive syndromes. </w:t>
      </w:r>
      <w:r w:rsidRPr="00C43576">
        <w:rPr>
          <w:rFonts w:ascii="Times New Roman" w:hAnsi="Times New Roman"/>
          <w:sz w:val="20"/>
          <w:szCs w:val="20"/>
          <w:lang w:val="en-US"/>
        </w:rPr>
        <w:t>Abbreviations: CSF, cerebrospinal fluid; EEG, electroencephalography, MRI, magnetic resonance imaging.</w:t>
      </w:r>
    </w:p>
    <w:p w:rsidR="00C43576" w:rsidRPr="00C43576" w:rsidRDefault="00C43576" w:rsidP="00C4357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43576" w:rsidRPr="00C435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56F67"/>
    <w:multiLevelType w:val="hybridMultilevel"/>
    <w:tmpl w:val="2BC8196A"/>
    <w:lvl w:ilvl="0" w:tplc="717C3BAC">
      <w:start w:val="1"/>
      <w:numFmt w:val="bullet"/>
      <w:lvlText w:val="-"/>
      <w:lvlJc w:val="left"/>
      <w:pPr>
        <w:tabs>
          <w:tab w:val="num" w:pos="1416"/>
        </w:tabs>
        <w:ind w:left="10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BAA6F6">
      <w:start w:val="1"/>
      <w:numFmt w:val="bullet"/>
      <w:lvlText w:val="o"/>
      <w:lvlJc w:val="left"/>
      <w:pPr>
        <w:tabs>
          <w:tab w:val="num" w:pos="2136"/>
        </w:tabs>
        <w:ind w:left="1800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08704E">
      <w:start w:val="1"/>
      <w:numFmt w:val="bullet"/>
      <w:lvlText w:val="▪"/>
      <w:lvlJc w:val="left"/>
      <w:pPr>
        <w:tabs>
          <w:tab w:val="num" w:pos="2856"/>
        </w:tabs>
        <w:ind w:left="2520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78D1A2">
      <w:start w:val="1"/>
      <w:numFmt w:val="bullet"/>
      <w:lvlText w:val="•"/>
      <w:lvlJc w:val="left"/>
      <w:pPr>
        <w:tabs>
          <w:tab w:val="num" w:pos="3576"/>
        </w:tabs>
        <w:ind w:left="3240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2EFE20">
      <w:start w:val="1"/>
      <w:numFmt w:val="bullet"/>
      <w:lvlText w:val="o"/>
      <w:lvlJc w:val="left"/>
      <w:pPr>
        <w:tabs>
          <w:tab w:val="num" w:pos="4296"/>
        </w:tabs>
        <w:ind w:left="3960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8E18C2">
      <w:start w:val="1"/>
      <w:numFmt w:val="bullet"/>
      <w:lvlText w:val="▪"/>
      <w:lvlJc w:val="left"/>
      <w:pPr>
        <w:tabs>
          <w:tab w:val="num" w:pos="5016"/>
        </w:tabs>
        <w:ind w:left="4680" w:firstLine="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A0C844">
      <w:start w:val="1"/>
      <w:numFmt w:val="bullet"/>
      <w:lvlText w:val="•"/>
      <w:lvlJc w:val="left"/>
      <w:pPr>
        <w:tabs>
          <w:tab w:val="num" w:pos="5736"/>
        </w:tabs>
        <w:ind w:left="5400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244D0">
      <w:start w:val="1"/>
      <w:numFmt w:val="bullet"/>
      <w:lvlText w:val="o"/>
      <w:lvlJc w:val="left"/>
      <w:pPr>
        <w:tabs>
          <w:tab w:val="num" w:pos="6456"/>
        </w:tabs>
        <w:ind w:left="6120" w:firstLine="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B03010">
      <w:start w:val="1"/>
      <w:numFmt w:val="bullet"/>
      <w:lvlText w:val="▪"/>
      <w:lvlJc w:val="left"/>
      <w:pPr>
        <w:tabs>
          <w:tab w:val="num" w:pos="7176"/>
        </w:tabs>
        <w:ind w:left="6840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4A64539"/>
    <w:multiLevelType w:val="hybridMultilevel"/>
    <w:tmpl w:val="A1C823D6"/>
    <w:lvl w:ilvl="0" w:tplc="4232D86E">
      <w:start w:val="1"/>
      <w:numFmt w:val="bullet"/>
      <w:lvlText w:val="-"/>
      <w:lvlJc w:val="left"/>
      <w:pPr>
        <w:tabs>
          <w:tab w:val="num" w:pos="1416"/>
        </w:tabs>
        <w:ind w:left="10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E091AA">
      <w:start w:val="1"/>
      <w:numFmt w:val="bullet"/>
      <w:lvlText w:val="o"/>
      <w:lvlJc w:val="left"/>
      <w:pPr>
        <w:tabs>
          <w:tab w:val="num" w:pos="2136"/>
        </w:tabs>
        <w:ind w:left="1800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323AC6">
      <w:start w:val="1"/>
      <w:numFmt w:val="bullet"/>
      <w:lvlText w:val="▪"/>
      <w:lvlJc w:val="left"/>
      <w:pPr>
        <w:tabs>
          <w:tab w:val="num" w:pos="2856"/>
        </w:tabs>
        <w:ind w:left="2520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6E2926">
      <w:start w:val="1"/>
      <w:numFmt w:val="bullet"/>
      <w:lvlText w:val="•"/>
      <w:lvlJc w:val="left"/>
      <w:pPr>
        <w:tabs>
          <w:tab w:val="num" w:pos="3576"/>
        </w:tabs>
        <w:ind w:left="3240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7AB02C">
      <w:start w:val="1"/>
      <w:numFmt w:val="bullet"/>
      <w:lvlText w:val="o"/>
      <w:lvlJc w:val="left"/>
      <w:pPr>
        <w:tabs>
          <w:tab w:val="num" w:pos="4296"/>
        </w:tabs>
        <w:ind w:left="3960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2AB8D8">
      <w:start w:val="1"/>
      <w:numFmt w:val="bullet"/>
      <w:lvlText w:val="▪"/>
      <w:lvlJc w:val="left"/>
      <w:pPr>
        <w:tabs>
          <w:tab w:val="num" w:pos="5016"/>
        </w:tabs>
        <w:ind w:left="4680" w:firstLine="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60E546">
      <w:start w:val="1"/>
      <w:numFmt w:val="bullet"/>
      <w:lvlText w:val="•"/>
      <w:lvlJc w:val="left"/>
      <w:pPr>
        <w:tabs>
          <w:tab w:val="num" w:pos="5736"/>
        </w:tabs>
        <w:ind w:left="5400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4864E">
      <w:start w:val="1"/>
      <w:numFmt w:val="bullet"/>
      <w:lvlText w:val="o"/>
      <w:lvlJc w:val="left"/>
      <w:pPr>
        <w:tabs>
          <w:tab w:val="num" w:pos="6456"/>
        </w:tabs>
        <w:ind w:left="6120" w:firstLine="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A64AC2">
      <w:start w:val="1"/>
      <w:numFmt w:val="bullet"/>
      <w:lvlText w:val="▪"/>
      <w:lvlJc w:val="left"/>
      <w:pPr>
        <w:tabs>
          <w:tab w:val="num" w:pos="7176"/>
        </w:tabs>
        <w:ind w:left="6840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76"/>
    <w:rsid w:val="004351FF"/>
    <w:rsid w:val="004E2051"/>
    <w:rsid w:val="006A1149"/>
    <w:rsid w:val="00796F3F"/>
    <w:rsid w:val="00984727"/>
    <w:rsid w:val="00C32B74"/>
    <w:rsid w:val="00C43576"/>
    <w:rsid w:val="00C87A8E"/>
    <w:rsid w:val="00C96148"/>
    <w:rsid w:val="00EA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A184E-7339-412A-A3FC-A50AE28B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C435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rsid w:val="00C435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8181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Knittel</dc:creator>
  <cp:keywords/>
  <dc:description/>
  <cp:lastModifiedBy>Katharina Knittel</cp:lastModifiedBy>
  <cp:revision>4</cp:revision>
  <dcterms:created xsi:type="dcterms:W3CDTF">2020-07-18T22:28:00Z</dcterms:created>
  <dcterms:modified xsi:type="dcterms:W3CDTF">2020-07-25T16:19:00Z</dcterms:modified>
</cp:coreProperties>
</file>