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526"/>
        <w:gridCol w:w="1526"/>
        <w:gridCol w:w="1526"/>
      </w:tblGrid>
      <w:tr w:rsidR="002B476F" w:rsidRPr="002B476F" w:rsidTr="006C318F">
        <w:trPr>
          <w:trHeight w:val="300"/>
        </w:trPr>
        <w:tc>
          <w:tcPr>
            <w:tcW w:w="6700" w:type="dxa"/>
            <w:gridSpan w:val="4"/>
            <w:noWrap/>
          </w:tcPr>
          <w:p w:rsidR="002B476F" w:rsidRPr="003E308D" w:rsidRDefault="00D844DB">
            <w:pPr>
              <w:rPr>
                <w:b/>
              </w:rPr>
            </w:pPr>
            <w:r>
              <w:rPr>
                <w:b/>
              </w:rPr>
              <w:t xml:space="preserve">Supplementary </w:t>
            </w:r>
            <w:r w:rsidR="00315723">
              <w:rPr>
                <w:b/>
              </w:rPr>
              <w:t>Table 3</w:t>
            </w:r>
            <w:r w:rsidR="00A62A8C">
              <w:rPr>
                <w:b/>
              </w:rPr>
              <w:t>a</w:t>
            </w:r>
            <w:r w:rsidR="002B476F" w:rsidRPr="003E308D">
              <w:rPr>
                <w:b/>
              </w:rPr>
              <w:t>. Neuropsychiatric Supportive Symptom Count</w:t>
            </w:r>
          </w:p>
        </w:tc>
      </w:tr>
      <w:tr w:rsidR="00A62A8C" w:rsidRPr="00E23378" w:rsidTr="00A62A8C">
        <w:trPr>
          <w:trHeight w:val="300"/>
        </w:trPr>
        <w:tc>
          <w:tcPr>
            <w:tcW w:w="2122" w:type="dxa"/>
            <w:noWrap/>
            <w:hideMark/>
          </w:tcPr>
          <w:p w:rsidR="00A62A8C" w:rsidRPr="00E23378" w:rsidRDefault="00A62A8C" w:rsidP="00A62A8C">
            <w:pPr>
              <w:rPr>
                <w:b/>
              </w:rPr>
            </w:pPr>
          </w:p>
        </w:tc>
        <w:tc>
          <w:tcPr>
            <w:tcW w:w="1526" w:type="dxa"/>
            <w:noWrap/>
            <w:hideMark/>
          </w:tcPr>
          <w:p w:rsidR="00A62A8C" w:rsidRPr="00E23378" w:rsidRDefault="00A62A8C" w:rsidP="00A62A8C">
            <w:pPr>
              <w:rPr>
                <w:b/>
              </w:rPr>
            </w:pPr>
            <w:r w:rsidRPr="00E23378">
              <w:rPr>
                <w:b/>
              </w:rPr>
              <w:t>MCI-AD</w:t>
            </w:r>
          </w:p>
        </w:tc>
        <w:tc>
          <w:tcPr>
            <w:tcW w:w="1526" w:type="dxa"/>
            <w:noWrap/>
          </w:tcPr>
          <w:p w:rsidR="00A62A8C" w:rsidRPr="00E23378" w:rsidRDefault="00A62A8C" w:rsidP="00A62A8C">
            <w:pPr>
              <w:rPr>
                <w:b/>
              </w:rPr>
            </w:pPr>
            <w:proofErr w:type="spellStart"/>
            <w:r>
              <w:rPr>
                <w:b/>
              </w:rPr>
              <w:t>Poss</w:t>
            </w:r>
            <w:proofErr w:type="spellEnd"/>
            <w:r>
              <w:rPr>
                <w:b/>
              </w:rPr>
              <w:t xml:space="preserve"> MCI-LB</w:t>
            </w:r>
          </w:p>
        </w:tc>
        <w:tc>
          <w:tcPr>
            <w:tcW w:w="1526" w:type="dxa"/>
            <w:noWrap/>
          </w:tcPr>
          <w:p w:rsidR="00A62A8C" w:rsidRPr="00E23378" w:rsidRDefault="00A62A8C" w:rsidP="00A62A8C">
            <w:pPr>
              <w:rPr>
                <w:b/>
              </w:rPr>
            </w:pPr>
            <w:r>
              <w:rPr>
                <w:b/>
              </w:rPr>
              <w:t xml:space="preserve">Prob. </w:t>
            </w:r>
            <w:r w:rsidRPr="00E23378">
              <w:rPr>
                <w:b/>
              </w:rPr>
              <w:t>MCI-LB</w:t>
            </w:r>
          </w:p>
        </w:tc>
      </w:tr>
      <w:tr w:rsidR="00A62A8C" w:rsidRPr="002B476F" w:rsidTr="00A62A8C">
        <w:trPr>
          <w:trHeight w:val="300"/>
        </w:trPr>
        <w:tc>
          <w:tcPr>
            <w:tcW w:w="2122" w:type="dxa"/>
            <w:noWrap/>
          </w:tcPr>
          <w:p w:rsidR="00A62A8C" w:rsidRPr="002B476F" w:rsidRDefault="00A62A8C" w:rsidP="00A62A8C">
            <w:r>
              <w:t>n</w:t>
            </w:r>
          </w:p>
        </w:tc>
        <w:tc>
          <w:tcPr>
            <w:tcW w:w="1526" w:type="dxa"/>
            <w:noWrap/>
          </w:tcPr>
          <w:p w:rsidR="00A62A8C" w:rsidRPr="002B476F" w:rsidRDefault="00A62A8C" w:rsidP="00A62A8C">
            <w:r>
              <w:t>22</w:t>
            </w:r>
          </w:p>
        </w:tc>
        <w:tc>
          <w:tcPr>
            <w:tcW w:w="1526" w:type="dxa"/>
            <w:noWrap/>
          </w:tcPr>
          <w:p w:rsidR="00A62A8C" w:rsidRPr="002B476F" w:rsidRDefault="00A62A8C" w:rsidP="00A62A8C">
            <w:r>
              <w:t>15</w:t>
            </w:r>
          </w:p>
        </w:tc>
        <w:tc>
          <w:tcPr>
            <w:tcW w:w="1526" w:type="dxa"/>
            <w:noWrap/>
          </w:tcPr>
          <w:p w:rsidR="00A62A8C" w:rsidRPr="002B476F" w:rsidRDefault="00A62A8C" w:rsidP="00A62A8C">
            <w:r>
              <w:t>27</w:t>
            </w:r>
          </w:p>
        </w:tc>
      </w:tr>
      <w:tr w:rsidR="00A62A8C" w:rsidRPr="002B476F" w:rsidTr="00A62A8C">
        <w:trPr>
          <w:trHeight w:val="300"/>
        </w:trPr>
        <w:tc>
          <w:tcPr>
            <w:tcW w:w="2122" w:type="dxa"/>
            <w:noWrap/>
            <w:hideMark/>
          </w:tcPr>
          <w:p w:rsidR="00A62A8C" w:rsidRPr="002B476F" w:rsidRDefault="00A62A8C" w:rsidP="00A62A8C">
            <w:r w:rsidRPr="002B476F">
              <w:t>NSSC, median (IQR)</w:t>
            </w:r>
          </w:p>
        </w:tc>
        <w:tc>
          <w:tcPr>
            <w:tcW w:w="1526" w:type="dxa"/>
            <w:noWrap/>
            <w:hideMark/>
          </w:tcPr>
          <w:p w:rsidR="00A62A8C" w:rsidRPr="002B476F" w:rsidRDefault="00A62A8C" w:rsidP="00A62A8C">
            <w:r w:rsidRPr="002B476F">
              <w:t>1 (0-1)</w:t>
            </w:r>
          </w:p>
        </w:tc>
        <w:tc>
          <w:tcPr>
            <w:tcW w:w="1526" w:type="dxa"/>
            <w:noWrap/>
          </w:tcPr>
          <w:p w:rsidR="00A62A8C" w:rsidRPr="002B476F" w:rsidRDefault="00A62A8C" w:rsidP="00A62A8C">
            <w:r>
              <w:t>1 (0-3)</w:t>
            </w:r>
          </w:p>
        </w:tc>
        <w:tc>
          <w:tcPr>
            <w:tcW w:w="1526" w:type="dxa"/>
            <w:noWrap/>
          </w:tcPr>
          <w:p w:rsidR="00A62A8C" w:rsidRPr="002B476F" w:rsidRDefault="00A62A8C" w:rsidP="00A62A8C">
            <w:r w:rsidRPr="002B476F">
              <w:t>2 (1-3)</w:t>
            </w:r>
          </w:p>
        </w:tc>
      </w:tr>
      <w:tr w:rsidR="00A62A8C" w:rsidRPr="002B476F" w:rsidTr="00A62A8C">
        <w:trPr>
          <w:trHeight w:val="300"/>
        </w:trPr>
        <w:tc>
          <w:tcPr>
            <w:tcW w:w="2122" w:type="dxa"/>
            <w:noWrap/>
            <w:hideMark/>
          </w:tcPr>
          <w:p w:rsidR="00A62A8C" w:rsidRPr="002B476F" w:rsidRDefault="00A62A8C" w:rsidP="00A62A8C">
            <w:r w:rsidRPr="002B476F">
              <w:t xml:space="preserve">NSSC </w:t>
            </w:r>
            <w:r>
              <w:rPr>
                <w:rFonts w:cstheme="minorHAnsi"/>
              </w:rPr>
              <w:t>≥</w:t>
            </w:r>
            <w:r w:rsidRPr="002B476F">
              <w:t>2, n (%)</w:t>
            </w:r>
          </w:p>
        </w:tc>
        <w:tc>
          <w:tcPr>
            <w:tcW w:w="1526" w:type="dxa"/>
            <w:noWrap/>
            <w:hideMark/>
          </w:tcPr>
          <w:p w:rsidR="00A62A8C" w:rsidRPr="002B476F" w:rsidRDefault="00A62A8C" w:rsidP="00A62A8C">
            <w:r w:rsidRPr="002B476F">
              <w:t>2 (9%)</w:t>
            </w:r>
          </w:p>
        </w:tc>
        <w:tc>
          <w:tcPr>
            <w:tcW w:w="1526" w:type="dxa"/>
            <w:noWrap/>
          </w:tcPr>
          <w:p w:rsidR="00A62A8C" w:rsidRPr="002B476F" w:rsidRDefault="00A62A8C" w:rsidP="00A62A8C">
            <w:r>
              <w:t>6 (40%)</w:t>
            </w:r>
          </w:p>
        </w:tc>
        <w:tc>
          <w:tcPr>
            <w:tcW w:w="1526" w:type="dxa"/>
            <w:noWrap/>
          </w:tcPr>
          <w:p w:rsidR="00A62A8C" w:rsidRPr="002B476F" w:rsidRDefault="00A62A8C" w:rsidP="00A62A8C">
            <w:r w:rsidRPr="002B476F">
              <w:t>16 (59%)</w:t>
            </w:r>
          </w:p>
        </w:tc>
      </w:tr>
      <w:tr w:rsidR="00A62A8C" w:rsidRPr="002B476F" w:rsidTr="00A62A8C">
        <w:trPr>
          <w:trHeight w:val="300"/>
        </w:trPr>
        <w:tc>
          <w:tcPr>
            <w:tcW w:w="2122" w:type="dxa"/>
            <w:noWrap/>
            <w:hideMark/>
          </w:tcPr>
          <w:p w:rsidR="00A62A8C" w:rsidRPr="002B476F" w:rsidRDefault="00A62A8C" w:rsidP="00A62A8C">
            <w:r w:rsidRPr="002B476F">
              <w:t xml:space="preserve">NSSC </w:t>
            </w:r>
            <w:r>
              <w:rPr>
                <w:rFonts w:cstheme="minorHAnsi"/>
              </w:rPr>
              <w:t>≥</w:t>
            </w:r>
            <w:r w:rsidRPr="002B476F">
              <w:t>3, n (%)</w:t>
            </w:r>
          </w:p>
        </w:tc>
        <w:tc>
          <w:tcPr>
            <w:tcW w:w="1526" w:type="dxa"/>
            <w:noWrap/>
            <w:hideMark/>
          </w:tcPr>
          <w:p w:rsidR="00A62A8C" w:rsidRPr="002B476F" w:rsidRDefault="00A62A8C" w:rsidP="00A62A8C">
            <w:r w:rsidRPr="002B476F">
              <w:t>1 (5%)</w:t>
            </w:r>
          </w:p>
        </w:tc>
        <w:tc>
          <w:tcPr>
            <w:tcW w:w="1526" w:type="dxa"/>
            <w:noWrap/>
          </w:tcPr>
          <w:p w:rsidR="00A62A8C" w:rsidRPr="002B476F" w:rsidRDefault="00A62A8C" w:rsidP="00A62A8C">
            <w:r>
              <w:t>4 (27%)</w:t>
            </w:r>
          </w:p>
        </w:tc>
        <w:tc>
          <w:tcPr>
            <w:tcW w:w="1526" w:type="dxa"/>
            <w:noWrap/>
          </w:tcPr>
          <w:p w:rsidR="00A62A8C" w:rsidRPr="002B476F" w:rsidRDefault="00A62A8C" w:rsidP="00A62A8C">
            <w:r w:rsidRPr="002B476F">
              <w:t>8 (30%)</w:t>
            </w:r>
          </w:p>
        </w:tc>
      </w:tr>
      <w:tr w:rsidR="00A62A8C" w:rsidRPr="002B476F" w:rsidTr="006C318F">
        <w:trPr>
          <w:trHeight w:val="300"/>
        </w:trPr>
        <w:tc>
          <w:tcPr>
            <w:tcW w:w="6700" w:type="dxa"/>
            <w:gridSpan w:val="4"/>
            <w:noWrap/>
          </w:tcPr>
          <w:p w:rsidR="00A62A8C" w:rsidRPr="002B476F" w:rsidRDefault="00A62A8C" w:rsidP="00C83C12">
            <w:r w:rsidRPr="00317057">
              <w:rPr>
                <w:rFonts w:ascii="Calibri" w:hAnsi="Calibri" w:cs="Calibri"/>
                <w:color w:val="000000"/>
              </w:rPr>
              <w:t>Poss. MCI-LB</w:t>
            </w:r>
            <w:r>
              <w:rPr>
                <w:rFonts w:ascii="Calibri" w:hAnsi="Calibri" w:cs="Calibri"/>
                <w:color w:val="000000"/>
              </w:rPr>
              <w:t xml:space="preserve"> Possible MCI with Lewy bodies; </w:t>
            </w:r>
            <w:r w:rsidRPr="00317057">
              <w:rPr>
                <w:rFonts w:ascii="Calibri" w:hAnsi="Calibri" w:cs="Calibri"/>
                <w:color w:val="000000"/>
              </w:rPr>
              <w:t>Prob. MCI-LB</w:t>
            </w:r>
            <w:r>
              <w:rPr>
                <w:rFonts w:ascii="Calibri" w:hAnsi="Calibri" w:cs="Calibri"/>
                <w:color w:val="000000"/>
              </w:rPr>
              <w:t xml:space="preserve"> Probable MCI with Lewy bodies</w:t>
            </w:r>
            <w:r w:rsidR="00C83C12">
              <w:rPr>
                <w:rFonts w:ascii="Calibri" w:hAnsi="Calibri" w:cs="Calibri"/>
                <w:color w:val="000000"/>
              </w:rPr>
              <w:t>;</w:t>
            </w:r>
            <w:r>
              <w:t xml:space="preserve"> NSSC Neuropsychiatric Supportive Symptom Count. </w:t>
            </w:r>
          </w:p>
        </w:tc>
      </w:tr>
    </w:tbl>
    <w:p w:rsidR="0088761B" w:rsidRDefault="00C83C12"/>
    <w:p w:rsidR="00A62A8C" w:rsidRDefault="00A62A8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329"/>
        <w:gridCol w:w="1329"/>
        <w:gridCol w:w="960"/>
        <w:gridCol w:w="960"/>
      </w:tblGrid>
      <w:tr w:rsidR="00A62A8C" w:rsidRPr="002B476F" w:rsidTr="00FF3806">
        <w:trPr>
          <w:trHeight w:val="300"/>
        </w:trPr>
        <w:tc>
          <w:tcPr>
            <w:tcW w:w="6700" w:type="dxa"/>
            <w:gridSpan w:val="5"/>
            <w:noWrap/>
          </w:tcPr>
          <w:p w:rsidR="00A62A8C" w:rsidRPr="003E308D" w:rsidRDefault="00D844DB" w:rsidP="00FF3806">
            <w:pPr>
              <w:rPr>
                <w:b/>
              </w:rPr>
            </w:pPr>
            <w:r>
              <w:rPr>
                <w:b/>
              </w:rPr>
              <w:t xml:space="preserve">Supplementary </w:t>
            </w:r>
            <w:r w:rsidR="00A62A8C">
              <w:rPr>
                <w:b/>
              </w:rPr>
              <w:t>Table 3</w:t>
            </w:r>
            <w:r>
              <w:rPr>
                <w:b/>
              </w:rPr>
              <w:t>b</w:t>
            </w:r>
            <w:r w:rsidR="00A62A8C" w:rsidRPr="003E308D">
              <w:rPr>
                <w:b/>
              </w:rPr>
              <w:t>. Neuropsychiatric Supportive Symptom Count</w:t>
            </w:r>
          </w:p>
        </w:tc>
      </w:tr>
      <w:tr w:rsidR="00A62A8C" w:rsidRPr="00E23378" w:rsidTr="00FF3806">
        <w:trPr>
          <w:trHeight w:val="300"/>
        </w:trPr>
        <w:tc>
          <w:tcPr>
            <w:tcW w:w="2122" w:type="dxa"/>
            <w:noWrap/>
            <w:hideMark/>
          </w:tcPr>
          <w:p w:rsidR="00A62A8C" w:rsidRPr="00E23378" w:rsidRDefault="00A62A8C" w:rsidP="00FF3806">
            <w:pPr>
              <w:rPr>
                <w:b/>
              </w:rPr>
            </w:pPr>
          </w:p>
        </w:tc>
        <w:tc>
          <w:tcPr>
            <w:tcW w:w="1329" w:type="dxa"/>
            <w:noWrap/>
            <w:hideMark/>
          </w:tcPr>
          <w:p w:rsidR="00A62A8C" w:rsidRPr="00E23378" w:rsidRDefault="00A62A8C" w:rsidP="00FF3806">
            <w:pPr>
              <w:rPr>
                <w:b/>
              </w:rPr>
            </w:pPr>
            <w:r w:rsidRPr="00E23378">
              <w:rPr>
                <w:b/>
              </w:rPr>
              <w:t>MCI-AD</w:t>
            </w:r>
          </w:p>
        </w:tc>
        <w:tc>
          <w:tcPr>
            <w:tcW w:w="1329" w:type="dxa"/>
            <w:noWrap/>
            <w:hideMark/>
          </w:tcPr>
          <w:p w:rsidR="00A62A8C" w:rsidRPr="00E23378" w:rsidRDefault="00A62A8C" w:rsidP="00FF3806">
            <w:pPr>
              <w:rPr>
                <w:b/>
              </w:rPr>
            </w:pPr>
            <w:r>
              <w:rPr>
                <w:b/>
              </w:rPr>
              <w:t xml:space="preserve">Poss. + Prob. </w:t>
            </w:r>
            <w:r w:rsidRPr="00E23378">
              <w:rPr>
                <w:b/>
              </w:rPr>
              <w:t>MCI-LB</w:t>
            </w:r>
          </w:p>
        </w:tc>
        <w:tc>
          <w:tcPr>
            <w:tcW w:w="960" w:type="dxa"/>
            <w:noWrap/>
            <w:hideMark/>
          </w:tcPr>
          <w:p w:rsidR="00A62A8C" w:rsidRPr="00E23378" w:rsidRDefault="00A62A8C" w:rsidP="00FF3806">
            <w:pPr>
              <w:rPr>
                <w:b/>
              </w:rPr>
            </w:pPr>
            <w:r w:rsidRPr="00E23378">
              <w:rPr>
                <w:b/>
              </w:rPr>
              <w:t>LR</w:t>
            </w:r>
          </w:p>
        </w:tc>
        <w:tc>
          <w:tcPr>
            <w:tcW w:w="960" w:type="dxa"/>
            <w:noWrap/>
            <w:hideMark/>
          </w:tcPr>
          <w:p w:rsidR="00A62A8C" w:rsidRPr="00E23378" w:rsidRDefault="00A62A8C" w:rsidP="00FF3806">
            <w:pPr>
              <w:rPr>
                <w:b/>
              </w:rPr>
            </w:pPr>
            <w:r w:rsidRPr="00E23378">
              <w:rPr>
                <w:b/>
              </w:rPr>
              <w:t>p</w:t>
            </w:r>
          </w:p>
        </w:tc>
      </w:tr>
      <w:tr w:rsidR="00A62A8C" w:rsidRPr="002B476F" w:rsidTr="00FF3806">
        <w:trPr>
          <w:trHeight w:val="300"/>
        </w:trPr>
        <w:tc>
          <w:tcPr>
            <w:tcW w:w="2122" w:type="dxa"/>
            <w:noWrap/>
          </w:tcPr>
          <w:p w:rsidR="00A62A8C" w:rsidRPr="002B476F" w:rsidRDefault="00A62A8C" w:rsidP="00FF3806">
            <w:r>
              <w:t>n</w:t>
            </w:r>
          </w:p>
        </w:tc>
        <w:tc>
          <w:tcPr>
            <w:tcW w:w="1329" w:type="dxa"/>
            <w:noWrap/>
          </w:tcPr>
          <w:p w:rsidR="00A62A8C" w:rsidRPr="002B476F" w:rsidRDefault="00A62A8C" w:rsidP="00FF3806">
            <w:r>
              <w:t>22</w:t>
            </w:r>
          </w:p>
        </w:tc>
        <w:tc>
          <w:tcPr>
            <w:tcW w:w="1329" w:type="dxa"/>
            <w:noWrap/>
          </w:tcPr>
          <w:p w:rsidR="00A62A8C" w:rsidRPr="002B476F" w:rsidRDefault="00A62A8C" w:rsidP="00FF3806">
            <w:r>
              <w:t>42</w:t>
            </w:r>
          </w:p>
        </w:tc>
        <w:tc>
          <w:tcPr>
            <w:tcW w:w="960" w:type="dxa"/>
            <w:noWrap/>
          </w:tcPr>
          <w:p w:rsidR="00A62A8C" w:rsidRDefault="00A62A8C" w:rsidP="00FF3806">
            <w:r>
              <w:t>-</w:t>
            </w:r>
          </w:p>
        </w:tc>
        <w:tc>
          <w:tcPr>
            <w:tcW w:w="960" w:type="dxa"/>
            <w:noWrap/>
          </w:tcPr>
          <w:p w:rsidR="00A62A8C" w:rsidRPr="002B476F" w:rsidRDefault="00A62A8C" w:rsidP="00FF3806">
            <w:r>
              <w:t>-</w:t>
            </w:r>
          </w:p>
        </w:tc>
      </w:tr>
      <w:tr w:rsidR="00A62A8C" w:rsidRPr="002B476F" w:rsidTr="00A62A8C">
        <w:trPr>
          <w:trHeight w:val="300"/>
        </w:trPr>
        <w:tc>
          <w:tcPr>
            <w:tcW w:w="2122" w:type="dxa"/>
            <w:noWrap/>
            <w:hideMark/>
          </w:tcPr>
          <w:p w:rsidR="00A62A8C" w:rsidRPr="002B476F" w:rsidRDefault="00A62A8C" w:rsidP="00FF3806">
            <w:r w:rsidRPr="002B476F">
              <w:t>NSSC, median (IQR)</w:t>
            </w:r>
          </w:p>
        </w:tc>
        <w:tc>
          <w:tcPr>
            <w:tcW w:w="1329" w:type="dxa"/>
            <w:noWrap/>
            <w:hideMark/>
          </w:tcPr>
          <w:p w:rsidR="00A62A8C" w:rsidRPr="002B476F" w:rsidRDefault="00A62A8C" w:rsidP="00FF3806">
            <w:r w:rsidRPr="002B476F">
              <w:t>1 (0-1)</w:t>
            </w:r>
          </w:p>
        </w:tc>
        <w:tc>
          <w:tcPr>
            <w:tcW w:w="1329" w:type="dxa"/>
            <w:noWrap/>
          </w:tcPr>
          <w:p w:rsidR="00A62A8C" w:rsidRPr="002B476F" w:rsidRDefault="00C83C12" w:rsidP="00FF3806">
            <w:r>
              <w:t>2 (0-3)</w:t>
            </w:r>
          </w:p>
        </w:tc>
        <w:tc>
          <w:tcPr>
            <w:tcW w:w="960" w:type="dxa"/>
            <w:noWrap/>
            <w:hideMark/>
          </w:tcPr>
          <w:p w:rsidR="00A62A8C" w:rsidRPr="002B476F" w:rsidRDefault="00A62A8C" w:rsidP="00FF3806">
            <w:r>
              <w:t>-</w:t>
            </w:r>
          </w:p>
        </w:tc>
        <w:tc>
          <w:tcPr>
            <w:tcW w:w="960" w:type="dxa"/>
            <w:noWrap/>
          </w:tcPr>
          <w:p w:rsidR="00A62A8C" w:rsidRPr="00AA5A38" w:rsidRDefault="00C83C12" w:rsidP="00FF3806">
            <w:pPr>
              <w:rPr>
                <w:b/>
              </w:rPr>
            </w:pPr>
            <w:r>
              <w:rPr>
                <w:b/>
              </w:rPr>
              <w:t>0.01</w:t>
            </w:r>
            <w:bookmarkStart w:id="0" w:name="_GoBack"/>
            <w:bookmarkEnd w:id="0"/>
          </w:p>
        </w:tc>
      </w:tr>
      <w:tr w:rsidR="00A62A8C" w:rsidRPr="002B476F" w:rsidTr="00A62A8C">
        <w:trPr>
          <w:trHeight w:val="300"/>
        </w:trPr>
        <w:tc>
          <w:tcPr>
            <w:tcW w:w="2122" w:type="dxa"/>
            <w:noWrap/>
            <w:hideMark/>
          </w:tcPr>
          <w:p w:rsidR="00A62A8C" w:rsidRPr="002B476F" w:rsidRDefault="00A62A8C" w:rsidP="00FF3806">
            <w:r w:rsidRPr="002B476F">
              <w:t xml:space="preserve">NSSC </w:t>
            </w:r>
            <w:r>
              <w:rPr>
                <w:rFonts w:cstheme="minorHAnsi"/>
              </w:rPr>
              <w:t>≥</w:t>
            </w:r>
            <w:r w:rsidRPr="002B476F">
              <w:t>2, n (%)</w:t>
            </w:r>
          </w:p>
        </w:tc>
        <w:tc>
          <w:tcPr>
            <w:tcW w:w="1329" w:type="dxa"/>
            <w:noWrap/>
            <w:hideMark/>
          </w:tcPr>
          <w:p w:rsidR="00A62A8C" w:rsidRPr="002B476F" w:rsidRDefault="00A62A8C" w:rsidP="00FF3806">
            <w:r w:rsidRPr="002B476F">
              <w:t>2 (9%)</w:t>
            </w:r>
          </w:p>
        </w:tc>
        <w:tc>
          <w:tcPr>
            <w:tcW w:w="1329" w:type="dxa"/>
            <w:noWrap/>
          </w:tcPr>
          <w:p w:rsidR="00A62A8C" w:rsidRPr="002B476F" w:rsidRDefault="00D844DB" w:rsidP="00FF3806">
            <w:r>
              <w:t>22 (52%)</w:t>
            </w:r>
          </w:p>
        </w:tc>
        <w:tc>
          <w:tcPr>
            <w:tcW w:w="960" w:type="dxa"/>
            <w:noWrap/>
          </w:tcPr>
          <w:p w:rsidR="00A62A8C" w:rsidRPr="002B476F" w:rsidRDefault="00D844DB" w:rsidP="00FF3806">
            <w:r>
              <w:t>5.8</w:t>
            </w:r>
          </w:p>
        </w:tc>
        <w:tc>
          <w:tcPr>
            <w:tcW w:w="960" w:type="dxa"/>
            <w:noWrap/>
          </w:tcPr>
          <w:p w:rsidR="00A62A8C" w:rsidRPr="00AA5A38" w:rsidRDefault="00D844DB" w:rsidP="00FF3806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</w:tr>
      <w:tr w:rsidR="00A62A8C" w:rsidRPr="002B476F" w:rsidTr="00A62A8C">
        <w:trPr>
          <w:trHeight w:val="300"/>
        </w:trPr>
        <w:tc>
          <w:tcPr>
            <w:tcW w:w="2122" w:type="dxa"/>
            <w:noWrap/>
            <w:hideMark/>
          </w:tcPr>
          <w:p w:rsidR="00A62A8C" w:rsidRPr="002B476F" w:rsidRDefault="00A62A8C" w:rsidP="00FF3806">
            <w:r w:rsidRPr="002B476F">
              <w:t xml:space="preserve">NSSC </w:t>
            </w:r>
            <w:r>
              <w:rPr>
                <w:rFonts w:cstheme="minorHAnsi"/>
              </w:rPr>
              <w:t>≥</w:t>
            </w:r>
            <w:r w:rsidRPr="002B476F">
              <w:t>3, n (%)</w:t>
            </w:r>
          </w:p>
        </w:tc>
        <w:tc>
          <w:tcPr>
            <w:tcW w:w="1329" w:type="dxa"/>
            <w:noWrap/>
            <w:hideMark/>
          </w:tcPr>
          <w:p w:rsidR="00A62A8C" w:rsidRPr="002B476F" w:rsidRDefault="00A62A8C" w:rsidP="00FF3806">
            <w:r w:rsidRPr="002B476F">
              <w:t>1 (5%)</w:t>
            </w:r>
          </w:p>
        </w:tc>
        <w:tc>
          <w:tcPr>
            <w:tcW w:w="1329" w:type="dxa"/>
            <w:noWrap/>
          </w:tcPr>
          <w:p w:rsidR="00A62A8C" w:rsidRPr="002B476F" w:rsidRDefault="00D844DB" w:rsidP="00FF3806">
            <w:r>
              <w:t>12 (29%)</w:t>
            </w:r>
          </w:p>
        </w:tc>
        <w:tc>
          <w:tcPr>
            <w:tcW w:w="960" w:type="dxa"/>
            <w:noWrap/>
          </w:tcPr>
          <w:p w:rsidR="00A62A8C" w:rsidRPr="002B476F" w:rsidRDefault="006E30A5" w:rsidP="00FF3806">
            <w:r>
              <w:t>6.3</w:t>
            </w:r>
          </w:p>
        </w:tc>
        <w:tc>
          <w:tcPr>
            <w:tcW w:w="960" w:type="dxa"/>
            <w:noWrap/>
          </w:tcPr>
          <w:p w:rsidR="00A62A8C" w:rsidRPr="00AA5A38" w:rsidRDefault="00D844DB" w:rsidP="00FF3806">
            <w:pPr>
              <w:rPr>
                <w:b/>
              </w:rPr>
            </w:pPr>
            <w:r>
              <w:rPr>
                <w:b/>
              </w:rPr>
              <w:t>0.03</w:t>
            </w:r>
          </w:p>
        </w:tc>
      </w:tr>
      <w:tr w:rsidR="00A62A8C" w:rsidRPr="002B476F" w:rsidTr="00FF3806">
        <w:trPr>
          <w:trHeight w:val="300"/>
        </w:trPr>
        <w:tc>
          <w:tcPr>
            <w:tcW w:w="6700" w:type="dxa"/>
            <w:gridSpan w:val="5"/>
            <w:noWrap/>
          </w:tcPr>
          <w:p w:rsidR="00A62A8C" w:rsidRPr="002B476F" w:rsidRDefault="00D844DB" w:rsidP="00FF3806">
            <w:r w:rsidRPr="00317057">
              <w:rPr>
                <w:rFonts w:ascii="Calibri" w:hAnsi="Calibri" w:cs="Calibri"/>
                <w:color w:val="000000"/>
              </w:rPr>
              <w:t>Poss. MCI-LB</w:t>
            </w:r>
            <w:r>
              <w:rPr>
                <w:rFonts w:ascii="Calibri" w:hAnsi="Calibri" w:cs="Calibri"/>
                <w:color w:val="000000"/>
              </w:rPr>
              <w:t xml:space="preserve"> Possible MCI with Lewy bodies; </w:t>
            </w:r>
            <w:r w:rsidRPr="00317057">
              <w:rPr>
                <w:rFonts w:ascii="Calibri" w:hAnsi="Calibri" w:cs="Calibri"/>
                <w:color w:val="000000"/>
              </w:rPr>
              <w:t>Prob. MCI-LB</w:t>
            </w:r>
            <w:r>
              <w:rPr>
                <w:rFonts w:ascii="Calibri" w:hAnsi="Calibri" w:cs="Calibri"/>
                <w:color w:val="000000"/>
              </w:rPr>
              <w:t xml:space="preserve"> Probable MCI with Lewy bodies.  </w:t>
            </w:r>
            <w:r w:rsidR="00A62A8C">
              <w:t>Mann-Whitney, Chi-squared and Fisher’s Exact tests as appropriate. LR likelihood ratio; NSSC Neuropsychiatric Supportive Symptom Count. Bold denotes p&lt;0.05.</w:t>
            </w:r>
          </w:p>
        </w:tc>
      </w:tr>
    </w:tbl>
    <w:p w:rsidR="00A62A8C" w:rsidRDefault="00A62A8C"/>
    <w:sectPr w:rsidR="00A62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6F"/>
    <w:rsid w:val="00135F00"/>
    <w:rsid w:val="0020721B"/>
    <w:rsid w:val="002B476F"/>
    <w:rsid w:val="00315723"/>
    <w:rsid w:val="003E308D"/>
    <w:rsid w:val="004E2E3A"/>
    <w:rsid w:val="006C318F"/>
    <w:rsid w:val="006E30A5"/>
    <w:rsid w:val="00864788"/>
    <w:rsid w:val="008F6B9E"/>
    <w:rsid w:val="00A62A8C"/>
    <w:rsid w:val="00AA5A38"/>
    <w:rsid w:val="00AB4689"/>
    <w:rsid w:val="00C83C12"/>
    <w:rsid w:val="00CA6F97"/>
    <w:rsid w:val="00D05C7A"/>
    <w:rsid w:val="00D844DB"/>
    <w:rsid w:val="00E132E0"/>
    <w:rsid w:val="00E23378"/>
    <w:rsid w:val="00E77177"/>
    <w:rsid w:val="00EA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247B"/>
  <w15:chartTrackingRefBased/>
  <w15:docId w15:val="{0F8D84C3-FA23-4361-9D7E-696878BB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Donaghy</dc:creator>
  <cp:keywords/>
  <dc:description/>
  <cp:lastModifiedBy>Paul Donaghy</cp:lastModifiedBy>
  <cp:revision>12</cp:revision>
  <cp:lastPrinted>2020-02-11T11:50:00Z</cp:lastPrinted>
  <dcterms:created xsi:type="dcterms:W3CDTF">2020-02-10T10:21:00Z</dcterms:created>
  <dcterms:modified xsi:type="dcterms:W3CDTF">2020-06-23T08:25:00Z</dcterms:modified>
</cp:coreProperties>
</file>