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A53A9" w14:textId="77777777" w:rsidR="005D0C7E" w:rsidRPr="001823CC" w:rsidRDefault="005D0C7E" w:rsidP="009362BF">
      <w:pPr>
        <w:spacing w:after="0" w:line="480" w:lineRule="auto"/>
        <w:rPr>
          <w:rFonts w:ascii="Times New Roman" w:hAnsi="Times New Roman" w:cs="Times New Roman"/>
          <w:b/>
          <w:sz w:val="24"/>
          <w:szCs w:val="24"/>
        </w:rPr>
      </w:pPr>
      <w:r w:rsidRPr="001823CC">
        <w:rPr>
          <w:rFonts w:ascii="Times New Roman" w:hAnsi="Times New Roman" w:cs="Times New Roman"/>
          <w:b/>
          <w:sz w:val="24"/>
          <w:szCs w:val="24"/>
        </w:rPr>
        <w:t>Supplementary materials</w:t>
      </w:r>
    </w:p>
    <w:p w14:paraId="15483A9C" w14:textId="77777777" w:rsidR="005D0C7E" w:rsidRPr="001823CC" w:rsidRDefault="005D0C7E" w:rsidP="00077780">
      <w:pPr>
        <w:jc w:val="center"/>
        <w:rPr>
          <w:rFonts w:ascii="Times New Roman" w:hAnsi="Times New Roman" w:cs="Times New Roman"/>
          <w:b/>
          <w:sz w:val="24"/>
          <w:szCs w:val="24"/>
        </w:rPr>
      </w:pPr>
      <w:r w:rsidRPr="001823CC">
        <w:rPr>
          <w:rFonts w:ascii="Times New Roman" w:hAnsi="Times New Roman" w:cs="Times New Roman"/>
          <w:b/>
          <w:sz w:val="24"/>
          <w:szCs w:val="24"/>
        </w:rPr>
        <w:t>Methods</w:t>
      </w:r>
    </w:p>
    <w:p w14:paraId="535D7584" w14:textId="29CE59E1" w:rsidR="009A254F" w:rsidRPr="001823CC" w:rsidRDefault="009A254F" w:rsidP="009A254F">
      <w:pPr>
        <w:spacing w:after="0" w:line="480" w:lineRule="auto"/>
        <w:contextualSpacing/>
        <w:rPr>
          <w:rFonts w:ascii="Times New Roman" w:hAnsi="Times New Roman" w:cs="Times New Roman"/>
          <w:b/>
          <w:sz w:val="24"/>
          <w:szCs w:val="24"/>
        </w:rPr>
      </w:pPr>
      <w:r w:rsidRPr="001823CC">
        <w:rPr>
          <w:rFonts w:ascii="Times New Roman" w:hAnsi="Times New Roman" w:cs="Times New Roman"/>
          <w:b/>
          <w:sz w:val="24"/>
          <w:szCs w:val="24"/>
        </w:rPr>
        <w:t>Externalized problems</w:t>
      </w:r>
    </w:p>
    <w:p w14:paraId="5E5A9044" w14:textId="1D5FF7D1" w:rsidR="009A254F" w:rsidRPr="001823CC" w:rsidRDefault="009A254F" w:rsidP="005D0C7E">
      <w:pPr>
        <w:spacing w:after="0" w:line="480" w:lineRule="auto"/>
        <w:contextualSpacing/>
        <w:rPr>
          <w:rFonts w:ascii="Times New Roman" w:hAnsi="Times New Roman" w:cs="Times New Roman"/>
          <w:sz w:val="24"/>
          <w:szCs w:val="24"/>
        </w:rPr>
      </w:pPr>
      <w:r w:rsidRPr="001823CC">
        <w:rPr>
          <w:rFonts w:ascii="Times New Roman" w:hAnsi="Times New Roman" w:cs="Times New Roman"/>
          <w:sz w:val="24"/>
          <w:szCs w:val="24"/>
        </w:rPr>
        <w:tab/>
      </w:r>
      <w:r w:rsidR="004A0966" w:rsidRPr="001823CC">
        <w:rPr>
          <w:rFonts w:ascii="Times New Roman" w:hAnsi="Times New Roman" w:cs="Times New Roman"/>
          <w:sz w:val="24"/>
          <w:szCs w:val="24"/>
        </w:rPr>
        <w:t xml:space="preserve">The level of externalizing problems (EP) was assessed using YouthMap12 (Pedersen et al., 2017). </w:t>
      </w:r>
      <w:r w:rsidRPr="001823CC">
        <w:rPr>
          <w:rFonts w:ascii="Times New Roman" w:hAnsi="Times New Roman" w:cs="Times New Roman"/>
          <w:sz w:val="24"/>
          <w:szCs w:val="24"/>
          <w:lang w:val="en-US"/>
        </w:rPr>
        <w:t>Items to compute EP6 (a composite score based on 6 items for externalizing problems) include ‘Were/are you a troublemaker in school?’, ‘Have you had/do you have conflicts with teachers?’ whereas items to compute IP6 (internalizing problems) include ‘Have you been affected by depression?’, ‘Have you experienced anxiety?’. It is well-documented that externalizing is associated with increased risk of problematic substance use</w:t>
      </w:r>
      <w:r w:rsidRPr="001823CC">
        <w:rPr>
          <w:rFonts w:ascii="Times New Roman" w:hAnsi="Times New Roman" w:cs="Times New Roman"/>
          <w:sz w:val="24"/>
          <w:szCs w:val="24"/>
          <w:vertAlign w:val="superscript"/>
        </w:rPr>
        <w:t xml:space="preserve"> </w:t>
      </w:r>
      <w:r w:rsidRPr="001823CC">
        <w:rPr>
          <w:rFonts w:ascii="Times New Roman" w:hAnsi="Times New Roman" w:cs="Times New Roman"/>
          <w:sz w:val="24"/>
          <w:szCs w:val="24"/>
        </w:rPr>
        <w:t>(Fischer</w:t>
      </w:r>
      <w:r w:rsidRPr="001823CC">
        <w:rPr>
          <w:rFonts w:ascii="Times New Roman" w:hAnsi="Times New Roman" w:cs="Times New Roman"/>
          <w:i/>
          <w:sz w:val="24"/>
          <w:szCs w:val="24"/>
        </w:rPr>
        <w:t xml:space="preserve"> et al.</w:t>
      </w:r>
      <w:r w:rsidRPr="001823CC">
        <w:rPr>
          <w:rFonts w:ascii="Times New Roman" w:hAnsi="Times New Roman" w:cs="Times New Roman"/>
          <w:sz w:val="24"/>
          <w:szCs w:val="24"/>
        </w:rPr>
        <w:t>, 2012, Heron</w:t>
      </w:r>
      <w:r w:rsidRPr="001823CC">
        <w:rPr>
          <w:rFonts w:ascii="Times New Roman" w:hAnsi="Times New Roman" w:cs="Times New Roman"/>
          <w:i/>
          <w:sz w:val="24"/>
          <w:szCs w:val="24"/>
        </w:rPr>
        <w:t xml:space="preserve"> et al.</w:t>
      </w:r>
      <w:r w:rsidRPr="001823CC">
        <w:rPr>
          <w:rFonts w:ascii="Times New Roman" w:hAnsi="Times New Roman" w:cs="Times New Roman"/>
          <w:sz w:val="24"/>
          <w:szCs w:val="24"/>
        </w:rPr>
        <w:t>, 2013, Miettunen</w:t>
      </w:r>
      <w:r w:rsidRPr="001823CC">
        <w:rPr>
          <w:rFonts w:ascii="Times New Roman" w:hAnsi="Times New Roman" w:cs="Times New Roman"/>
          <w:i/>
          <w:sz w:val="24"/>
          <w:szCs w:val="24"/>
        </w:rPr>
        <w:t xml:space="preserve"> et al.</w:t>
      </w:r>
      <w:r w:rsidRPr="001823CC">
        <w:rPr>
          <w:rFonts w:ascii="Times New Roman" w:hAnsi="Times New Roman" w:cs="Times New Roman"/>
          <w:sz w:val="24"/>
          <w:szCs w:val="24"/>
        </w:rPr>
        <w:t>, 2014)</w:t>
      </w:r>
      <w:r w:rsidRPr="001823CC">
        <w:rPr>
          <w:rFonts w:ascii="Times New Roman" w:hAnsi="Times New Roman" w:cs="Times New Roman"/>
          <w:sz w:val="24"/>
          <w:szCs w:val="24"/>
          <w:lang w:val="en-US"/>
        </w:rPr>
        <w:t>. Using EP6 we found strong associations between externalizing behaviour problems and use of alcohol, cigarettes and cannabis in a representative Danish sample (Pedersen</w:t>
      </w:r>
      <w:r w:rsidRPr="001823CC">
        <w:rPr>
          <w:rFonts w:ascii="Times New Roman" w:hAnsi="Times New Roman" w:cs="Times New Roman"/>
          <w:i/>
          <w:sz w:val="24"/>
          <w:szCs w:val="24"/>
          <w:lang w:val="en-US"/>
        </w:rPr>
        <w:t xml:space="preserve"> et al.</w:t>
      </w:r>
      <w:r w:rsidRPr="001823CC">
        <w:rPr>
          <w:rFonts w:ascii="Times New Roman" w:hAnsi="Times New Roman" w:cs="Times New Roman"/>
          <w:sz w:val="24"/>
          <w:szCs w:val="24"/>
          <w:lang w:val="en-US"/>
        </w:rPr>
        <w:t>, 2017) and across Nordic countries (Pedersen</w:t>
      </w:r>
      <w:r w:rsidRPr="001823CC">
        <w:rPr>
          <w:rFonts w:ascii="Times New Roman" w:hAnsi="Times New Roman" w:cs="Times New Roman"/>
          <w:i/>
          <w:sz w:val="24"/>
          <w:szCs w:val="24"/>
          <w:lang w:val="en-US"/>
        </w:rPr>
        <w:t xml:space="preserve"> et al.</w:t>
      </w:r>
      <w:r w:rsidRPr="001823CC">
        <w:rPr>
          <w:rFonts w:ascii="Times New Roman" w:hAnsi="Times New Roman" w:cs="Times New Roman"/>
          <w:sz w:val="24"/>
          <w:szCs w:val="24"/>
          <w:lang w:val="en-US"/>
        </w:rPr>
        <w:t xml:space="preserve">, 2018); e.g. among 15-16-year-olds, odds ratios for EP6 ≥ 90 percentile and binge drinking at least once a week (past 30 days) was 1.71, </w:t>
      </w:r>
      <w:r w:rsidRPr="001823CC">
        <w:rPr>
          <w:rFonts w:ascii="Times New Roman" w:hAnsi="Times New Roman" w:cs="Times New Roman"/>
          <w:i/>
          <w:iCs/>
          <w:sz w:val="24"/>
          <w:szCs w:val="24"/>
          <w:lang w:val="en-US"/>
        </w:rPr>
        <w:t>p</w:t>
      </w:r>
      <w:r w:rsidRPr="001823CC">
        <w:rPr>
          <w:rFonts w:ascii="Times New Roman" w:hAnsi="Times New Roman" w:cs="Times New Roman"/>
          <w:sz w:val="24"/>
          <w:szCs w:val="24"/>
          <w:lang w:val="en-US"/>
        </w:rPr>
        <w:t xml:space="preserve"> &lt; 0.001 (Pedersen</w:t>
      </w:r>
      <w:r w:rsidRPr="001823CC">
        <w:rPr>
          <w:rFonts w:ascii="Times New Roman" w:hAnsi="Times New Roman" w:cs="Times New Roman"/>
          <w:i/>
          <w:sz w:val="24"/>
          <w:szCs w:val="24"/>
          <w:lang w:val="en-US"/>
        </w:rPr>
        <w:t xml:space="preserve"> et al.</w:t>
      </w:r>
      <w:r w:rsidRPr="001823CC">
        <w:rPr>
          <w:rFonts w:ascii="Times New Roman" w:hAnsi="Times New Roman" w:cs="Times New Roman"/>
          <w:sz w:val="24"/>
          <w:szCs w:val="24"/>
          <w:lang w:val="en-US"/>
        </w:rPr>
        <w:t>, 2017). A cut-off of EP6= 4 – 6 and IP6 = 0/1 yielded 84.8% of sensitivity and 99.6% of specificity in classifying individuals with the same binge drinking (Pedersen</w:t>
      </w:r>
      <w:r w:rsidRPr="001823CC">
        <w:rPr>
          <w:rFonts w:ascii="Times New Roman" w:hAnsi="Times New Roman" w:cs="Times New Roman"/>
          <w:i/>
          <w:sz w:val="24"/>
          <w:szCs w:val="24"/>
          <w:lang w:val="en-US"/>
        </w:rPr>
        <w:t xml:space="preserve"> et al.</w:t>
      </w:r>
      <w:r w:rsidRPr="001823CC">
        <w:rPr>
          <w:rFonts w:ascii="Times New Roman" w:hAnsi="Times New Roman" w:cs="Times New Roman"/>
          <w:sz w:val="24"/>
          <w:szCs w:val="24"/>
          <w:lang w:val="en-US"/>
        </w:rPr>
        <w:t>, 2017). We have previously reported that specific impulsivity traits in this sample, such as urgency and lack of perseverance, are positively associated with substance and non-substance addiction-related behaviours (Rømer Thomsen</w:t>
      </w:r>
      <w:r w:rsidRPr="001823CC">
        <w:rPr>
          <w:rFonts w:ascii="Times New Roman" w:hAnsi="Times New Roman" w:cs="Times New Roman"/>
          <w:i/>
          <w:sz w:val="24"/>
          <w:szCs w:val="24"/>
          <w:lang w:val="en-US"/>
        </w:rPr>
        <w:t xml:space="preserve"> et al.</w:t>
      </w:r>
      <w:r w:rsidRPr="001823CC">
        <w:rPr>
          <w:rFonts w:ascii="Times New Roman" w:hAnsi="Times New Roman" w:cs="Times New Roman"/>
          <w:sz w:val="24"/>
          <w:szCs w:val="24"/>
          <w:lang w:val="en-US"/>
        </w:rPr>
        <w:t>, 2018), and that distraction towards task-based alcohol cues and subjective craving are positively associated with alcohol use (Kvamme</w:t>
      </w:r>
      <w:r w:rsidRPr="001823CC">
        <w:rPr>
          <w:rFonts w:ascii="Times New Roman" w:hAnsi="Times New Roman" w:cs="Times New Roman"/>
          <w:i/>
          <w:sz w:val="24"/>
          <w:szCs w:val="24"/>
          <w:lang w:val="en-US"/>
        </w:rPr>
        <w:t xml:space="preserve"> et al.</w:t>
      </w:r>
      <w:r w:rsidRPr="001823CC">
        <w:rPr>
          <w:rFonts w:ascii="Times New Roman" w:hAnsi="Times New Roman" w:cs="Times New Roman"/>
          <w:sz w:val="24"/>
          <w:szCs w:val="24"/>
          <w:lang w:val="en-US"/>
        </w:rPr>
        <w:t>, 2018). Medication-free participants were included if they had no current major psychiatric disorder or substance use disorder assessed with the Mini International Neuropsychiatric Inventory</w:t>
      </w:r>
      <w:r w:rsidRPr="001823CC">
        <w:rPr>
          <w:rFonts w:ascii="Times New Roman" w:hAnsi="Times New Roman" w:cs="Times New Roman"/>
          <w:sz w:val="24"/>
          <w:szCs w:val="24"/>
          <w:vertAlign w:val="superscript"/>
        </w:rPr>
        <w:t xml:space="preserve"> </w:t>
      </w:r>
      <w:r w:rsidRPr="001823CC">
        <w:rPr>
          <w:rFonts w:ascii="Times New Roman" w:hAnsi="Times New Roman" w:cs="Times New Roman"/>
          <w:sz w:val="24"/>
          <w:szCs w:val="24"/>
        </w:rPr>
        <w:t>(Lecrubier</w:t>
      </w:r>
      <w:r w:rsidRPr="001823CC">
        <w:rPr>
          <w:rFonts w:ascii="Times New Roman" w:hAnsi="Times New Roman" w:cs="Times New Roman"/>
          <w:i/>
          <w:sz w:val="24"/>
          <w:szCs w:val="24"/>
        </w:rPr>
        <w:t xml:space="preserve"> et al.</w:t>
      </w:r>
      <w:r w:rsidRPr="001823CC">
        <w:rPr>
          <w:rFonts w:ascii="Times New Roman" w:hAnsi="Times New Roman" w:cs="Times New Roman"/>
          <w:sz w:val="24"/>
          <w:szCs w:val="24"/>
        </w:rPr>
        <w:t>, 1997)</w:t>
      </w:r>
      <w:r w:rsidRPr="001823CC">
        <w:rPr>
          <w:rFonts w:ascii="Times New Roman" w:hAnsi="Times New Roman" w:cs="Times New Roman"/>
          <w:sz w:val="24"/>
          <w:szCs w:val="24"/>
        </w:rPr>
        <w:fldChar w:fldCharType="begin"/>
      </w:r>
      <w:r w:rsidRPr="001823CC">
        <w:rPr>
          <w:rFonts w:ascii="Times New Roman" w:hAnsi="Times New Roman" w:cs="Times New Roman"/>
          <w:sz w:val="24"/>
          <w:szCs w:val="24"/>
        </w:rPr>
        <w:instrText>ADDIN EN.CITE &lt;EndNote&gt;&lt;Cite&gt;&lt;Author&gt;Lecrubier&lt;/Author&gt;&lt;Year&gt;1997&lt;/Year&gt;&lt;RecNum&gt;75&lt;/RecNum&gt;&lt;DisplayText&gt;(Lecrubier&lt;style face="italic"&gt; et al.&lt;/style&gt;, 1997)&lt;/DisplayText&gt;&lt;record&gt;&lt;rec-number&gt;75&lt;/rec-number&gt;&lt;foreign-keys&gt;&lt;key app="EN" db-id="vzda9fzsnfe0pae29fn5tr27r9xxtzd9af2d" timestamp="1468954849"&gt;75&lt;/key&gt;&lt;key app="ENWeb" db-id=""&gt;0&lt;/key&gt;&lt;/foreign-keys&gt;&lt;ref-type name="Journal Article"&gt;17&lt;/ref-type&gt;&lt;contributors&gt;&lt;authors&gt;&lt;author&gt;Lecrubier, Y.&lt;/author&gt;&lt;author&gt;Sheehan, D. V.&lt;/author&gt;&lt;author&gt;Weiller, E.&lt;/author&gt;&lt;author&gt;Amorim, P.&lt;/author&gt;&lt;author&gt;Bonora, I.&lt;/author&gt;&lt;author&gt;Sheehan, K. H.&lt;/author&gt;&lt;author&gt;Janavs, J.&lt;/author&gt;&lt;author&gt;Dunbar, G. C.&lt;/author&gt;&lt;/authors&gt;&lt;/contributors&gt;&lt;titles&gt;&lt;title&gt;The Mini International Neuropsychiatric Interview (MINI). A short diagnostic structured interview: Reliability and validity according to the CIDI&lt;/title&gt;&lt;secondary-title&gt;European Psychiatry&lt;/secondary-title&gt;&lt;alt-title&gt;Eur Psychiat&lt;/alt-title&gt;&lt;/titles&gt;&lt;periodical&gt;&lt;full-title&gt;European Psychiatry&lt;/full-title&gt;&lt;abbr-1&gt;Eur Psychiat&lt;/abbr-1&gt;&lt;/periodical&gt;&lt;alt-periodical&gt;&lt;full-title&gt;European Psychiatry&lt;/full-title&gt;&lt;abbr-1&gt;Eur Psychiat&lt;/abbr-1&gt;&lt;/alt-periodical&gt;&lt;pages&gt;224-231&lt;/pages&gt;&lt;volume&gt;12&lt;/volume&gt;&lt;number&gt;5&lt;/number&gt;&lt;keywords&gt;&lt;keyword&gt;structured diagnostic interview&lt;/keyword&gt;&lt;keyword&gt;psychiatric diagnosis&lt;/keyword&gt;&lt;keyword&gt;mini&lt;/keyword&gt;&lt;keyword&gt;dsm-iii&lt;/keyword&gt;&lt;keyword&gt;clinical interview&lt;/keyword&gt;&lt;keyword&gt;depression&lt;/keyword&gt;&lt;keyword&gt;recognition&lt;/keyword&gt;&lt;keyword&gt;disorders&lt;/keyword&gt;&lt;keyword&gt;anxiety&lt;/keyword&gt;&lt;keyword&gt;trial&lt;/keyword&gt;&lt;keyword&gt;care&lt;/keyword&gt;&lt;/keywords&gt;&lt;dates&gt;&lt;year&gt;1997&lt;/year&gt;&lt;/dates&gt;&lt;isbn&gt;0924-9338&lt;/isbn&gt;&lt;accession-num&gt;WOS:A1997XL26800002&lt;/accession-num&gt;&lt;urls&gt;&lt;related-urls&gt;&lt;url&gt;&amp;lt;Go to ISI&amp;gt;://WOS:A1997XL26800002&lt;/url&gt;&lt;/related-urls&gt;&lt;/urls&gt;&lt;electronic-resource-num&gt;Doi 10.1016/S0924-9338(97)83296-8&lt;/electronic-resource-num&gt;&lt;language&gt;English&lt;/language&gt;&lt;/record&gt;&lt;/Cite&gt;&lt;/EndNote&gt;</w:instrText>
      </w:r>
      <w:r w:rsidRPr="001823CC">
        <w:rPr>
          <w:rFonts w:ascii="Times New Roman" w:hAnsi="Times New Roman" w:cs="Times New Roman"/>
          <w:sz w:val="24"/>
          <w:szCs w:val="24"/>
        </w:rPr>
        <w:fldChar w:fldCharType="end"/>
      </w:r>
      <w:bookmarkStart w:id="0" w:name="__Fieldmark__373_3965895018"/>
      <w:bookmarkStart w:id="1" w:name="__Fieldmark__951_3035390939"/>
      <w:bookmarkStart w:id="2" w:name="__Fieldmark__485_2506078929"/>
      <w:bookmarkEnd w:id="0"/>
      <w:bookmarkEnd w:id="1"/>
      <w:bookmarkEnd w:id="2"/>
      <w:r w:rsidRPr="001823CC">
        <w:rPr>
          <w:rFonts w:ascii="Times New Roman" w:hAnsi="Times New Roman" w:cs="Times New Roman"/>
          <w:sz w:val="24"/>
          <w:szCs w:val="24"/>
        </w:rPr>
        <w:t>.</w:t>
      </w:r>
    </w:p>
    <w:p w14:paraId="1F439FC5" w14:textId="2A5F949D" w:rsidR="009A254F" w:rsidRDefault="009A254F" w:rsidP="005D0C7E">
      <w:pPr>
        <w:spacing w:after="0" w:line="480" w:lineRule="auto"/>
        <w:contextualSpacing/>
        <w:rPr>
          <w:rFonts w:ascii="Times New Roman" w:hAnsi="Times New Roman" w:cs="Times New Roman"/>
          <w:b/>
          <w:sz w:val="24"/>
          <w:szCs w:val="24"/>
        </w:rPr>
      </w:pPr>
    </w:p>
    <w:p w14:paraId="2FD515BD" w14:textId="77777777" w:rsidR="002D067C" w:rsidRPr="001823CC" w:rsidRDefault="002D067C" w:rsidP="005D0C7E">
      <w:pPr>
        <w:spacing w:after="0" w:line="480" w:lineRule="auto"/>
        <w:contextualSpacing/>
        <w:rPr>
          <w:rFonts w:ascii="Times New Roman" w:hAnsi="Times New Roman" w:cs="Times New Roman"/>
          <w:b/>
          <w:sz w:val="24"/>
          <w:szCs w:val="24"/>
        </w:rPr>
      </w:pPr>
    </w:p>
    <w:p w14:paraId="4322D636" w14:textId="77777777" w:rsidR="001823CC" w:rsidRPr="001823CC" w:rsidRDefault="001823CC" w:rsidP="001823CC">
      <w:pPr>
        <w:pStyle w:val="Heading1"/>
        <w:rPr>
          <w:sz w:val="24"/>
          <w:szCs w:val="24"/>
        </w:rPr>
      </w:pPr>
      <w:r w:rsidRPr="001823CC">
        <w:rPr>
          <w:sz w:val="24"/>
          <w:szCs w:val="24"/>
        </w:rPr>
        <w:lastRenderedPageBreak/>
        <w:t xml:space="preserve">Self-report measures of addictive behaviours </w:t>
      </w:r>
    </w:p>
    <w:p w14:paraId="73EDA410" w14:textId="77777777" w:rsidR="001823CC" w:rsidRPr="001823CC" w:rsidRDefault="001823CC" w:rsidP="002D067C">
      <w:pPr>
        <w:pStyle w:val="2ndparagraphs"/>
        <w:ind w:firstLine="720"/>
        <w:rPr>
          <w:sz w:val="24"/>
          <w:szCs w:val="24"/>
          <w:lang w:val="en-US"/>
        </w:rPr>
      </w:pPr>
      <w:r w:rsidRPr="001823CC">
        <w:rPr>
          <w:sz w:val="24"/>
          <w:szCs w:val="24"/>
          <w:lang w:val="en-US"/>
        </w:rPr>
        <w:t xml:space="preserve">Other than AUDIT, the brief 8-item version of the Cannabis Use Disorder Identification Test-Revised </w:t>
      </w:r>
      <w:r w:rsidRPr="001823CC">
        <w:rPr>
          <w:noProof/>
          <w:sz w:val="24"/>
          <w:szCs w:val="24"/>
          <w:lang w:val="en-US"/>
        </w:rPr>
        <w:t>(</w:t>
      </w:r>
      <w:r w:rsidRPr="001823CC">
        <w:rPr>
          <w:sz w:val="24"/>
          <w:szCs w:val="24"/>
          <w:lang w:val="en-US"/>
        </w:rPr>
        <w:t xml:space="preserve">CUDIT-R; </w:t>
      </w:r>
      <w:r w:rsidRPr="001823CC">
        <w:rPr>
          <w:noProof/>
          <w:sz w:val="24"/>
          <w:szCs w:val="24"/>
          <w:lang w:val="en-US"/>
        </w:rPr>
        <w:t>Adamson and Sellman, 2003)</w:t>
      </w:r>
      <w:r w:rsidRPr="001823CC">
        <w:rPr>
          <w:sz w:val="24"/>
          <w:szCs w:val="24"/>
          <w:lang w:val="en-US"/>
        </w:rPr>
        <w:t xml:space="preserve"> was used for </w:t>
      </w:r>
      <w:bookmarkStart w:id="3" w:name="_Hlk31018626"/>
      <w:r w:rsidRPr="001823CC">
        <w:rPr>
          <w:sz w:val="24"/>
          <w:szCs w:val="24"/>
          <w:lang w:val="en-US"/>
        </w:rPr>
        <w:t xml:space="preserve">problematic cannabis use </w:t>
      </w:r>
      <w:bookmarkEnd w:id="3"/>
      <w:r w:rsidRPr="001823CC">
        <w:rPr>
          <w:sz w:val="24"/>
          <w:szCs w:val="24"/>
          <w:lang w:val="en-US"/>
        </w:rPr>
        <w:t xml:space="preserve">which has equivalent or superior psychometric properties to the full length CUDIT. Problematic use of drugs (other than cannabis) was measured using the Drug Use Disorder Identification Test </w:t>
      </w:r>
      <w:r w:rsidRPr="001823CC">
        <w:rPr>
          <w:noProof/>
          <w:sz w:val="24"/>
          <w:szCs w:val="24"/>
          <w:lang w:val="en-US"/>
        </w:rPr>
        <w:t>(</w:t>
      </w:r>
      <w:r w:rsidRPr="001823CC">
        <w:rPr>
          <w:sz w:val="24"/>
          <w:szCs w:val="24"/>
          <w:lang w:val="en-US"/>
        </w:rPr>
        <w:t xml:space="preserve">DUDIT; </w:t>
      </w:r>
      <w:r w:rsidRPr="001823CC">
        <w:rPr>
          <w:noProof/>
          <w:sz w:val="24"/>
          <w:szCs w:val="24"/>
          <w:lang w:val="en-US"/>
        </w:rPr>
        <w:t>Berman</w:t>
      </w:r>
      <w:r w:rsidRPr="001823CC">
        <w:rPr>
          <w:i/>
          <w:noProof/>
          <w:sz w:val="24"/>
          <w:szCs w:val="24"/>
          <w:lang w:val="en-US"/>
        </w:rPr>
        <w:t xml:space="preserve"> et al.</w:t>
      </w:r>
      <w:r w:rsidRPr="001823CC">
        <w:rPr>
          <w:noProof/>
          <w:sz w:val="24"/>
          <w:szCs w:val="24"/>
          <w:lang w:val="en-US"/>
        </w:rPr>
        <w:t>, 2005)</w:t>
      </w:r>
      <w:r w:rsidRPr="001823CC">
        <w:rPr>
          <w:sz w:val="24"/>
          <w:szCs w:val="24"/>
          <w:lang w:val="en-US"/>
        </w:rPr>
        <w:t xml:space="preserve">, a validated 11-item questionnaire assessing patterns of </w:t>
      </w:r>
      <w:bookmarkStart w:id="4" w:name="_Hlk31018634"/>
      <w:r w:rsidRPr="001823CC">
        <w:rPr>
          <w:sz w:val="24"/>
          <w:szCs w:val="24"/>
          <w:lang w:val="en-US"/>
        </w:rPr>
        <w:t>drug use and drug-related problems</w:t>
      </w:r>
      <w:bookmarkEnd w:id="4"/>
      <w:r w:rsidRPr="001823CC">
        <w:rPr>
          <w:sz w:val="24"/>
          <w:szCs w:val="24"/>
          <w:lang w:val="en-US"/>
        </w:rPr>
        <w:t xml:space="preserve">. We used the Internet Gaming Disorder Scale Short Format </w:t>
      </w:r>
      <w:r w:rsidRPr="001823CC">
        <w:rPr>
          <w:noProof/>
          <w:sz w:val="24"/>
          <w:szCs w:val="24"/>
          <w:lang w:val="en-US"/>
        </w:rPr>
        <w:t>(</w:t>
      </w:r>
      <w:r w:rsidRPr="001823CC">
        <w:rPr>
          <w:sz w:val="24"/>
          <w:szCs w:val="24"/>
          <w:lang w:val="en-US"/>
        </w:rPr>
        <w:t xml:space="preserve">IGD; </w:t>
      </w:r>
      <w:r w:rsidRPr="001823CC">
        <w:rPr>
          <w:noProof/>
          <w:sz w:val="24"/>
          <w:szCs w:val="24"/>
          <w:lang w:val="en-US"/>
        </w:rPr>
        <w:t>Pontes and Griffiths, 2015)</w:t>
      </w:r>
      <w:r w:rsidRPr="001823CC">
        <w:rPr>
          <w:sz w:val="24"/>
          <w:szCs w:val="24"/>
          <w:lang w:val="en-US"/>
        </w:rPr>
        <w:t xml:space="preserve">, a validated 9-item questionnaire adapted from criteria that define </w:t>
      </w:r>
      <w:bookmarkStart w:id="5" w:name="_Hlk31018645"/>
      <w:r w:rsidRPr="001823CC">
        <w:rPr>
          <w:sz w:val="24"/>
          <w:szCs w:val="24"/>
          <w:lang w:val="en-US"/>
        </w:rPr>
        <w:t>internet gaming disorder</w:t>
      </w:r>
      <w:bookmarkEnd w:id="5"/>
      <w:r w:rsidRPr="001823CC">
        <w:rPr>
          <w:sz w:val="24"/>
          <w:szCs w:val="24"/>
          <w:lang w:val="en-US"/>
        </w:rPr>
        <w:t xml:space="preserve">. </w:t>
      </w:r>
      <w:bookmarkStart w:id="6" w:name="_Hlk31018653"/>
      <w:r w:rsidRPr="001823CC">
        <w:rPr>
          <w:sz w:val="24"/>
          <w:szCs w:val="24"/>
          <w:lang w:val="en-US"/>
        </w:rPr>
        <w:t>Problematic pornography use</w:t>
      </w:r>
      <w:bookmarkEnd w:id="6"/>
      <w:r w:rsidRPr="001823CC">
        <w:rPr>
          <w:sz w:val="24"/>
          <w:szCs w:val="24"/>
          <w:lang w:val="en-US"/>
        </w:rPr>
        <w:t xml:space="preserve"> was measured using the Pornography Craving Questionnaire, </w:t>
      </w:r>
      <w:r w:rsidRPr="001823CC">
        <w:rPr>
          <w:noProof/>
          <w:sz w:val="24"/>
          <w:szCs w:val="24"/>
          <w:lang w:val="en-US"/>
        </w:rPr>
        <w:t>(</w:t>
      </w:r>
      <w:r w:rsidRPr="001823CC">
        <w:rPr>
          <w:sz w:val="24"/>
          <w:szCs w:val="24"/>
          <w:lang w:val="en-US"/>
        </w:rPr>
        <w:t xml:space="preserve">PCQ; </w:t>
      </w:r>
      <w:r w:rsidRPr="001823CC">
        <w:rPr>
          <w:noProof/>
          <w:sz w:val="24"/>
          <w:szCs w:val="24"/>
          <w:lang w:val="en-US"/>
        </w:rPr>
        <w:t>Kraus and Rosenberg, 2014)</w:t>
      </w:r>
      <w:r w:rsidRPr="001823CC">
        <w:rPr>
          <w:sz w:val="24"/>
          <w:szCs w:val="24"/>
          <w:lang w:val="en-US"/>
        </w:rPr>
        <w:t xml:space="preserve">, a 12-item questionnaire assessing current craving for pornography with good internal consistency and reliability </w:t>
      </w:r>
      <w:r w:rsidRPr="001823CC">
        <w:rPr>
          <w:noProof/>
          <w:sz w:val="24"/>
          <w:szCs w:val="24"/>
          <w:lang w:val="en-US"/>
        </w:rPr>
        <w:t>(Kraus and Rosenberg, 2014)</w:t>
      </w:r>
      <w:r w:rsidRPr="001823CC">
        <w:rPr>
          <w:sz w:val="24"/>
          <w:szCs w:val="24"/>
        </w:rPr>
        <w:t xml:space="preserve">. The </w:t>
      </w:r>
      <w:r w:rsidRPr="001823CC">
        <w:rPr>
          <w:sz w:val="24"/>
          <w:szCs w:val="24"/>
          <w:lang w:val="en-US"/>
        </w:rPr>
        <w:t xml:space="preserve">Binge Eating Scale </w:t>
      </w:r>
      <w:r w:rsidRPr="001823CC">
        <w:rPr>
          <w:noProof/>
          <w:sz w:val="24"/>
          <w:szCs w:val="24"/>
          <w:lang w:val="en-US"/>
        </w:rPr>
        <w:t>(</w:t>
      </w:r>
      <w:r w:rsidRPr="001823CC">
        <w:rPr>
          <w:sz w:val="24"/>
          <w:szCs w:val="24"/>
          <w:lang w:val="en-US"/>
        </w:rPr>
        <w:t xml:space="preserve">BES; </w:t>
      </w:r>
      <w:r w:rsidRPr="001823CC">
        <w:rPr>
          <w:noProof/>
          <w:sz w:val="24"/>
          <w:szCs w:val="24"/>
          <w:lang w:val="en-US"/>
        </w:rPr>
        <w:t>Gormally</w:t>
      </w:r>
      <w:r w:rsidRPr="001823CC">
        <w:rPr>
          <w:i/>
          <w:noProof/>
          <w:sz w:val="24"/>
          <w:szCs w:val="24"/>
          <w:lang w:val="en-US"/>
        </w:rPr>
        <w:t xml:space="preserve"> et al.</w:t>
      </w:r>
      <w:r w:rsidRPr="001823CC">
        <w:rPr>
          <w:noProof/>
          <w:sz w:val="24"/>
          <w:szCs w:val="24"/>
          <w:lang w:val="en-US"/>
        </w:rPr>
        <w:t>, 1982)</w:t>
      </w:r>
      <w:r w:rsidRPr="001823CC">
        <w:rPr>
          <w:sz w:val="24"/>
          <w:szCs w:val="24"/>
          <w:lang w:val="en-US"/>
        </w:rPr>
        <w:t xml:space="preserve">, a 16-item questionnaire with high sensitivity and specificity was used for </w:t>
      </w:r>
      <w:bookmarkStart w:id="7" w:name="_Hlk31018663"/>
      <w:r w:rsidRPr="001823CC">
        <w:rPr>
          <w:sz w:val="24"/>
          <w:szCs w:val="24"/>
          <w:lang w:val="en-US"/>
        </w:rPr>
        <w:t>problematic binge eating</w:t>
      </w:r>
      <w:bookmarkEnd w:id="7"/>
      <w:r w:rsidRPr="001823CC">
        <w:rPr>
          <w:sz w:val="24"/>
          <w:szCs w:val="24"/>
          <w:lang w:val="en-US"/>
        </w:rPr>
        <w:t>.</w:t>
      </w:r>
    </w:p>
    <w:p w14:paraId="7EBBE3C2" w14:textId="77777777" w:rsidR="001823CC" w:rsidRPr="001823CC" w:rsidRDefault="001823CC" w:rsidP="001823CC">
      <w:pPr>
        <w:spacing w:after="0" w:line="480" w:lineRule="auto"/>
        <w:contextualSpacing/>
        <w:rPr>
          <w:rFonts w:ascii="Times New Roman" w:hAnsi="Times New Roman" w:cs="Times New Roman"/>
          <w:sz w:val="24"/>
          <w:szCs w:val="24"/>
          <w:lang w:val="en-US"/>
        </w:rPr>
      </w:pPr>
      <w:r w:rsidRPr="001823CC">
        <w:rPr>
          <w:rFonts w:ascii="Times New Roman" w:hAnsi="Times New Roman" w:cs="Times New Roman"/>
          <w:sz w:val="24"/>
          <w:szCs w:val="24"/>
          <w:lang w:val="en-US"/>
        </w:rPr>
        <w:tab/>
        <w:t>The AUDIT, CUDIT-R and DUDIT were available in Danish, and remaining questionnaires were translated from English to Danish by two Danish researchers with proficient English language abilities. Correlations between self-reported addictive behaviours are shown in Supplementary Table 1. The change in AUDIT score did not correlate with changes in other substance or behavioural addiction measures.</w:t>
      </w:r>
    </w:p>
    <w:p w14:paraId="5084C823" w14:textId="2565D666" w:rsidR="001823CC" w:rsidRPr="00AF339E" w:rsidRDefault="001823CC" w:rsidP="005D0C7E">
      <w:pPr>
        <w:spacing w:after="0" w:line="480" w:lineRule="auto"/>
        <w:contextualSpacing/>
        <w:rPr>
          <w:rFonts w:ascii="Times New Roman" w:hAnsi="Times New Roman" w:cs="Times New Roman"/>
          <w:sz w:val="24"/>
          <w:szCs w:val="24"/>
        </w:rPr>
      </w:pPr>
      <w:r w:rsidRPr="001823CC">
        <w:rPr>
          <w:rFonts w:ascii="Times New Roman" w:hAnsi="Times New Roman" w:cs="Times New Roman"/>
          <w:sz w:val="24"/>
          <w:szCs w:val="24"/>
          <w:lang w:val="en-US"/>
        </w:rPr>
        <w:tab/>
      </w:r>
      <w:bookmarkStart w:id="8" w:name="_Hlk31018674"/>
      <w:r w:rsidRPr="001823CC">
        <w:rPr>
          <w:rFonts w:ascii="Times New Roman" w:hAnsi="Times New Roman" w:cs="Times New Roman"/>
          <w:sz w:val="24"/>
          <w:szCs w:val="24"/>
          <w:lang w:val="en-US"/>
        </w:rPr>
        <w:t xml:space="preserve">Impulsivity traits </w:t>
      </w:r>
      <w:bookmarkEnd w:id="8"/>
      <w:r w:rsidRPr="001823CC">
        <w:rPr>
          <w:rFonts w:ascii="Times New Roman" w:hAnsi="Times New Roman" w:cs="Times New Roman"/>
          <w:sz w:val="24"/>
          <w:szCs w:val="24"/>
          <w:lang w:val="en-US"/>
        </w:rPr>
        <w:t xml:space="preserve">were measured using the UPPS-P Impulsive Behaviour Scale </w:t>
      </w:r>
      <w:r w:rsidRPr="001823CC">
        <w:rPr>
          <w:rFonts w:ascii="Times New Roman" w:hAnsi="Times New Roman" w:cs="Times New Roman"/>
          <w:noProof/>
          <w:sz w:val="24"/>
          <w:szCs w:val="24"/>
          <w:lang w:val="en-US"/>
        </w:rPr>
        <w:t>(Cyders</w:t>
      </w:r>
      <w:r w:rsidRPr="001823CC">
        <w:rPr>
          <w:rFonts w:ascii="Times New Roman" w:hAnsi="Times New Roman" w:cs="Times New Roman"/>
          <w:i/>
          <w:noProof/>
          <w:sz w:val="24"/>
          <w:szCs w:val="24"/>
          <w:lang w:val="en-US"/>
        </w:rPr>
        <w:t xml:space="preserve"> et al.</w:t>
      </w:r>
      <w:r w:rsidRPr="001823CC">
        <w:rPr>
          <w:rFonts w:ascii="Times New Roman" w:hAnsi="Times New Roman" w:cs="Times New Roman"/>
          <w:noProof/>
          <w:sz w:val="24"/>
          <w:szCs w:val="24"/>
          <w:lang w:val="en-US"/>
        </w:rPr>
        <w:t>, 2007, Lynam</w:t>
      </w:r>
      <w:r w:rsidRPr="001823CC">
        <w:rPr>
          <w:rFonts w:ascii="Times New Roman" w:hAnsi="Times New Roman" w:cs="Times New Roman"/>
          <w:i/>
          <w:noProof/>
          <w:sz w:val="24"/>
          <w:szCs w:val="24"/>
          <w:lang w:val="en-US"/>
        </w:rPr>
        <w:t xml:space="preserve"> et al.</w:t>
      </w:r>
      <w:r w:rsidRPr="001823CC">
        <w:rPr>
          <w:rFonts w:ascii="Times New Roman" w:hAnsi="Times New Roman" w:cs="Times New Roman"/>
          <w:noProof/>
          <w:sz w:val="24"/>
          <w:szCs w:val="24"/>
          <w:lang w:val="en-US"/>
        </w:rPr>
        <w:t>, 2006)</w:t>
      </w:r>
      <w:r w:rsidRPr="001823CC">
        <w:rPr>
          <w:rFonts w:ascii="Times New Roman" w:hAnsi="Times New Roman" w:cs="Times New Roman"/>
          <w:sz w:val="24"/>
          <w:szCs w:val="24"/>
          <w:lang w:val="en-US"/>
        </w:rPr>
        <w:t xml:space="preserve">, a 59-item questionnaire assessing impulsivity traits. Correlations between UPPS-P subscores and AUDIT scores can be found in Supplementary Table 2. </w:t>
      </w:r>
      <w:bookmarkStart w:id="9" w:name="_Hlk31112960"/>
      <w:r w:rsidRPr="001823CC">
        <w:rPr>
          <w:rFonts w:ascii="Times New Roman" w:hAnsi="Times New Roman" w:cs="Times New Roman"/>
          <w:sz w:val="24"/>
          <w:szCs w:val="24"/>
        </w:rPr>
        <w:t xml:space="preserve"> </w:t>
      </w:r>
      <w:bookmarkStart w:id="10" w:name="_Hlk31113238"/>
      <w:r w:rsidRPr="001823CC">
        <w:rPr>
          <w:rFonts w:ascii="Times New Roman" w:hAnsi="Times New Roman" w:cs="Times New Roman"/>
          <w:sz w:val="24"/>
          <w:szCs w:val="24"/>
        </w:rPr>
        <w:t xml:space="preserve">In the current sample, all baseline UPPS-P subscales were positively associated with the AUDIT at baseline, 1-year and 2-year follow-ups. The correlations between baseline UPPS-P subscales and change in AUDIT scores were significant at the 2-year follow-up for </w:t>
      </w:r>
      <w:r w:rsidRPr="001823CC">
        <w:rPr>
          <w:rFonts w:ascii="Times New Roman" w:hAnsi="Times New Roman" w:cs="Times New Roman"/>
          <w:sz w:val="24"/>
          <w:szCs w:val="24"/>
        </w:rPr>
        <w:lastRenderedPageBreak/>
        <w:t>Urgency, Premeditation, and Perseveration, all indicating a negative relationship between impulsivity levels and change in AUDIT scores.</w:t>
      </w:r>
      <w:bookmarkEnd w:id="9"/>
      <w:bookmarkEnd w:id="10"/>
    </w:p>
    <w:p w14:paraId="1A5B802C" w14:textId="77777777" w:rsidR="001823CC" w:rsidRPr="001823CC" w:rsidRDefault="001823CC" w:rsidP="005D0C7E">
      <w:pPr>
        <w:spacing w:after="0" w:line="480" w:lineRule="auto"/>
        <w:contextualSpacing/>
        <w:rPr>
          <w:rFonts w:ascii="Times New Roman" w:hAnsi="Times New Roman" w:cs="Times New Roman"/>
          <w:b/>
          <w:sz w:val="24"/>
          <w:szCs w:val="24"/>
        </w:rPr>
      </w:pPr>
    </w:p>
    <w:p w14:paraId="04E57F7D" w14:textId="75552432" w:rsidR="005D0C7E" w:rsidRPr="001823CC" w:rsidRDefault="005D0C7E" w:rsidP="005D0C7E">
      <w:pPr>
        <w:spacing w:after="0" w:line="480" w:lineRule="auto"/>
        <w:contextualSpacing/>
        <w:rPr>
          <w:rFonts w:ascii="Times New Roman" w:hAnsi="Times New Roman" w:cs="Times New Roman"/>
          <w:b/>
          <w:sz w:val="24"/>
          <w:szCs w:val="24"/>
        </w:rPr>
      </w:pPr>
      <w:r w:rsidRPr="001823CC">
        <w:rPr>
          <w:rFonts w:ascii="Times New Roman" w:hAnsi="Times New Roman" w:cs="Times New Roman"/>
          <w:b/>
          <w:sz w:val="24"/>
          <w:szCs w:val="24"/>
        </w:rPr>
        <w:t>Multicollinearity assessment</w:t>
      </w:r>
    </w:p>
    <w:p w14:paraId="73589E8C" w14:textId="77777777" w:rsidR="005D0C7E" w:rsidRPr="001823CC" w:rsidRDefault="005D0C7E" w:rsidP="005D0C7E">
      <w:pPr>
        <w:spacing w:after="0" w:line="480" w:lineRule="auto"/>
        <w:contextualSpacing/>
        <w:rPr>
          <w:rFonts w:ascii="Times New Roman" w:hAnsi="Times New Roman" w:cs="Times New Roman"/>
          <w:sz w:val="24"/>
          <w:szCs w:val="24"/>
        </w:rPr>
      </w:pPr>
      <w:r w:rsidRPr="001823CC">
        <w:rPr>
          <w:rFonts w:ascii="Times New Roman" w:hAnsi="Times New Roman" w:cs="Times New Roman"/>
          <w:sz w:val="24"/>
          <w:szCs w:val="24"/>
        </w:rPr>
        <w:tab/>
      </w:r>
      <w:r w:rsidR="00E31BCC" w:rsidRPr="001823CC">
        <w:rPr>
          <w:rFonts w:ascii="Times New Roman" w:hAnsi="Times New Roman" w:cs="Times New Roman"/>
          <w:sz w:val="24"/>
          <w:szCs w:val="24"/>
        </w:rPr>
        <w:t>The c</w:t>
      </w:r>
      <w:r w:rsidRPr="001823CC">
        <w:rPr>
          <w:rFonts w:ascii="Times New Roman" w:hAnsi="Times New Roman" w:cs="Times New Roman"/>
          <w:sz w:val="24"/>
          <w:szCs w:val="24"/>
        </w:rPr>
        <w:t>ondition index (CI) indicates near-dependency to each eigenvector of the covariance matrix of a given data, and a threshold of 30 is commonly used. Variance inflation factor (VIF) is a reciprocal of 1-R</w:t>
      </w:r>
      <w:r w:rsidRPr="001823CC">
        <w:rPr>
          <w:rFonts w:ascii="Times New Roman" w:hAnsi="Times New Roman" w:cs="Times New Roman"/>
          <w:sz w:val="24"/>
          <w:szCs w:val="24"/>
          <w:vertAlign w:val="superscript"/>
        </w:rPr>
        <w:t>2</w:t>
      </w:r>
      <w:r w:rsidRPr="001823CC">
        <w:rPr>
          <w:rFonts w:ascii="Times New Roman" w:hAnsi="Times New Roman" w:cs="Times New Roman"/>
          <w:sz w:val="24"/>
          <w:szCs w:val="24"/>
        </w:rPr>
        <w:t xml:space="preserve"> of a model explaining one variable by all the variables, values larger than 10 are problematic. </w:t>
      </w:r>
    </w:p>
    <w:p w14:paraId="102ABA9E" w14:textId="38B04C2B" w:rsidR="000B0330" w:rsidRPr="001823CC" w:rsidRDefault="000B0330" w:rsidP="009362BF">
      <w:pPr>
        <w:spacing w:after="0" w:line="480" w:lineRule="auto"/>
        <w:rPr>
          <w:rFonts w:ascii="Times New Roman" w:hAnsi="Times New Roman" w:cs="Times New Roman"/>
          <w:b/>
          <w:sz w:val="24"/>
          <w:szCs w:val="24"/>
        </w:rPr>
      </w:pPr>
    </w:p>
    <w:p w14:paraId="2D238788" w14:textId="790A30F8" w:rsidR="000B0330" w:rsidRPr="001823CC" w:rsidRDefault="000B0330" w:rsidP="000B0330">
      <w:pPr>
        <w:rPr>
          <w:rFonts w:ascii="Times New Roman" w:hAnsi="Times New Roman" w:cs="Times New Roman"/>
          <w:b/>
          <w:sz w:val="24"/>
          <w:szCs w:val="24"/>
        </w:rPr>
      </w:pPr>
      <w:r w:rsidRPr="001823CC">
        <w:rPr>
          <w:rFonts w:ascii="Times New Roman" w:hAnsi="Times New Roman" w:cs="Times New Roman"/>
          <w:b/>
          <w:sz w:val="24"/>
          <w:szCs w:val="24"/>
        </w:rPr>
        <w:t>Age confounding in AUDIT changes</w:t>
      </w:r>
    </w:p>
    <w:p w14:paraId="5E66E9C8" w14:textId="1883FF72" w:rsidR="000B0330" w:rsidRPr="001823CC" w:rsidRDefault="000B0330" w:rsidP="000B0330">
      <w:pPr>
        <w:spacing w:after="0" w:line="480" w:lineRule="auto"/>
        <w:rPr>
          <w:rFonts w:ascii="Times New Roman" w:hAnsi="Times New Roman" w:cs="Times New Roman"/>
          <w:noProof/>
          <w:sz w:val="24"/>
          <w:szCs w:val="24"/>
        </w:rPr>
      </w:pPr>
      <w:r w:rsidRPr="001823CC">
        <w:rPr>
          <w:rFonts w:ascii="Times New Roman" w:hAnsi="Times New Roman" w:cs="Times New Roman"/>
          <w:noProof/>
          <w:sz w:val="24"/>
          <w:szCs w:val="24"/>
        </w:rPr>
        <w:tab/>
        <w:t>Given the biphasic trend of alcohol consupmtion in youth (</w:t>
      </w:r>
      <w:r w:rsidR="00D47B01" w:rsidRPr="001823CC">
        <w:rPr>
          <w:rFonts w:ascii="Times New Roman" w:hAnsi="Times New Roman" w:cs="Times New Roman"/>
          <w:noProof/>
          <w:sz w:val="24"/>
          <w:szCs w:val="24"/>
        </w:rPr>
        <w:t xml:space="preserve">inclining up to a peak </w:t>
      </w:r>
      <w:r w:rsidRPr="001823CC">
        <w:rPr>
          <w:rFonts w:ascii="Times New Roman" w:hAnsi="Times New Roman" w:cs="Times New Roman"/>
          <w:noProof/>
          <w:sz w:val="24"/>
          <w:szCs w:val="24"/>
        </w:rPr>
        <w:t xml:space="preserve">around </w:t>
      </w:r>
      <w:r w:rsidR="00D47B01" w:rsidRPr="001823CC">
        <w:rPr>
          <w:rFonts w:ascii="Times New Roman" w:hAnsi="Times New Roman" w:cs="Times New Roman"/>
          <w:noProof/>
          <w:sz w:val="24"/>
          <w:szCs w:val="24"/>
        </w:rPr>
        <w:t xml:space="preserve">age of </w:t>
      </w:r>
      <w:r w:rsidRPr="001823CC">
        <w:rPr>
          <w:rFonts w:ascii="Times New Roman" w:hAnsi="Times New Roman" w:cs="Times New Roman"/>
          <w:noProof/>
          <w:sz w:val="24"/>
          <w:szCs w:val="24"/>
        </w:rPr>
        <w:t>20–24 years</w:t>
      </w:r>
      <w:r w:rsidR="00D47B01" w:rsidRPr="001823CC">
        <w:rPr>
          <w:rFonts w:ascii="Times New Roman" w:hAnsi="Times New Roman" w:cs="Times New Roman"/>
          <w:noProof/>
          <w:sz w:val="24"/>
          <w:szCs w:val="24"/>
        </w:rPr>
        <w:t xml:space="preserve"> and declining </w:t>
      </w:r>
      <w:r w:rsidR="006473FA" w:rsidRPr="001823CC">
        <w:rPr>
          <w:rFonts w:ascii="Times New Roman" w:hAnsi="Times New Roman" w:cs="Times New Roman"/>
          <w:noProof/>
          <w:sz w:val="24"/>
          <w:szCs w:val="24"/>
        </w:rPr>
        <w:t>after that</w:t>
      </w:r>
      <w:r w:rsidR="00D47B01" w:rsidRPr="001823CC">
        <w:rPr>
          <w:rFonts w:ascii="Times New Roman" w:hAnsi="Times New Roman" w:cs="Times New Roman"/>
          <w:noProof/>
          <w:sz w:val="24"/>
          <w:szCs w:val="24"/>
        </w:rPr>
        <w:t xml:space="preserve"> [World Health Organization, 2018]</w:t>
      </w:r>
      <w:r w:rsidRPr="001823CC">
        <w:rPr>
          <w:rFonts w:ascii="Times New Roman" w:hAnsi="Times New Roman" w:cs="Times New Roman"/>
          <w:noProof/>
          <w:sz w:val="24"/>
          <w:szCs w:val="24"/>
        </w:rPr>
        <w:t>)</w:t>
      </w:r>
      <w:r w:rsidR="00D47B01" w:rsidRPr="001823CC">
        <w:rPr>
          <w:rFonts w:ascii="Times New Roman" w:hAnsi="Times New Roman" w:cs="Times New Roman"/>
          <w:noProof/>
          <w:sz w:val="24"/>
          <w:szCs w:val="24"/>
        </w:rPr>
        <w:t xml:space="preserve">, it is reasonable to see if our data is also confounded by baseline age (i.e., a younger subject shows a incline; a older subject shows a decline). </w:t>
      </w:r>
      <w:r w:rsidR="00685BC8" w:rsidRPr="001823CC">
        <w:rPr>
          <w:rFonts w:ascii="Times New Roman" w:hAnsi="Times New Roman" w:cs="Times New Roman"/>
          <w:noProof/>
          <w:sz w:val="24"/>
          <w:szCs w:val="24"/>
        </w:rPr>
        <w:t>However, we did not find any significant effect of age on base line AUDIT scores (t[84] = 0.19, p = 0.85 for a liner effect; t[84] = 0.2, p = 0.84 for a quadratic effect). More importantly, l</w:t>
      </w:r>
      <w:r w:rsidR="00D47B01" w:rsidRPr="001823CC">
        <w:rPr>
          <w:rFonts w:ascii="Times New Roman" w:hAnsi="Times New Roman" w:cs="Times New Roman"/>
          <w:noProof/>
          <w:sz w:val="24"/>
          <w:szCs w:val="24"/>
        </w:rPr>
        <w:t xml:space="preserve">inear and quadlinear models </w:t>
      </w:r>
      <w:r w:rsidR="00A17EF4" w:rsidRPr="001823CC">
        <w:rPr>
          <w:rFonts w:ascii="Times New Roman" w:hAnsi="Times New Roman" w:cs="Times New Roman"/>
          <w:noProof/>
          <w:sz w:val="24"/>
          <w:szCs w:val="24"/>
        </w:rPr>
        <w:t xml:space="preserve">revealed no signifcant </w:t>
      </w:r>
      <w:r w:rsidR="00D47B01" w:rsidRPr="001823CC">
        <w:rPr>
          <w:rFonts w:ascii="Times New Roman" w:hAnsi="Times New Roman" w:cs="Times New Roman"/>
          <w:noProof/>
          <w:sz w:val="24"/>
          <w:szCs w:val="24"/>
        </w:rPr>
        <w:t>effect of baseline age in AUDIT changes</w:t>
      </w:r>
      <w:r w:rsidR="00A17EF4" w:rsidRPr="001823CC">
        <w:rPr>
          <w:rFonts w:ascii="Times New Roman" w:hAnsi="Times New Roman" w:cs="Times New Roman"/>
          <w:noProof/>
          <w:sz w:val="24"/>
          <w:szCs w:val="24"/>
        </w:rPr>
        <w:t xml:space="preserve"> </w:t>
      </w:r>
      <w:r w:rsidR="00685BC8" w:rsidRPr="001823CC">
        <w:rPr>
          <w:rFonts w:ascii="Times New Roman" w:hAnsi="Times New Roman" w:cs="Times New Roman"/>
          <w:noProof/>
          <w:sz w:val="24"/>
          <w:szCs w:val="24"/>
        </w:rPr>
        <w:t>(t[</w:t>
      </w:r>
      <w:r w:rsidR="00346759" w:rsidRPr="001823CC">
        <w:rPr>
          <w:rFonts w:ascii="Times New Roman" w:hAnsi="Times New Roman" w:cs="Times New Roman"/>
          <w:noProof/>
          <w:sz w:val="24"/>
          <w:szCs w:val="24"/>
        </w:rPr>
        <w:t>84</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 xml:space="preserve"> = -0.70, p = 0.48 for a linear effect on </w:t>
      </w:r>
      <m:oMath>
        <m:r>
          <w:rPr>
            <w:rFonts w:ascii="Cambria Math" w:hAnsi="Cambria Math" w:cs="Times New Roman"/>
            <w:sz w:val="24"/>
            <w:szCs w:val="24"/>
          </w:rPr>
          <m:t>∆</m:t>
        </m:r>
      </m:oMath>
      <w:r w:rsidR="00346759" w:rsidRPr="001823CC">
        <w:rPr>
          <w:rFonts w:ascii="Times New Roman" w:hAnsi="Times New Roman" w:cs="Times New Roman"/>
          <w:noProof/>
          <w:sz w:val="24"/>
          <w:szCs w:val="24"/>
        </w:rPr>
        <w:t>AUDIT</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1-0</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 xml:space="preserve">); </w:t>
      </w:r>
      <w:r w:rsidR="00685BC8" w:rsidRPr="001823CC">
        <w:rPr>
          <w:rFonts w:ascii="Times New Roman" w:hAnsi="Times New Roman" w:cs="Times New Roman"/>
          <w:noProof/>
          <w:sz w:val="24"/>
          <w:szCs w:val="24"/>
        </w:rPr>
        <w:t>t[</w:t>
      </w:r>
      <w:r w:rsidR="00346759" w:rsidRPr="001823CC">
        <w:rPr>
          <w:rFonts w:ascii="Times New Roman" w:hAnsi="Times New Roman" w:cs="Times New Roman"/>
          <w:noProof/>
          <w:sz w:val="24"/>
          <w:szCs w:val="24"/>
        </w:rPr>
        <w:t>84</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 xml:space="preserve"> = -0.77, p = 0.45 for a quadratic effect on </w:t>
      </w:r>
      <m:oMath>
        <m:r>
          <w:rPr>
            <w:rFonts w:ascii="Cambria Math" w:hAnsi="Cambria Math" w:cs="Times New Roman"/>
            <w:sz w:val="24"/>
            <w:szCs w:val="24"/>
          </w:rPr>
          <m:t>∆</m:t>
        </m:r>
      </m:oMath>
      <w:r w:rsidR="00346759" w:rsidRPr="001823CC">
        <w:rPr>
          <w:rFonts w:ascii="Times New Roman" w:hAnsi="Times New Roman" w:cs="Times New Roman"/>
          <w:noProof/>
          <w:sz w:val="24"/>
          <w:szCs w:val="24"/>
        </w:rPr>
        <w:t>AUDIT</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2-</w:t>
      </w:r>
      <w:r w:rsidR="00685BC8" w:rsidRPr="001823CC">
        <w:rPr>
          <w:rFonts w:ascii="Times New Roman" w:hAnsi="Times New Roman" w:cs="Times New Roman"/>
          <w:noProof/>
          <w:sz w:val="24"/>
          <w:szCs w:val="24"/>
        </w:rPr>
        <w:t>0]</w:t>
      </w:r>
      <w:r w:rsidR="00346759" w:rsidRPr="001823CC">
        <w:rPr>
          <w:rFonts w:ascii="Times New Roman" w:hAnsi="Times New Roman" w:cs="Times New Roman"/>
          <w:noProof/>
          <w:sz w:val="24"/>
          <w:szCs w:val="24"/>
        </w:rPr>
        <w:t xml:space="preserve">; </w:t>
      </w:r>
      <w:r w:rsidR="00685BC8" w:rsidRPr="001823CC">
        <w:rPr>
          <w:rFonts w:ascii="Times New Roman" w:hAnsi="Times New Roman" w:cs="Times New Roman"/>
          <w:noProof/>
          <w:sz w:val="24"/>
          <w:szCs w:val="24"/>
        </w:rPr>
        <w:t>t[</w:t>
      </w:r>
      <w:r w:rsidR="00346759" w:rsidRPr="001823CC">
        <w:rPr>
          <w:rFonts w:ascii="Times New Roman" w:hAnsi="Times New Roman" w:cs="Times New Roman"/>
          <w:noProof/>
          <w:sz w:val="24"/>
          <w:szCs w:val="24"/>
        </w:rPr>
        <w:t>84</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 xml:space="preserve"> = -0.97, p = 0.34 for a linear effect on </w:t>
      </w:r>
      <m:oMath>
        <m:r>
          <w:rPr>
            <w:rFonts w:ascii="Cambria Math" w:hAnsi="Cambria Math" w:cs="Times New Roman"/>
            <w:sz w:val="24"/>
            <w:szCs w:val="24"/>
          </w:rPr>
          <m:t>∆</m:t>
        </m:r>
      </m:oMath>
      <w:r w:rsidR="00346759" w:rsidRPr="001823CC">
        <w:rPr>
          <w:rFonts w:ascii="Times New Roman" w:hAnsi="Times New Roman" w:cs="Times New Roman"/>
          <w:noProof/>
          <w:sz w:val="24"/>
          <w:szCs w:val="24"/>
        </w:rPr>
        <w:t>AUDIT</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2-0</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 xml:space="preserve">; </w:t>
      </w:r>
      <w:r w:rsidR="00685BC8" w:rsidRPr="001823CC">
        <w:rPr>
          <w:rFonts w:ascii="Times New Roman" w:hAnsi="Times New Roman" w:cs="Times New Roman"/>
          <w:noProof/>
          <w:sz w:val="24"/>
          <w:szCs w:val="24"/>
        </w:rPr>
        <w:t>t[</w:t>
      </w:r>
      <w:r w:rsidR="00346759" w:rsidRPr="001823CC">
        <w:rPr>
          <w:rFonts w:ascii="Times New Roman" w:hAnsi="Times New Roman" w:cs="Times New Roman"/>
          <w:noProof/>
          <w:sz w:val="24"/>
          <w:szCs w:val="24"/>
        </w:rPr>
        <w:t>84</w:t>
      </w:r>
      <w:r w:rsidR="00685BC8" w:rsidRPr="001823CC">
        <w:rPr>
          <w:rFonts w:ascii="Times New Roman" w:hAnsi="Times New Roman" w:cs="Times New Roman"/>
          <w:noProof/>
          <w:sz w:val="24"/>
          <w:szCs w:val="24"/>
        </w:rPr>
        <w:t xml:space="preserve">] </w:t>
      </w:r>
      <w:r w:rsidR="00346759" w:rsidRPr="001823CC">
        <w:rPr>
          <w:rFonts w:ascii="Times New Roman" w:hAnsi="Times New Roman" w:cs="Times New Roman"/>
          <w:noProof/>
          <w:sz w:val="24"/>
          <w:szCs w:val="24"/>
        </w:rPr>
        <w:t xml:space="preserve"> = -</w:t>
      </w:r>
      <w:r w:rsidR="00EA7930" w:rsidRPr="001823CC">
        <w:rPr>
          <w:rFonts w:ascii="Times New Roman" w:hAnsi="Times New Roman" w:cs="Times New Roman"/>
          <w:noProof/>
          <w:sz w:val="24"/>
          <w:szCs w:val="24"/>
        </w:rPr>
        <w:t>1.03</w:t>
      </w:r>
      <w:r w:rsidR="00346759" w:rsidRPr="001823CC">
        <w:rPr>
          <w:rFonts w:ascii="Times New Roman" w:hAnsi="Times New Roman" w:cs="Times New Roman"/>
          <w:noProof/>
          <w:sz w:val="24"/>
          <w:szCs w:val="24"/>
        </w:rPr>
        <w:t>, p = 0.3</w:t>
      </w:r>
      <w:r w:rsidR="00EA7930" w:rsidRPr="001823CC">
        <w:rPr>
          <w:rFonts w:ascii="Times New Roman" w:hAnsi="Times New Roman" w:cs="Times New Roman"/>
          <w:noProof/>
          <w:sz w:val="24"/>
          <w:szCs w:val="24"/>
        </w:rPr>
        <w:t>1</w:t>
      </w:r>
      <w:r w:rsidR="00346759" w:rsidRPr="001823CC">
        <w:rPr>
          <w:rFonts w:ascii="Times New Roman" w:hAnsi="Times New Roman" w:cs="Times New Roman"/>
          <w:noProof/>
          <w:sz w:val="24"/>
          <w:szCs w:val="24"/>
        </w:rPr>
        <w:t xml:space="preserve"> for a </w:t>
      </w:r>
      <w:r w:rsidR="00EA7930" w:rsidRPr="001823CC">
        <w:rPr>
          <w:rFonts w:ascii="Times New Roman" w:hAnsi="Times New Roman" w:cs="Times New Roman"/>
          <w:noProof/>
          <w:sz w:val="24"/>
          <w:szCs w:val="24"/>
        </w:rPr>
        <w:t xml:space="preserve">quadratic </w:t>
      </w:r>
      <w:r w:rsidR="00346759" w:rsidRPr="001823CC">
        <w:rPr>
          <w:rFonts w:ascii="Times New Roman" w:hAnsi="Times New Roman" w:cs="Times New Roman"/>
          <w:noProof/>
          <w:sz w:val="24"/>
          <w:szCs w:val="24"/>
        </w:rPr>
        <w:t xml:space="preserve">effect on </w:t>
      </w:r>
      <m:oMath>
        <m:r>
          <w:rPr>
            <w:rFonts w:ascii="Cambria Math" w:hAnsi="Cambria Math" w:cs="Times New Roman"/>
            <w:sz w:val="24"/>
            <w:szCs w:val="24"/>
          </w:rPr>
          <m:t>∆</m:t>
        </m:r>
      </m:oMath>
      <w:r w:rsidR="00346759" w:rsidRPr="001823CC">
        <w:rPr>
          <w:rFonts w:ascii="Times New Roman" w:hAnsi="Times New Roman" w:cs="Times New Roman"/>
          <w:noProof/>
          <w:sz w:val="24"/>
          <w:szCs w:val="24"/>
        </w:rPr>
        <w:t>AUDIT</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2-0</w:t>
      </w:r>
      <w:r w:rsidR="00685BC8" w:rsidRPr="001823CC">
        <w:rPr>
          <w:rFonts w:ascii="Times New Roman" w:hAnsi="Times New Roman" w:cs="Times New Roman"/>
          <w:noProof/>
          <w:sz w:val="24"/>
          <w:szCs w:val="24"/>
        </w:rPr>
        <w:t>]]</w:t>
      </w:r>
      <w:r w:rsidR="00346759" w:rsidRPr="001823CC">
        <w:rPr>
          <w:rFonts w:ascii="Times New Roman" w:hAnsi="Times New Roman" w:cs="Times New Roman"/>
          <w:noProof/>
          <w:sz w:val="24"/>
          <w:szCs w:val="24"/>
        </w:rPr>
        <w:t>.</w:t>
      </w:r>
      <w:r w:rsidR="00685BC8" w:rsidRPr="001823CC">
        <w:rPr>
          <w:rFonts w:ascii="Times New Roman" w:hAnsi="Times New Roman" w:cs="Times New Roman"/>
          <w:noProof/>
          <w:sz w:val="24"/>
          <w:szCs w:val="24"/>
        </w:rPr>
        <w:t xml:space="preserve"> It is still possible that adding covariate with non-significant trends improves a model fit, but it was not the case here (adjusted R2 = -0.006 for </w:t>
      </w:r>
      <m:oMath>
        <m:r>
          <w:rPr>
            <w:rFonts w:ascii="Cambria Math" w:hAnsi="Cambria Math" w:cs="Times New Roman"/>
            <w:sz w:val="24"/>
            <w:szCs w:val="24"/>
          </w:rPr>
          <m:t>∆</m:t>
        </m:r>
      </m:oMath>
      <w:r w:rsidR="00685BC8" w:rsidRPr="001823CC">
        <w:rPr>
          <w:rFonts w:ascii="Times New Roman" w:hAnsi="Times New Roman" w:cs="Times New Roman"/>
          <w:noProof/>
          <w:sz w:val="24"/>
          <w:szCs w:val="24"/>
        </w:rPr>
        <w:t>AUDIT[2-0</w:t>
      </w:r>
      <w:r w:rsidR="000D7521" w:rsidRPr="001823CC">
        <w:rPr>
          <w:rFonts w:ascii="Times New Roman" w:hAnsi="Times New Roman" w:cs="Times New Roman"/>
          <w:noProof/>
          <w:sz w:val="24"/>
          <w:szCs w:val="24"/>
        </w:rPr>
        <w:t>]</w:t>
      </w:r>
      <w:r w:rsidR="00685BC8" w:rsidRPr="001823CC">
        <w:rPr>
          <w:rFonts w:ascii="Times New Roman" w:hAnsi="Times New Roman" w:cs="Times New Roman"/>
          <w:noProof/>
          <w:sz w:val="24"/>
          <w:szCs w:val="24"/>
        </w:rPr>
        <w:t>;</w:t>
      </w:r>
      <w:r w:rsidR="000D7521" w:rsidRPr="001823CC">
        <w:rPr>
          <w:rFonts w:ascii="Times New Roman" w:hAnsi="Times New Roman" w:cs="Times New Roman"/>
          <w:noProof/>
          <w:sz w:val="24"/>
          <w:szCs w:val="24"/>
        </w:rPr>
        <w:t xml:space="preserve"> adjusted R2 = -0.007 for </w:t>
      </w:r>
      <m:oMath>
        <m:r>
          <w:rPr>
            <w:rFonts w:ascii="Cambria Math" w:hAnsi="Cambria Math" w:cs="Times New Roman"/>
            <w:sz w:val="24"/>
            <w:szCs w:val="24"/>
          </w:rPr>
          <m:t>∆</m:t>
        </m:r>
      </m:oMath>
      <w:r w:rsidR="000D7521" w:rsidRPr="001823CC">
        <w:rPr>
          <w:rFonts w:ascii="Times New Roman" w:hAnsi="Times New Roman" w:cs="Times New Roman"/>
          <w:noProof/>
          <w:sz w:val="24"/>
          <w:szCs w:val="24"/>
        </w:rPr>
        <w:t xml:space="preserve">AUDIT[2-0]). </w:t>
      </w:r>
      <w:r w:rsidR="001A282D" w:rsidRPr="001823CC">
        <w:rPr>
          <w:rFonts w:ascii="Times New Roman" w:hAnsi="Times New Roman" w:cs="Times New Roman"/>
          <w:noProof/>
          <w:sz w:val="24"/>
          <w:szCs w:val="24"/>
        </w:rPr>
        <w:t>Therefore, we determined not to covary age in testing changes of behavioural scores.</w:t>
      </w:r>
    </w:p>
    <w:p w14:paraId="1AEB74BC" w14:textId="66ADAAFC" w:rsidR="009A254F" w:rsidRDefault="009A254F" w:rsidP="000B0330">
      <w:pPr>
        <w:spacing w:after="0" w:line="480" w:lineRule="auto"/>
        <w:rPr>
          <w:rFonts w:ascii="Times New Roman" w:hAnsi="Times New Roman" w:cs="Times New Roman"/>
          <w:noProof/>
          <w:sz w:val="24"/>
          <w:szCs w:val="24"/>
        </w:rPr>
      </w:pPr>
    </w:p>
    <w:p w14:paraId="2F856B3A" w14:textId="77777777" w:rsidR="002D067C" w:rsidRPr="001823CC" w:rsidRDefault="002D067C" w:rsidP="000B0330">
      <w:pPr>
        <w:spacing w:after="0" w:line="480" w:lineRule="auto"/>
        <w:rPr>
          <w:rFonts w:ascii="Times New Roman" w:hAnsi="Times New Roman" w:cs="Times New Roman"/>
          <w:noProof/>
          <w:sz w:val="24"/>
          <w:szCs w:val="24"/>
        </w:rPr>
      </w:pPr>
    </w:p>
    <w:p w14:paraId="69E2B114" w14:textId="282E3ECF" w:rsidR="000B0330" w:rsidRPr="001823CC" w:rsidRDefault="009A254F" w:rsidP="009A254F">
      <w:pPr>
        <w:rPr>
          <w:rFonts w:ascii="Times New Roman" w:hAnsi="Times New Roman" w:cs="Times New Roman"/>
          <w:b/>
          <w:sz w:val="24"/>
          <w:szCs w:val="24"/>
        </w:rPr>
      </w:pPr>
      <w:r w:rsidRPr="001823CC">
        <w:rPr>
          <w:rFonts w:ascii="Times New Roman" w:hAnsi="Times New Roman" w:cs="Times New Roman"/>
          <w:b/>
          <w:sz w:val="24"/>
          <w:szCs w:val="24"/>
        </w:rPr>
        <w:lastRenderedPageBreak/>
        <w:t>Control analysis</w:t>
      </w:r>
    </w:p>
    <w:p w14:paraId="372C02ED" w14:textId="78868635" w:rsidR="009A254F" w:rsidRPr="001823CC" w:rsidRDefault="009A254F" w:rsidP="002D067C">
      <w:pPr>
        <w:pStyle w:val="2ndparagraphs"/>
        <w:ind w:firstLine="720"/>
        <w:rPr>
          <w:sz w:val="24"/>
          <w:szCs w:val="24"/>
          <w:lang w:val="en-US"/>
        </w:rPr>
      </w:pPr>
      <w:r w:rsidRPr="001823CC">
        <w:rPr>
          <w:sz w:val="24"/>
          <w:szCs w:val="24"/>
          <w:lang w:val="en-US"/>
        </w:rPr>
        <w:t>In addition to R1, we also investigated local gr</w:t>
      </w:r>
      <w:r w:rsidR="00A30083">
        <w:rPr>
          <w:sz w:val="24"/>
          <w:szCs w:val="24"/>
          <w:lang w:val="en-US"/>
        </w:rPr>
        <w:t>e</w:t>
      </w:r>
      <w:r w:rsidRPr="001823CC">
        <w:rPr>
          <w:sz w:val="24"/>
          <w:szCs w:val="24"/>
          <w:lang w:val="en-US"/>
        </w:rPr>
        <w:t>y matter volume (GMV), which is gr</w:t>
      </w:r>
      <w:r w:rsidR="00AB14C0">
        <w:rPr>
          <w:sz w:val="24"/>
          <w:szCs w:val="24"/>
          <w:lang w:val="en-US"/>
        </w:rPr>
        <w:t>e</w:t>
      </w:r>
      <w:r w:rsidRPr="001823CC">
        <w:rPr>
          <w:sz w:val="24"/>
          <w:szCs w:val="24"/>
          <w:lang w:val="en-US"/>
        </w:rPr>
        <w:t xml:space="preserve">y matter probability modulated by Jacobian determinant </w:t>
      </w:r>
      <w:r w:rsidRPr="001823CC">
        <w:rPr>
          <w:noProof/>
          <w:sz w:val="24"/>
          <w:szCs w:val="24"/>
          <w:lang w:val="en-US"/>
        </w:rPr>
        <w:t>(Ashburner and Friston, 2000)</w:t>
      </w:r>
      <w:r w:rsidRPr="001823CC">
        <w:rPr>
          <w:sz w:val="24"/>
          <w:szCs w:val="24"/>
          <w:lang w:val="en-US"/>
        </w:rPr>
        <w:t xml:space="preserve">, and fractional anisotropy (FA) based on diffusion-weighted images </w:t>
      </w:r>
      <w:r w:rsidRPr="001823CC">
        <w:rPr>
          <w:noProof/>
          <w:sz w:val="24"/>
          <w:szCs w:val="24"/>
          <w:lang w:val="en-US"/>
        </w:rPr>
        <w:t>(Basser</w:t>
      </w:r>
      <w:r w:rsidRPr="001823CC">
        <w:rPr>
          <w:i/>
          <w:noProof/>
          <w:sz w:val="24"/>
          <w:szCs w:val="24"/>
          <w:lang w:val="en-US"/>
        </w:rPr>
        <w:t xml:space="preserve"> et al.</w:t>
      </w:r>
      <w:r w:rsidRPr="001823CC">
        <w:rPr>
          <w:noProof/>
          <w:sz w:val="24"/>
          <w:szCs w:val="24"/>
          <w:lang w:val="en-US"/>
        </w:rPr>
        <w:t>, 1994)</w:t>
      </w:r>
      <w:r w:rsidRPr="001823CC">
        <w:rPr>
          <w:sz w:val="24"/>
          <w:szCs w:val="24"/>
          <w:lang w:val="en-US"/>
        </w:rPr>
        <w:t xml:space="preserve">. See below for information on diffusion-weighted imaging sequence. </w:t>
      </w:r>
    </w:p>
    <w:p w14:paraId="4040166C" w14:textId="2E7912C5" w:rsidR="009A254F" w:rsidRPr="001823CC" w:rsidRDefault="009A254F" w:rsidP="009A254F">
      <w:pPr>
        <w:pStyle w:val="2ndparagraphs"/>
        <w:ind w:firstLine="720"/>
        <w:rPr>
          <w:sz w:val="24"/>
          <w:szCs w:val="24"/>
          <w:lang w:val="en-US"/>
        </w:rPr>
      </w:pPr>
      <w:r w:rsidRPr="001823CC">
        <w:rPr>
          <w:sz w:val="24"/>
          <w:szCs w:val="24"/>
          <w:lang w:val="en-US"/>
        </w:rPr>
        <w:t xml:space="preserve">As of GMV, grey matter probability maps, which were estimated from the unified segmentation, were normalized to the MNI template space and modulated by Jacobian determinant of the inverse deformation field to incorporate global brain size variation across individuals. The GMV maps were resampled and smoothed with the same parameters described above for the R1 maps. </w:t>
      </w:r>
    </w:p>
    <w:p w14:paraId="75A8F995" w14:textId="095F361D" w:rsidR="009A254F" w:rsidRPr="001823CC" w:rsidRDefault="009A254F" w:rsidP="009A254F">
      <w:pPr>
        <w:pStyle w:val="2ndparagraphs"/>
        <w:rPr>
          <w:sz w:val="24"/>
          <w:szCs w:val="24"/>
          <w:lang w:val="en-US"/>
        </w:rPr>
      </w:pPr>
      <w:r w:rsidRPr="001823CC">
        <w:rPr>
          <w:sz w:val="24"/>
          <w:szCs w:val="24"/>
          <w:lang w:val="en-US"/>
        </w:rPr>
        <w:tab/>
        <w:t>Although FA was significantly associated with cross-sectional baseline AUDIT scores covarying for age and sex (similar to GLM 4), there were no significant correlations with FA (cluster-</w:t>
      </w:r>
      <w:r w:rsidRPr="001823CC">
        <w:rPr>
          <w:i/>
          <w:sz w:val="24"/>
          <w:szCs w:val="24"/>
          <w:lang w:val="en-US"/>
        </w:rPr>
        <w:t xml:space="preserve">p </w:t>
      </w:r>
      <w:r w:rsidRPr="001823CC">
        <w:rPr>
          <w:sz w:val="24"/>
          <w:szCs w:val="24"/>
          <w:lang w:val="en-US"/>
        </w:rPr>
        <w:t>&gt; 0.43). We found a negative association with GMV in the right precentral gyrus and cerebellum (cluster-</w:t>
      </w:r>
      <w:r w:rsidRPr="001823CC">
        <w:rPr>
          <w:i/>
          <w:sz w:val="24"/>
          <w:szCs w:val="24"/>
          <w:lang w:val="en-US"/>
        </w:rPr>
        <w:t xml:space="preserve">p </w:t>
      </w:r>
      <w:r w:rsidRPr="001823CC">
        <w:rPr>
          <w:sz w:val="24"/>
          <w:szCs w:val="24"/>
          <w:lang w:val="en-US"/>
        </w:rPr>
        <w:t>&lt; 0.004); however, this is not further discussed given the focus on the longitudinal AUDIT changes (</w:t>
      </w:r>
      <m:oMath>
        <m:r>
          <w:rPr>
            <w:rFonts w:ascii="Cambria Math" w:hAnsi="Cambria Math"/>
            <w:sz w:val="24"/>
            <w:szCs w:val="24"/>
          </w:rPr>
          <m:t>∆</m:t>
        </m:r>
      </m:oMath>
      <w:r w:rsidRPr="001823CC">
        <w:rPr>
          <w:sz w:val="24"/>
          <w:szCs w:val="24"/>
          <w:lang w:val="en-US"/>
        </w:rPr>
        <w:t>AUDIT). There were no significant correlations with GMV or FA with other baseline substance or behavioural addiction measures. We also tested the association between GMV and FA and longitudinal changes in behavioural parameters. There were no significant findings in GMV nor FA (cluster-</w:t>
      </w:r>
      <w:r w:rsidRPr="001823CC">
        <w:rPr>
          <w:i/>
          <w:sz w:val="24"/>
          <w:szCs w:val="24"/>
          <w:lang w:val="en-US"/>
        </w:rPr>
        <w:t xml:space="preserve">p </w:t>
      </w:r>
      <w:r w:rsidRPr="001823CC">
        <w:rPr>
          <w:sz w:val="24"/>
          <w:szCs w:val="24"/>
          <w:lang w:val="en-US"/>
        </w:rPr>
        <w:t>&gt; 0.85); thus, we focused on the R1 findings in the main text.</w:t>
      </w:r>
    </w:p>
    <w:p w14:paraId="28AFCD6F" w14:textId="2533B814" w:rsidR="009A254F" w:rsidRPr="001823CC" w:rsidRDefault="009A254F" w:rsidP="009362BF">
      <w:pPr>
        <w:spacing w:after="0" w:line="480" w:lineRule="auto"/>
        <w:rPr>
          <w:rFonts w:ascii="Times New Roman" w:hAnsi="Times New Roman" w:cs="Times New Roman"/>
          <w:b/>
          <w:sz w:val="24"/>
          <w:szCs w:val="24"/>
        </w:rPr>
      </w:pPr>
    </w:p>
    <w:p w14:paraId="76680B62" w14:textId="77777777" w:rsidR="009A254F" w:rsidRPr="001823CC" w:rsidRDefault="009A254F" w:rsidP="009A254F">
      <w:pPr>
        <w:rPr>
          <w:rFonts w:ascii="Times New Roman" w:hAnsi="Times New Roman" w:cs="Times New Roman"/>
          <w:b/>
          <w:sz w:val="24"/>
          <w:szCs w:val="24"/>
        </w:rPr>
      </w:pPr>
      <w:r w:rsidRPr="001823CC">
        <w:rPr>
          <w:rFonts w:ascii="Times New Roman" w:hAnsi="Times New Roman" w:cs="Times New Roman"/>
          <w:b/>
          <w:sz w:val="24"/>
          <w:szCs w:val="24"/>
        </w:rPr>
        <w:t>Diffusion sequence and analysis</w:t>
      </w:r>
    </w:p>
    <w:p w14:paraId="4C29B094" w14:textId="0B8597DD" w:rsidR="009A254F" w:rsidRPr="001823CC" w:rsidRDefault="009A254F" w:rsidP="009362BF">
      <w:pPr>
        <w:spacing w:after="0" w:line="480" w:lineRule="auto"/>
        <w:contextualSpacing/>
        <w:rPr>
          <w:rFonts w:ascii="Times New Roman" w:hAnsi="Times New Roman" w:cs="Times New Roman"/>
          <w:iCs/>
          <w:sz w:val="24"/>
          <w:szCs w:val="24"/>
          <w:lang w:val="en-US"/>
        </w:rPr>
      </w:pPr>
      <w:r w:rsidRPr="001823CC">
        <w:rPr>
          <w:rFonts w:ascii="Times New Roman" w:hAnsi="Times New Roman" w:cs="Times New Roman"/>
          <w:noProof/>
          <w:sz w:val="24"/>
          <w:szCs w:val="24"/>
        </w:rPr>
        <w:tab/>
        <w:t>Diffusion-weighted echo-planar imaging data was acquired using a diffusion kurtosis imaging (DKI) sequence (b-values = 0, 1,000, 2,000, 2,500 s/mm</w:t>
      </w:r>
      <w:r w:rsidRPr="001823CC">
        <w:rPr>
          <w:rFonts w:ascii="Times New Roman" w:hAnsi="Times New Roman" w:cs="Times New Roman"/>
          <w:noProof/>
          <w:sz w:val="24"/>
          <w:szCs w:val="24"/>
          <w:vertAlign w:val="superscript"/>
        </w:rPr>
        <w:t>2</w:t>
      </w:r>
      <w:r w:rsidRPr="001823CC">
        <w:rPr>
          <w:rFonts w:ascii="Times New Roman" w:hAnsi="Times New Roman" w:cs="Times New Roman"/>
          <w:noProof/>
          <w:sz w:val="24"/>
          <w:szCs w:val="24"/>
        </w:rPr>
        <w:t xml:space="preserve">; 90 directions) with the following parameters: TE = 95 ms, TR = 6,800 ms, FA = 90 </w:t>
      </w:r>
      <w:r w:rsidRPr="001823CC">
        <w:rPr>
          <w:rFonts w:ascii="Times New Roman" w:hAnsi="Times New Roman" w:cs="Times New Roman"/>
          <w:iCs/>
          <w:sz w:val="24"/>
          <w:szCs w:val="24"/>
        </w:rPr>
        <w:t>º, voxel size = 2.7 x 2.7 x 2.7 mm</w:t>
      </w:r>
      <w:r w:rsidRPr="001823CC">
        <w:rPr>
          <w:rFonts w:ascii="Times New Roman" w:hAnsi="Times New Roman" w:cs="Times New Roman"/>
          <w:iCs/>
          <w:sz w:val="24"/>
          <w:szCs w:val="24"/>
          <w:vertAlign w:val="superscript"/>
        </w:rPr>
        <w:t>3</w:t>
      </w:r>
      <w:r w:rsidRPr="001823CC">
        <w:rPr>
          <w:rFonts w:ascii="Times New Roman" w:hAnsi="Times New Roman" w:cs="Times New Roman"/>
          <w:iCs/>
          <w:sz w:val="24"/>
          <w:szCs w:val="24"/>
        </w:rPr>
        <w:t xml:space="preserve">. Using </w:t>
      </w:r>
      <w:r w:rsidRPr="001823CC">
        <w:rPr>
          <w:rFonts w:ascii="Times New Roman" w:hAnsi="Times New Roman" w:cs="Times New Roman"/>
          <w:iCs/>
          <w:sz w:val="24"/>
          <w:szCs w:val="24"/>
          <w:lang w:val="en-US"/>
        </w:rPr>
        <w:t xml:space="preserve">FMRIB's Diffusion Toolbox (FDT, v 3.0) in FMRIB Software Library (FSL; https://fsl.fmrib.ox.ac.uk/fsl), a tensor model was fit to the diffusion-weighted data and </w:t>
      </w:r>
      <w:r w:rsidRPr="001823CC">
        <w:rPr>
          <w:rFonts w:ascii="Times New Roman" w:hAnsi="Times New Roman" w:cs="Times New Roman"/>
          <w:iCs/>
          <w:sz w:val="24"/>
          <w:szCs w:val="24"/>
          <w:lang w:val="en-US"/>
        </w:rPr>
        <w:lastRenderedPageBreak/>
        <w:t>fractional anisotropy (FA) was calculated. The DKI analysis of the current data is currently ongoing as a separate study. Using SPM12, FA images were normalized into the Montreal Neurological Institute (MNI) space and resampled at 2.7-mm isotropic resolution. For the lower spatial resolution, the effective FWHM of FA images was similar to that of R1 and grey matter volume images (i.e., 5.4 x 5.6 x 5.6 mm</w:t>
      </w:r>
      <w:r w:rsidRPr="001823CC">
        <w:rPr>
          <w:rFonts w:ascii="Times New Roman" w:hAnsi="Times New Roman" w:cs="Times New Roman"/>
          <w:iCs/>
          <w:sz w:val="24"/>
          <w:szCs w:val="24"/>
          <w:vertAlign w:val="superscript"/>
          <w:lang w:val="en-US"/>
        </w:rPr>
        <w:t>3</w:t>
      </w:r>
      <w:r w:rsidRPr="001823CC">
        <w:rPr>
          <w:rFonts w:ascii="Times New Roman" w:hAnsi="Times New Roman" w:cs="Times New Roman"/>
          <w:iCs/>
          <w:sz w:val="24"/>
          <w:szCs w:val="24"/>
          <w:lang w:val="en-US"/>
        </w:rPr>
        <w:t>) without additional smoothing. A minimal (FWHM = 3 mm) smoothing was explored but it did not alter the results.</w:t>
      </w:r>
    </w:p>
    <w:p w14:paraId="7F7ED862" w14:textId="77777777" w:rsidR="009A254F" w:rsidRPr="001823CC" w:rsidRDefault="009A254F" w:rsidP="009362BF">
      <w:pPr>
        <w:spacing w:after="0" w:line="480" w:lineRule="auto"/>
        <w:rPr>
          <w:rFonts w:ascii="Times New Roman" w:hAnsi="Times New Roman" w:cs="Times New Roman"/>
          <w:b/>
          <w:sz w:val="24"/>
          <w:szCs w:val="24"/>
        </w:rPr>
      </w:pPr>
    </w:p>
    <w:p w14:paraId="5DEC96B3" w14:textId="77777777" w:rsidR="005D0C7E" w:rsidRPr="001823CC" w:rsidRDefault="005D0C7E" w:rsidP="00077780">
      <w:pPr>
        <w:spacing w:after="0" w:line="480" w:lineRule="auto"/>
        <w:jc w:val="center"/>
        <w:rPr>
          <w:rFonts w:ascii="Times New Roman" w:hAnsi="Times New Roman" w:cs="Times New Roman"/>
          <w:b/>
          <w:sz w:val="24"/>
          <w:szCs w:val="24"/>
        </w:rPr>
      </w:pPr>
      <w:r w:rsidRPr="001823CC">
        <w:rPr>
          <w:rFonts w:ascii="Times New Roman" w:hAnsi="Times New Roman" w:cs="Times New Roman"/>
          <w:b/>
          <w:sz w:val="24"/>
          <w:szCs w:val="24"/>
        </w:rPr>
        <w:t>Results</w:t>
      </w:r>
    </w:p>
    <w:p w14:paraId="585E3F2C" w14:textId="77777777" w:rsidR="009362BF" w:rsidRPr="001823CC" w:rsidRDefault="009362BF" w:rsidP="009362BF">
      <w:pPr>
        <w:spacing w:after="0" w:line="480" w:lineRule="auto"/>
        <w:rPr>
          <w:rFonts w:ascii="Times New Roman" w:hAnsi="Times New Roman" w:cs="Times New Roman"/>
          <w:b/>
          <w:sz w:val="24"/>
          <w:szCs w:val="24"/>
        </w:rPr>
      </w:pPr>
      <w:r w:rsidRPr="001823CC">
        <w:rPr>
          <w:rFonts w:ascii="Times New Roman" w:hAnsi="Times New Roman" w:cs="Times New Roman"/>
          <w:b/>
          <w:sz w:val="24"/>
          <w:szCs w:val="24"/>
        </w:rPr>
        <w:t>Correlation coefficients between self-reported addictive behaviours</w:t>
      </w:r>
    </w:p>
    <w:p w14:paraId="32AA5546" w14:textId="77777777" w:rsidR="009362BF" w:rsidRPr="001823CC" w:rsidRDefault="00054133" w:rsidP="009362BF">
      <w:pPr>
        <w:spacing w:after="0" w:line="480" w:lineRule="auto"/>
        <w:rPr>
          <w:rFonts w:ascii="Times New Roman" w:hAnsi="Times New Roman" w:cs="Times New Roman"/>
          <w:sz w:val="24"/>
          <w:szCs w:val="24"/>
        </w:rPr>
      </w:pPr>
      <w:r w:rsidRPr="001823CC">
        <w:rPr>
          <w:rFonts w:ascii="Times New Roman" w:hAnsi="Times New Roman" w:cs="Times New Roman"/>
          <w:sz w:val="24"/>
          <w:szCs w:val="24"/>
        </w:rPr>
        <w:tab/>
      </w:r>
      <w:r w:rsidR="009362BF" w:rsidRPr="001823CC">
        <w:rPr>
          <w:rFonts w:ascii="Times New Roman" w:hAnsi="Times New Roman" w:cs="Times New Roman"/>
          <w:sz w:val="24"/>
          <w:szCs w:val="24"/>
        </w:rPr>
        <w:t xml:space="preserve">At baseline, some of </w:t>
      </w:r>
      <w:r w:rsidR="00C378AE" w:rsidRPr="001823CC">
        <w:rPr>
          <w:rFonts w:ascii="Times New Roman" w:hAnsi="Times New Roman" w:cs="Times New Roman"/>
          <w:sz w:val="24"/>
          <w:szCs w:val="24"/>
        </w:rPr>
        <w:t xml:space="preserve">the </w:t>
      </w:r>
      <w:r w:rsidR="009362BF" w:rsidRPr="001823CC">
        <w:rPr>
          <w:rFonts w:ascii="Times New Roman" w:hAnsi="Times New Roman" w:cs="Times New Roman"/>
          <w:sz w:val="24"/>
          <w:szCs w:val="24"/>
        </w:rPr>
        <w:t xml:space="preserve">measures were correlated whereas only few of </w:t>
      </w:r>
      <w:r w:rsidR="00C378AE" w:rsidRPr="001823CC">
        <w:rPr>
          <w:rFonts w:ascii="Times New Roman" w:hAnsi="Times New Roman" w:cs="Times New Roman"/>
          <w:sz w:val="24"/>
          <w:szCs w:val="24"/>
        </w:rPr>
        <w:t xml:space="preserve">the </w:t>
      </w:r>
      <w:r w:rsidR="009362BF" w:rsidRPr="001823CC">
        <w:rPr>
          <w:rFonts w:ascii="Times New Roman" w:hAnsi="Times New Roman" w:cs="Times New Roman"/>
          <w:sz w:val="24"/>
          <w:szCs w:val="24"/>
        </w:rPr>
        <w:t xml:space="preserve">longitudinal changes were correlated (diagonal blocks). Interestingly, changes in measures </w:t>
      </w:r>
      <w:r w:rsidR="00E31BCC" w:rsidRPr="001823CC">
        <w:rPr>
          <w:rFonts w:ascii="Times New Roman" w:hAnsi="Times New Roman" w:cs="Times New Roman"/>
          <w:sz w:val="24"/>
          <w:szCs w:val="24"/>
        </w:rPr>
        <w:t xml:space="preserve">that </w:t>
      </w:r>
      <w:r w:rsidR="009362BF" w:rsidRPr="001823CC">
        <w:rPr>
          <w:rFonts w:ascii="Times New Roman" w:hAnsi="Times New Roman" w:cs="Times New Roman"/>
          <w:sz w:val="24"/>
          <w:szCs w:val="24"/>
        </w:rPr>
        <w:t xml:space="preserve">showed significant decreases (i.e., </w:t>
      </w:r>
      <w:r w:rsidR="00281B0A" w:rsidRPr="001823CC">
        <w:rPr>
          <w:rFonts w:ascii="Times New Roman" w:hAnsi="Times New Roman" w:cs="Times New Roman"/>
          <w:sz w:val="24"/>
          <w:szCs w:val="24"/>
        </w:rPr>
        <w:t>Alcohol Use Disorder Identification Test</w:t>
      </w:r>
      <w:r w:rsidR="003B5AD8" w:rsidRPr="001823CC">
        <w:rPr>
          <w:rFonts w:ascii="Times New Roman" w:hAnsi="Times New Roman" w:cs="Times New Roman"/>
          <w:sz w:val="24"/>
          <w:szCs w:val="24"/>
        </w:rPr>
        <w:t xml:space="preserve">, </w:t>
      </w:r>
      <w:r w:rsidR="00E31BCC" w:rsidRPr="001823CC">
        <w:rPr>
          <w:rFonts w:ascii="Times New Roman" w:hAnsi="Times New Roman" w:cs="Times New Roman"/>
          <w:sz w:val="24"/>
          <w:szCs w:val="24"/>
        </w:rPr>
        <w:t>AUDIT</w:t>
      </w:r>
      <w:r w:rsidR="003B5AD8" w:rsidRPr="001823CC">
        <w:rPr>
          <w:rFonts w:ascii="Times New Roman" w:hAnsi="Times New Roman" w:cs="Times New Roman"/>
          <w:sz w:val="24"/>
          <w:szCs w:val="24"/>
        </w:rPr>
        <w:t>;</w:t>
      </w:r>
      <w:r w:rsidR="009362BF" w:rsidRPr="001823CC">
        <w:rPr>
          <w:rFonts w:ascii="Times New Roman" w:hAnsi="Times New Roman" w:cs="Times New Roman"/>
          <w:sz w:val="24"/>
          <w:szCs w:val="24"/>
        </w:rPr>
        <w:t xml:space="preserve"> </w:t>
      </w:r>
      <w:r w:rsidR="00281B0A" w:rsidRPr="001823CC">
        <w:rPr>
          <w:rFonts w:ascii="Times New Roman" w:hAnsi="Times New Roman" w:cs="Times New Roman"/>
          <w:sz w:val="24"/>
          <w:szCs w:val="24"/>
        </w:rPr>
        <w:t>Cannabis Use Disorder Identification Test-Revised</w:t>
      </w:r>
      <w:r w:rsidR="009362BF" w:rsidRPr="001823CC">
        <w:rPr>
          <w:rFonts w:ascii="Times New Roman" w:hAnsi="Times New Roman" w:cs="Times New Roman"/>
          <w:sz w:val="24"/>
          <w:szCs w:val="24"/>
        </w:rPr>
        <w:t>,</w:t>
      </w:r>
      <w:r w:rsidR="003B5AD8" w:rsidRPr="001823CC">
        <w:rPr>
          <w:rFonts w:ascii="Times New Roman" w:hAnsi="Times New Roman" w:cs="Times New Roman"/>
          <w:sz w:val="24"/>
          <w:szCs w:val="24"/>
        </w:rPr>
        <w:t xml:space="preserve"> CUDIT;</w:t>
      </w:r>
      <w:r w:rsidR="009362BF" w:rsidRPr="001823CC">
        <w:rPr>
          <w:rFonts w:ascii="Times New Roman" w:hAnsi="Times New Roman" w:cs="Times New Roman"/>
          <w:sz w:val="24"/>
          <w:szCs w:val="24"/>
        </w:rPr>
        <w:t xml:space="preserve"> </w:t>
      </w:r>
      <w:r w:rsidR="00281B0A" w:rsidRPr="001823CC">
        <w:rPr>
          <w:rFonts w:ascii="Times New Roman" w:hAnsi="Times New Roman" w:cs="Times New Roman"/>
          <w:sz w:val="24"/>
          <w:szCs w:val="24"/>
        </w:rPr>
        <w:t>Internet Gaming Disorder Scale Short Format</w:t>
      </w:r>
      <w:r w:rsidR="003B5AD8" w:rsidRPr="001823CC">
        <w:rPr>
          <w:rFonts w:ascii="Times New Roman" w:hAnsi="Times New Roman" w:cs="Times New Roman"/>
          <w:sz w:val="24"/>
          <w:szCs w:val="24"/>
        </w:rPr>
        <w:t>, IGD</w:t>
      </w:r>
      <w:r w:rsidR="009362BF" w:rsidRPr="001823CC">
        <w:rPr>
          <w:rFonts w:ascii="Times New Roman" w:hAnsi="Times New Roman" w:cs="Times New Roman"/>
          <w:sz w:val="24"/>
          <w:szCs w:val="24"/>
        </w:rPr>
        <w:t xml:space="preserve">) showed negative correlation with the baseline measures, indicating </w:t>
      </w:r>
      <w:r w:rsidR="00C378AE" w:rsidRPr="001823CC">
        <w:rPr>
          <w:rFonts w:ascii="Times New Roman" w:hAnsi="Times New Roman" w:cs="Times New Roman"/>
          <w:sz w:val="24"/>
          <w:szCs w:val="24"/>
        </w:rPr>
        <w:t xml:space="preserve">that </w:t>
      </w:r>
      <w:r w:rsidR="009362BF" w:rsidRPr="001823CC">
        <w:rPr>
          <w:rFonts w:ascii="Times New Roman" w:hAnsi="Times New Roman" w:cs="Times New Roman"/>
          <w:sz w:val="24"/>
          <w:szCs w:val="24"/>
        </w:rPr>
        <w:t xml:space="preserve">individuals with high baseline addiction scores showed </w:t>
      </w:r>
      <w:r w:rsidR="00E31BCC" w:rsidRPr="001823CC">
        <w:rPr>
          <w:rFonts w:ascii="Times New Roman" w:hAnsi="Times New Roman" w:cs="Times New Roman"/>
          <w:sz w:val="24"/>
          <w:szCs w:val="24"/>
        </w:rPr>
        <w:t>greater</w:t>
      </w:r>
      <w:r w:rsidR="009362BF" w:rsidRPr="001823CC">
        <w:rPr>
          <w:rFonts w:ascii="Times New Roman" w:hAnsi="Times New Roman" w:cs="Times New Roman"/>
          <w:sz w:val="24"/>
          <w:szCs w:val="24"/>
        </w:rPr>
        <w:t xml:space="preserve"> decreases</w:t>
      </w:r>
      <w:r w:rsidR="00E31BCC" w:rsidRPr="001823CC">
        <w:rPr>
          <w:rFonts w:ascii="Times New Roman" w:hAnsi="Times New Roman" w:cs="Times New Roman"/>
          <w:sz w:val="24"/>
          <w:szCs w:val="24"/>
        </w:rPr>
        <w:t xml:space="preserve"> over time</w:t>
      </w:r>
      <w:r w:rsidR="00281B0A" w:rsidRPr="001823CC">
        <w:rPr>
          <w:rFonts w:ascii="Times New Roman" w:hAnsi="Times New Roman" w:cs="Times New Roman"/>
          <w:sz w:val="24"/>
          <w:szCs w:val="24"/>
        </w:rPr>
        <w:t xml:space="preserve"> (see Supplementary Table 1)</w:t>
      </w:r>
      <w:r w:rsidR="009362BF" w:rsidRPr="001823CC">
        <w:rPr>
          <w:rFonts w:ascii="Times New Roman" w:hAnsi="Times New Roman" w:cs="Times New Roman"/>
          <w:sz w:val="24"/>
          <w:szCs w:val="24"/>
        </w:rPr>
        <w:t>.</w:t>
      </w:r>
    </w:p>
    <w:p w14:paraId="4B96338C" w14:textId="77777777" w:rsidR="009362BF" w:rsidRPr="001823CC" w:rsidRDefault="009362BF" w:rsidP="009362BF">
      <w:pPr>
        <w:spacing w:after="0" w:line="480" w:lineRule="auto"/>
        <w:rPr>
          <w:rFonts w:ascii="Times New Roman" w:hAnsi="Times New Roman" w:cs="Times New Roman"/>
          <w:sz w:val="24"/>
          <w:szCs w:val="24"/>
        </w:rPr>
      </w:pPr>
    </w:p>
    <w:p w14:paraId="5C4468E2" w14:textId="77777777" w:rsidR="009362BF" w:rsidRPr="001823CC" w:rsidRDefault="009362BF" w:rsidP="009362BF">
      <w:pPr>
        <w:spacing w:after="0" w:line="480" w:lineRule="auto"/>
        <w:contextualSpacing/>
        <w:rPr>
          <w:rFonts w:ascii="Times New Roman" w:hAnsi="Times New Roman" w:cs="Times New Roman"/>
          <w:b/>
          <w:sz w:val="24"/>
          <w:szCs w:val="24"/>
        </w:rPr>
      </w:pPr>
      <w:r w:rsidRPr="001823CC">
        <w:rPr>
          <w:rFonts w:ascii="Times New Roman" w:hAnsi="Times New Roman" w:cs="Times New Roman"/>
          <w:b/>
          <w:sz w:val="24"/>
          <w:szCs w:val="24"/>
        </w:rPr>
        <w:t>UPPS subscores and addictive behaviours</w:t>
      </w:r>
    </w:p>
    <w:p w14:paraId="47789CF0" w14:textId="77777777" w:rsidR="009362BF" w:rsidRPr="001823CC" w:rsidRDefault="00054133" w:rsidP="009362BF">
      <w:pPr>
        <w:spacing w:after="0" w:line="480" w:lineRule="auto"/>
        <w:contextualSpacing/>
        <w:rPr>
          <w:rFonts w:ascii="Times New Roman" w:hAnsi="Times New Roman" w:cs="Times New Roman"/>
          <w:sz w:val="24"/>
          <w:szCs w:val="24"/>
        </w:rPr>
      </w:pPr>
      <w:r w:rsidRPr="001823CC">
        <w:rPr>
          <w:rFonts w:ascii="Times New Roman" w:hAnsi="Times New Roman" w:cs="Times New Roman"/>
          <w:sz w:val="24"/>
          <w:szCs w:val="24"/>
        </w:rPr>
        <w:tab/>
      </w:r>
      <w:r w:rsidR="009362BF" w:rsidRPr="001823CC">
        <w:rPr>
          <w:rFonts w:ascii="Times New Roman" w:hAnsi="Times New Roman" w:cs="Times New Roman"/>
          <w:sz w:val="24"/>
          <w:szCs w:val="24"/>
        </w:rPr>
        <w:t xml:space="preserve">Correlations between </w:t>
      </w:r>
      <w:r w:rsidR="00E31BCC" w:rsidRPr="001823CC">
        <w:rPr>
          <w:rFonts w:ascii="Times New Roman" w:hAnsi="Times New Roman" w:cs="Times New Roman"/>
          <w:sz w:val="24"/>
          <w:szCs w:val="24"/>
        </w:rPr>
        <w:t xml:space="preserve">baseline </w:t>
      </w:r>
      <w:r w:rsidR="009362BF" w:rsidRPr="001823CC">
        <w:rPr>
          <w:rFonts w:ascii="Times New Roman" w:hAnsi="Times New Roman" w:cs="Times New Roman"/>
          <w:sz w:val="24"/>
          <w:szCs w:val="24"/>
        </w:rPr>
        <w:t xml:space="preserve">AUDIT, </w:t>
      </w:r>
      <w:r w:rsidR="00E31BCC" w:rsidRPr="001823CC">
        <w:rPr>
          <w:rFonts w:ascii="Times New Roman" w:hAnsi="Times New Roman" w:cs="Times New Roman"/>
          <w:sz w:val="24"/>
          <w:szCs w:val="24"/>
        </w:rPr>
        <w:t>change in AUDIT (</w:t>
      </w:r>
      <m:oMath>
        <m:r>
          <w:rPr>
            <w:rFonts w:ascii="Cambria Math" w:hAnsi="Cambria Math" w:cs="Times New Roman"/>
            <w:sz w:val="24"/>
            <w:szCs w:val="24"/>
          </w:rPr>
          <m:t>∆</m:t>
        </m:r>
      </m:oMath>
      <w:r w:rsidR="009362BF" w:rsidRPr="001823CC">
        <w:rPr>
          <w:rFonts w:ascii="Times New Roman" w:hAnsi="Times New Roman" w:cs="Times New Roman"/>
          <w:sz w:val="24"/>
          <w:szCs w:val="24"/>
        </w:rPr>
        <w:t>AUDITs</w:t>
      </w:r>
      <w:r w:rsidR="00E31BCC" w:rsidRPr="001823CC">
        <w:rPr>
          <w:rFonts w:ascii="Times New Roman" w:hAnsi="Times New Roman" w:cs="Times New Roman"/>
          <w:sz w:val="24"/>
          <w:szCs w:val="24"/>
        </w:rPr>
        <w:t>)</w:t>
      </w:r>
      <w:r w:rsidR="009362BF" w:rsidRPr="001823CC">
        <w:rPr>
          <w:rFonts w:ascii="Times New Roman" w:hAnsi="Times New Roman" w:cs="Times New Roman"/>
          <w:sz w:val="24"/>
          <w:szCs w:val="24"/>
        </w:rPr>
        <w:t xml:space="preserve">, and </w:t>
      </w:r>
      <w:r w:rsidR="00E31BCC" w:rsidRPr="001823CC">
        <w:rPr>
          <w:rFonts w:ascii="Times New Roman" w:hAnsi="Times New Roman" w:cs="Times New Roman"/>
          <w:sz w:val="24"/>
          <w:szCs w:val="24"/>
        </w:rPr>
        <w:t xml:space="preserve">baseline </w:t>
      </w:r>
      <w:r w:rsidR="009362BF" w:rsidRPr="001823CC">
        <w:rPr>
          <w:rFonts w:ascii="Times New Roman" w:hAnsi="Times New Roman" w:cs="Times New Roman"/>
          <w:sz w:val="24"/>
          <w:szCs w:val="24"/>
        </w:rPr>
        <w:t>UPPS-P (</w:t>
      </w:r>
      <w:r w:rsidR="00C378AE" w:rsidRPr="001823CC">
        <w:rPr>
          <w:rFonts w:ascii="Times New Roman" w:hAnsi="Times New Roman" w:cs="Times New Roman"/>
          <w:sz w:val="24"/>
          <w:szCs w:val="24"/>
        </w:rPr>
        <w:fldChar w:fldCharType="begin"/>
      </w:r>
      <w:r w:rsidR="00C378AE" w:rsidRPr="001823CC">
        <w:rPr>
          <w:rFonts w:ascii="Times New Roman" w:hAnsi="Times New Roman" w:cs="Times New Roman"/>
          <w:sz w:val="24"/>
          <w:szCs w:val="24"/>
        </w:rPr>
        <w:instrText xml:space="preserve"> REF _Ref524211627 \h  \* MERGEFORMAT </w:instrText>
      </w:r>
      <w:r w:rsidR="00C378AE" w:rsidRPr="001823CC">
        <w:rPr>
          <w:rFonts w:ascii="Times New Roman" w:hAnsi="Times New Roman" w:cs="Times New Roman"/>
          <w:sz w:val="24"/>
          <w:szCs w:val="24"/>
        </w:rPr>
      </w:r>
      <w:r w:rsidR="00C378AE" w:rsidRPr="001823CC">
        <w:rPr>
          <w:rFonts w:ascii="Times New Roman" w:hAnsi="Times New Roman" w:cs="Times New Roman"/>
          <w:sz w:val="24"/>
          <w:szCs w:val="24"/>
        </w:rPr>
        <w:fldChar w:fldCharType="separate"/>
      </w:r>
      <w:r w:rsidR="009362BF" w:rsidRPr="001823CC">
        <w:rPr>
          <w:rFonts w:ascii="Times New Roman" w:hAnsi="Times New Roman" w:cs="Times New Roman"/>
          <w:sz w:val="24"/>
          <w:szCs w:val="24"/>
        </w:rPr>
        <w:t>Supplementary</w:t>
      </w:r>
      <w:r w:rsidR="00C378AE" w:rsidRPr="001823CC">
        <w:rPr>
          <w:rFonts w:ascii="Times New Roman" w:hAnsi="Times New Roman" w:cs="Times New Roman"/>
          <w:sz w:val="24"/>
          <w:szCs w:val="24"/>
        </w:rPr>
        <w:fldChar w:fldCharType="end"/>
      </w:r>
      <w:r w:rsidR="009362BF" w:rsidRPr="001823CC">
        <w:rPr>
          <w:rFonts w:ascii="Times New Roman" w:hAnsi="Times New Roman" w:cs="Times New Roman"/>
          <w:sz w:val="24"/>
          <w:szCs w:val="24"/>
        </w:rPr>
        <w:t xml:space="preserve"> Table </w:t>
      </w:r>
      <w:r w:rsidR="00281B0A" w:rsidRPr="001823CC">
        <w:rPr>
          <w:rFonts w:ascii="Times New Roman" w:hAnsi="Times New Roman" w:cs="Times New Roman"/>
          <w:sz w:val="24"/>
          <w:szCs w:val="24"/>
        </w:rPr>
        <w:t>2</w:t>
      </w:r>
      <w:r w:rsidR="009362BF" w:rsidRPr="001823CC">
        <w:rPr>
          <w:rFonts w:ascii="Times New Roman" w:hAnsi="Times New Roman" w:cs="Times New Roman"/>
          <w:sz w:val="24"/>
          <w:szCs w:val="24"/>
        </w:rPr>
        <w:t xml:space="preserve">). </w:t>
      </w:r>
      <w:r w:rsidR="00E31BCC" w:rsidRPr="001823CC">
        <w:rPr>
          <w:rFonts w:ascii="Times New Roman" w:hAnsi="Times New Roman" w:cs="Times New Roman"/>
          <w:sz w:val="24"/>
          <w:szCs w:val="24"/>
        </w:rPr>
        <w:t xml:space="preserve">Baseline </w:t>
      </w:r>
      <w:r w:rsidR="009362BF" w:rsidRPr="001823CC">
        <w:rPr>
          <w:rFonts w:ascii="Times New Roman" w:hAnsi="Times New Roman" w:cs="Times New Roman"/>
          <w:sz w:val="24"/>
          <w:szCs w:val="24"/>
        </w:rPr>
        <w:t xml:space="preserve">UPPS-P was positively associated with the AUDIT at baseline and 1-year. The </w:t>
      </w:r>
      <m:oMath>
        <m:r>
          <w:rPr>
            <w:rFonts w:ascii="Cambria Math" w:hAnsi="Cambria Math" w:cs="Times New Roman"/>
            <w:sz w:val="24"/>
            <w:szCs w:val="24"/>
          </w:rPr>
          <m:t>∆</m:t>
        </m:r>
      </m:oMath>
      <w:r w:rsidR="009362BF" w:rsidRPr="001823CC">
        <w:rPr>
          <w:rFonts w:ascii="Times New Roman" w:hAnsi="Times New Roman" w:cs="Times New Roman"/>
          <w:sz w:val="24"/>
          <w:szCs w:val="24"/>
        </w:rPr>
        <w:t>AUDITs were negatively correlated with UPPS-P</w:t>
      </w:r>
      <w:r w:rsidR="00E31BCC" w:rsidRPr="001823CC">
        <w:rPr>
          <w:rFonts w:ascii="Times New Roman" w:hAnsi="Times New Roman" w:cs="Times New Roman"/>
          <w:sz w:val="24"/>
          <w:szCs w:val="24"/>
        </w:rPr>
        <w:t xml:space="preserve"> i</w:t>
      </w:r>
      <w:r w:rsidR="009362BF" w:rsidRPr="001823CC">
        <w:rPr>
          <w:rFonts w:ascii="Times New Roman" w:hAnsi="Times New Roman" w:cs="Times New Roman"/>
          <w:sz w:val="24"/>
          <w:szCs w:val="24"/>
        </w:rPr>
        <w:t xml:space="preserve">ndicating that the individuals with high baseline-AUDIT scores also had high </w:t>
      </w:r>
      <w:r w:rsidR="00E31BCC" w:rsidRPr="001823CC">
        <w:rPr>
          <w:rFonts w:ascii="Times New Roman" w:hAnsi="Times New Roman" w:cs="Times New Roman"/>
          <w:sz w:val="24"/>
          <w:szCs w:val="24"/>
        </w:rPr>
        <w:t xml:space="preserve">baseline </w:t>
      </w:r>
      <w:r w:rsidR="009362BF" w:rsidRPr="001823CC">
        <w:rPr>
          <w:rFonts w:ascii="Times New Roman" w:hAnsi="Times New Roman" w:cs="Times New Roman"/>
          <w:sz w:val="24"/>
          <w:szCs w:val="24"/>
        </w:rPr>
        <w:t>UPPS-P scores</w:t>
      </w:r>
      <w:r w:rsidR="00E31BCC" w:rsidRPr="001823CC">
        <w:rPr>
          <w:rFonts w:ascii="Times New Roman" w:hAnsi="Times New Roman" w:cs="Times New Roman"/>
          <w:sz w:val="24"/>
          <w:szCs w:val="24"/>
        </w:rPr>
        <w:t xml:space="preserve"> with </w:t>
      </w:r>
      <w:r w:rsidR="009362BF" w:rsidRPr="001823CC">
        <w:rPr>
          <w:rFonts w:ascii="Times New Roman" w:hAnsi="Times New Roman" w:cs="Times New Roman"/>
          <w:sz w:val="24"/>
          <w:szCs w:val="24"/>
        </w:rPr>
        <w:t>many of these individuals report</w:t>
      </w:r>
      <w:r w:rsidR="00E31BCC" w:rsidRPr="001823CC">
        <w:rPr>
          <w:rFonts w:ascii="Times New Roman" w:hAnsi="Times New Roman" w:cs="Times New Roman"/>
          <w:sz w:val="24"/>
          <w:szCs w:val="24"/>
        </w:rPr>
        <w:t>ing</w:t>
      </w:r>
      <w:r w:rsidR="009362BF" w:rsidRPr="001823CC">
        <w:rPr>
          <w:rFonts w:ascii="Times New Roman" w:hAnsi="Times New Roman" w:cs="Times New Roman"/>
          <w:sz w:val="24"/>
          <w:szCs w:val="24"/>
        </w:rPr>
        <w:t xml:space="preserve"> decreased AUDIT scores </w:t>
      </w:r>
      <w:r w:rsidR="00E31BCC" w:rsidRPr="001823CC">
        <w:rPr>
          <w:rFonts w:ascii="Times New Roman" w:hAnsi="Times New Roman" w:cs="Times New Roman"/>
          <w:sz w:val="24"/>
          <w:szCs w:val="24"/>
        </w:rPr>
        <w:t xml:space="preserve">at </w:t>
      </w:r>
      <w:r w:rsidR="009362BF" w:rsidRPr="001823CC">
        <w:rPr>
          <w:rFonts w:ascii="Times New Roman" w:hAnsi="Times New Roman" w:cs="Times New Roman"/>
          <w:sz w:val="24"/>
          <w:szCs w:val="24"/>
        </w:rPr>
        <w:t>2-year</w:t>
      </w:r>
      <w:r w:rsidR="003B5AD8" w:rsidRPr="001823CC">
        <w:rPr>
          <w:rFonts w:ascii="Times New Roman" w:hAnsi="Times New Roman" w:cs="Times New Roman"/>
          <w:sz w:val="24"/>
          <w:szCs w:val="24"/>
        </w:rPr>
        <w:t xml:space="preserve"> </w:t>
      </w:r>
      <w:r w:rsidR="00E31BCC" w:rsidRPr="001823CC">
        <w:rPr>
          <w:rFonts w:ascii="Times New Roman" w:hAnsi="Times New Roman" w:cs="Times New Roman"/>
          <w:sz w:val="24"/>
          <w:szCs w:val="24"/>
        </w:rPr>
        <w:t>follow</w:t>
      </w:r>
      <w:r w:rsidR="0086355C" w:rsidRPr="001823CC">
        <w:rPr>
          <w:rFonts w:ascii="Times New Roman" w:hAnsi="Times New Roman" w:cs="Times New Roman"/>
          <w:sz w:val="24"/>
          <w:szCs w:val="24"/>
        </w:rPr>
        <w:t>-</w:t>
      </w:r>
      <w:r w:rsidR="00E31BCC" w:rsidRPr="001823CC">
        <w:rPr>
          <w:rFonts w:ascii="Times New Roman" w:hAnsi="Times New Roman" w:cs="Times New Roman"/>
          <w:sz w:val="24"/>
          <w:szCs w:val="24"/>
        </w:rPr>
        <w:t>up</w:t>
      </w:r>
      <w:r w:rsidR="009362BF" w:rsidRPr="001823CC">
        <w:rPr>
          <w:rFonts w:ascii="Times New Roman" w:hAnsi="Times New Roman" w:cs="Times New Roman"/>
          <w:sz w:val="24"/>
          <w:szCs w:val="24"/>
        </w:rPr>
        <w:t>.</w:t>
      </w:r>
    </w:p>
    <w:p w14:paraId="7929802C" w14:textId="77777777" w:rsidR="009362BF" w:rsidRPr="001823CC" w:rsidRDefault="009362BF" w:rsidP="009362BF">
      <w:pPr>
        <w:rPr>
          <w:rFonts w:ascii="Times New Roman" w:hAnsi="Times New Roman" w:cs="Times New Roman"/>
          <w:sz w:val="24"/>
          <w:szCs w:val="24"/>
        </w:rPr>
      </w:pPr>
    </w:p>
    <w:p w14:paraId="482701C8" w14:textId="77777777" w:rsidR="00281B0A" w:rsidRPr="001823CC" w:rsidRDefault="00281B0A" w:rsidP="00281B0A">
      <w:pPr>
        <w:spacing w:after="0" w:line="480" w:lineRule="auto"/>
        <w:rPr>
          <w:rFonts w:ascii="Times New Roman" w:hAnsi="Times New Roman" w:cs="Times New Roman"/>
          <w:b/>
          <w:sz w:val="24"/>
          <w:szCs w:val="24"/>
        </w:rPr>
      </w:pPr>
      <w:r w:rsidRPr="001823CC">
        <w:rPr>
          <w:rFonts w:ascii="Times New Roman" w:hAnsi="Times New Roman" w:cs="Times New Roman"/>
          <w:b/>
          <w:sz w:val="24"/>
          <w:szCs w:val="24"/>
        </w:rPr>
        <w:lastRenderedPageBreak/>
        <w:t>Age and Sex</w:t>
      </w:r>
    </w:p>
    <w:p w14:paraId="1B7C41C8" w14:textId="77777777" w:rsidR="00281B0A" w:rsidRPr="001823CC" w:rsidRDefault="00281B0A" w:rsidP="00281B0A">
      <w:pPr>
        <w:spacing w:after="0" w:line="480" w:lineRule="auto"/>
        <w:rPr>
          <w:rFonts w:ascii="Times New Roman" w:hAnsi="Times New Roman" w:cs="Times New Roman"/>
          <w:sz w:val="24"/>
          <w:szCs w:val="24"/>
        </w:rPr>
      </w:pPr>
      <w:r w:rsidRPr="001823CC">
        <w:rPr>
          <w:rFonts w:ascii="Times New Roman" w:hAnsi="Times New Roman" w:cs="Times New Roman"/>
          <w:b/>
          <w:sz w:val="24"/>
          <w:szCs w:val="24"/>
        </w:rPr>
        <w:tab/>
      </w:r>
      <w:r w:rsidRPr="001823CC">
        <w:rPr>
          <w:rFonts w:ascii="Times New Roman" w:hAnsi="Times New Roman" w:cs="Times New Roman"/>
          <w:sz w:val="24"/>
          <w:szCs w:val="24"/>
        </w:rPr>
        <w:t>Age and sex significantly increased explained variance of GLM (2) and (3), respectively in the left hippocampus and the left cerebellum (cluster-</w:t>
      </w:r>
      <w:r w:rsidRPr="001823CC">
        <w:rPr>
          <w:rFonts w:ascii="Times New Roman" w:hAnsi="Times New Roman" w:cs="Times New Roman"/>
          <w:i/>
          <w:sz w:val="24"/>
          <w:szCs w:val="24"/>
        </w:rPr>
        <w:t>p</w:t>
      </w:r>
      <w:r w:rsidR="00C378AE" w:rsidRPr="001823CC">
        <w:rPr>
          <w:rFonts w:ascii="Times New Roman" w:hAnsi="Times New Roman" w:cs="Times New Roman"/>
          <w:i/>
          <w:sz w:val="24"/>
          <w:szCs w:val="24"/>
        </w:rPr>
        <w:t xml:space="preserve"> </w:t>
      </w:r>
      <w:r w:rsidRPr="001823CC">
        <w:rPr>
          <w:rFonts w:ascii="Times New Roman" w:hAnsi="Times New Roman" w:cs="Times New Roman"/>
          <w:sz w:val="24"/>
          <w:szCs w:val="24"/>
        </w:rPr>
        <w:t xml:space="preserve">&lt; 0.033; Supplementary Figure </w:t>
      </w:r>
      <w:r w:rsidRPr="001823CC">
        <w:rPr>
          <w:rFonts w:ascii="Times New Roman" w:hAnsi="Times New Roman" w:cs="Times New Roman"/>
          <w:noProof/>
          <w:sz w:val="24"/>
          <w:szCs w:val="24"/>
        </w:rPr>
        <w:t>1a</w:t>
      </w:r>
      <w:r w:rsidRPr="001823CC">
        <w:rPr>
          <w:rFonts w:ascii="Times New Roman" w:hAnsi="Times New Roman" w:cs="Times New Roman"/>
          <w:sz w:val="24"/>
          <w:szCs w:val="24"/>
        </w:rPr>
        <w:t>) and the thalamus, globus pallidus, brainstem, cerebellum (cluster-</w:t>
      </w:r>
      <w:r w:rsidRPr="001823CC">
        <w:rPr>
          <w:rFonts w:ascii="Times New Roman" w:hAnsi="Times New Roman" w:cs="Times New Roman"/>
          <w:i/>
          <w:sz w:val="24"/>
          <w:szCs w:val="24"/>
        </w:rPr>
        <w:t>p</w:t>
      </w:r>
      <w:r w:rsidR="00C378AE" w:rsidRPr="001823CC">
        <w:rPr>
          <w:rFonts w:ascii="Times New Roman" w:hAnsi="Times New Roman" w:cs="Times New Roman"/>
          <w:i/>
          <w:sz w:val="24"/>
          <w:szCs w:val="24"/>
        </w:rPr>
        <w:t xml:space="preserve"> </w:t>
      </w:r>
      <w:r w:rsidRPr="001823CC">
        <w:rPr>
          <w:rFonts w:ascii="Times New Roman" w:hAnsi="Times New Roman" w:cs="Times New Roman"/>
          <w:sz w:val="24"/>
          <w:szCs w:val="24"/>
        </w:rPr>
        <w:t xml:space="preserve">&lt; 0.044; Supplementary Figure </w:t>
      </w:r>
      <w:r w:rsidRPr="001823CC">
        <w:rPr>
          <w:rFonts w:ascii="Times New Roman" w:hAnsi="Times New Roman" w:cs="Times New Roman"/>
          <w:noProof/>
          <w:sz w:val="24"/>
          <w:szCs w:val="24"/>
        </w:rPr>
        <w:t>1b</w:t>
      </w:r>
      <w:r w:rsidRPr="001823CC">
        <w:rPr>
          <w:rFonts w:ascii="Times New Roman" w:hAnsi="Times New Roman" w:cs="Times New Roman"/>
          <w:sz w:val="24"/>
          <w:szCs w:val="24"/>
        </w:rPr>
        <w:t>). Thus, age and sex were covaried in all subsequent analyses.</w:t>
      </w:r>
    </w:p>
    <w:p w14:paraId="08F44D42" w14:textId="77777777" w:rsidR="00281B0A" w:rsidRPr="001823CC" w:rsidRDefault="00281B0A" w:rsidP="009362BF">
      <w:pPr>
        <w:rPr>
          <w:rFonts w:ascii="Times New Roman" w:hAnsi="Times New Roman" w:cs="Times New Roman"/>
          <w:sz w:val="24"/>
          <w:szCs w:val="24"/>
        </w:rPr>
      </w:pPr>
    </w:p>
    <w:p w14:paraId="1F4487EA" w14:textId="77777777" w:rsidR="00077780" w:rsidRPr="001823CC" w:rsidRDefault="00077780" w:rsidP="009362BF">
      <w:pPr>
        <w:rPr>
          <w:rFonts w:ascii="Times New Roman" w:hAnsi="Times New Roman" w:cs="Times New Roman"/>
          <w:sz w:val="24"/>
          <w:szCs w:val="24"/>
        </w:rPr>
      </w:pPr>
    </w:p>
    <w:p w14:paraId="231ED28F" w14:textId="77777777" w:rsidR="00077780" w:rsidRPr="001823CC" w:rsidRDefault="00077780" w:rsidP="009362BF">
      <w:pPr>
        <w:rPr>
          <w:rFonts w:ascii="Times New Roman" w:hAnsi="Times New Roman" w:cs="Times New Roman"/>
          <w:sz w:val="24"/>
          <w:szCs w:val="24"/>
        </w:rPr>
      </w:pPr>
    </w:p>
    <w:p w14:paraId="7080746A" w14:textId="77777777" w:rsidR="00077780" w:rsidRPr="001823CC" w:rsidRDefault="00077780" w:rsidP="009362BF">
      <w:pPr>
        <w:rPr>
          <w:rFonts w:ascii="Times New Roman" w:hAnsi="Times New Roman" w:cs="Times New Roman"/>
          <w:sz w:val="24"/>
          <w:szCs w:val="24"/>
        </w:rPr>
      </w:pPr>
    </w:p>
    <w:p w14:paraId="0AFEF6C1" w14:textId="77777777" w:rsidR="00077780" w:rsidRPr="001823CC" w:rsidRDefault="00077780" w:rsidP="009362BF">
      <w:pPr>
        <w:rPr>
          <w:rFonts w:ascii="Times New Roman" w:hAnsi="Times New Roman" w:cs="Times New Roman"/>
          <w:sz w:val="24"/>
          <w:szCs w:val="24"/>
        </w:rPr>
      </w:pPr>
    </w:p>
    <w:p w14:paraId="724D017C" w14:textId="77777777" w:rsidR="00077780" w:rsidRPr="001823CC" w:rsidRDefault="00077780" w:rsidP="009362BF">
      <w:pPr>
        <w:rPr>
          <w:rFonts w:ascii="Times New Roman" w:hAnsi="Times New Roman" w:cs="Times New Roman"/>
          <w:sz w:val="24"/>
          <w:szCs w:val="24"/>
        </w:rPr>
      </w:pPr>
    </w:p>
    <w:p w14:paraId="0F3ED4CE" w14:textId="77777777" w:rsidR="00077780" w:rsidRPr="001823CC" w:rsidRDefault="00077780" w:rsidP="009362BF">
      <w:pPr>
        <w:rPr>
          <w:rFonts w:ascii="Times New Roman" w:hAnsi="Times New Roman" w:cs="Times New Roman"/>
          <w:sz w:val="24"/>
          <w:szCs w:val="24"/>
        </w:rPr>
      </w:pPr>
    </w:p>
    <w:p w14:paraId="7876A5E5" w14:textId="77777777" w:rsidR="00077780" w:rsidRPr="001823CC" w:rsidRDefault="00077780" w:rsidP="009362BF">
      <w:pPr>
        <w:rPr>
          <w:rFonts w:ascii="Times New Roman" w:hAnsi="Times New Roman" w:cs="Times New Roman"/>
          <w:sz w:val="24"/>
          <w:szCs w:val="24"/>
        </w:rPr>
      </w:pPr>
    </w:p>
    <w:p w14:paraId="7AC731D5" w14:textId="77777777" w:rsidR="00077780" w:rsidRPr="001823CC" w:rsidRDefault="00077780" w:rsidP="009362BF">
      <w:pPr>
        <w:rPr>
          <w:rFonts w:ascii="Times New Roman" w:hAnsi="Times New Roman" w:cs="Times New Roman"/>
          <w:sz w:val="24"/>
          <w:szCs w:val="24"/>
        </w:rPr>
      </w:pPr>
    </w:p>
    <w:p w14:paraId="46CFAB18" w14:textId="768DA9B9" w:rsidR="00281B0A" w:rsidRDefault="00281B0A" w:rsidP="009362BF">
      <w:pPr>
        <w:rPr>
          <w:rFonts w:ascii="Times New Roman" w:hAnsi="Times New Roman" w:cs="Times New Roman"/>
          <w:sz w:val="24"/>
          <w:szCs w:val="24"/>
        </w:rPr>
      </w:pPr>
    </w:p>
    <w:p w14:paraId="33B5138C" w14:textId="62146896" w:rsidR="002D067C" w:rsidRDefault="002D067C" w:rsidP="009362BF">
      <w:pPr>
        <w:rPr>
          <w:rFonts w:ascii="Times New Roman" w:hAnsi="Times New Roman" w:cs="Times New Roman"/>
          <w:sz w:val="24"/>
          <w:szCs w:val="24"/>
        </w:rPr>
      </w:pPr>
    </w:p>
    <w:p w14:paraId="43FD1E5B" w14:textId="65DDCDE7" w:rsidR="002D067C" w:rsidRDefault="002D067C" w:rsidP="009362BF">
      <w:pPr>
        <w:rPr>
          <w:rFonts w:ascii="Times New Roman" w:hAnsi="Times New Roman" w:cs="Times New Roman"/>
          <w:sz w:val="24"/>
          <w:szCs w:val="24"/>
        </w:rPr>
      </w:pPr>
    </w:p>
    <w:p w14:paraId="0930FD6C" w14:textId="152BC33F" w:rsidR="002D067C" w:rsidRDefault="002D067C" w:rsidP="009362BF">
      <w:pPr>
        <w:rPr>
          <w:rFonts w:ascii="Times New Roman" w:hAnsi="Times New Roman" w:cs="Times New Roman"/>
          <w:sz w:val="24"/>
          <w:szCs w:val="24"/>
        </w:rPr>
      </w:pPr>
    </w:p>
    <w:p w14:paraId="4AEE0F11" w14:textId="6515C154" w:rsidR="002D067C" w:rsidRDefault="002D067C" w:rsidP="009362BF">
      <w:pPr>
        <w:rPr>
          <w:rFonts w:ascii="Times New Roman" w:hAnsi="Times New Roman" w:cs="Times New Roman"/>
          <w:sz w:val="24"/>
          <w:szCs w:val="24"/>
        </w:rPr>
      </w:pPr>
    </w:p>
    <w:p w14:paraId="0EA6B1A0" w14:textId="32B13C58" w:rsidR="002D067C" w:rsidRDefault="002D067C" w:rsidP="009362BF">
      <w:pPr>
        <w:rPr>
          <w:rFonts w:ascii="Times New Roman" w:hAnsi="Times New Roman" w:cs="Times New Roman"/>
          <w:sz w:val="24"/>
          <w:szCs w:val="24"/>
        </w:rPr>
      </w:pPr>
    </w:p>
    <w:p w14:paraId="5464D5A8" w14:textId="4AC204A2" w:rsidR="002D067C" w:rsidRDefault="002D067C" w:rsidP="009362BF">
      <w:pPr>
        <w:rPr>
          <w:rFonts w:ascii="Times New Roman" w:hAnsi="Times New Roman" w:cs="Times New Roman"/>
          <w:sz w:val="24"/>
          <w:szCs w:val="24"/>
        </w:rPr>
      </w:pPr>
    </w:p>
    <w:p w14:paraId="1038A16E" w14:textId="642555BB" w:rsidR="002D067C" w:rsidRDefault="002D067C" w:rsidP="009362BF">
      <w:pPr>
        <w:rPr>
          <w:rFonts w:ascii="Times New Roman" w:hAnsi="Times New Roman" w:cs="Times New Roman"/>
          <w:sz w:val="24"/>
          <w:szCs w:val="24"/>
        </w:rPr>
      </w:pPr>
    </w:p>
    <w:p w14:paraId="0756E5CA" w14:textId="6B169835" w:rsidR="002D067C" w:rsidRDefault="002D067C" w:rsidP="009362BF">
      <w:pPr>
        <w:rPr>
          <w:rFonts w:ascii="Times New Roman" w:hAnsi="Times New Roman" w:cs="Times New Roman"/>
          <w:sz w:val="24"/>
          <w:szCs w:val="24"/>
        </w:rPr>
      </w:pPr>
    </w:p>
    <w:p w14:paraId="5CDA0F14" w14:textId="47791976" w:rsidR="002D067C" w:rsidRDefault="002D067C" w:rsidP="009362BF">
      <w:pPr>
        <w:rPr>
          <w:rFonts w:ascii="Times New Roman" w:hAnsi="Times New Roman" w:cs="Times New Roman"/>
          <w:sz w:val="24"/>
          <w:szCs w:val="24"/>
        </w:rPr>
      </w:pPr>
    </w:p>
    <w:p w14:paraId="0BD29C83" w14:textId="1F2B8402" w:rsidR="002D067C" w:rsidRDefault="002D067C" w:rsidP="009362BF">
      <w:pPr>
        <w:rPr>
          <w:rFonts w:ascii="Times New Roman" w:hAnsi="Times New Roman" w:cs="Times New Roman"/>
          <w:sz w:val="24"/>
          <w:szCs w:val="24"/>
        </w:rPr>
      </w:pPr>
    </w:p>
    <w:p w14:paraId="6373F566" w14:textId="77777777" w:rsidR="002D067C" w:rsidRDefault="002D067C" w:rsidP="009362BF">
      <w:pPr>
        <w:rPr>
          <w:rFonts w:ascii="Times New Roman" w:hAnsi="Times New Roman" w:cs="Times New Roman"/>
          <w:sz w:val="24"/>
          <w:szCs w:val="24"/>
        </w:rPr>
      </w:pPr>
    </w:p>
    <w:p w14:paraId="4BAF4E7E" w14:textId="168C9FF3" w:rsidR="002D067C" w:rsidRDefault="002D067C" w:rsidP="009362BF">
      <w:pPr>
        <w:rPr>
          <w:rFonts w:ascii="Times New Roman" w:hAnsi="Times New Roman" w:cs="Times New Roman"/>
          <w:sz w:val="24"/>
          <w:szCs w:val="24"/>
        </w:rPr>
      </w:pPr>
    </w:p>
    <w:p w14:paraId="2BE0EEC4" w14:textId="77777777" w:rsidR="002D067C" w:rsidRPr="001823CC" w:rsidRDefault="002D067C" w:rsidP="009362BF">
      <w:pPr>
        <w:rPr>
          <w:rFonts w:ascii="Times New Roman" w:hAnsi="Times New Roman" w:cs="Times New Roman"/>
          <w:sz w:val="24"/>
          <w:szCs w:val="24"/>
        </w:rPr>
      </w:pPr>
    </w:p>
    <w:p w14:paraId="27E39528" w14:textId="77777777" w:rsidR="00077780" w:rsidRPr="001823CC" w:rsidRDefault="00077780" w:rsidP="00281B0A">
      <w:pPr>
        <w:spacing w:after="0" w:line="480" w:lineRule="auto"/>
        <w:rPr>
          <w:rFonts w:ascii="Times New Roman" w:hAnsi="Times New Roman" w:cs="Times New Roman"/>
          <w:b/>
          <w:sz w:val="24"/>
          <w:szCs w:val="24"/>
        </w:rPr>
      </w:pPr>
      <w:r w:rsidRPr="001823CC">
        <w:rPr>
          <w:rFonts w:ascii="Times New Roman" w:hAnsi="Times New Roman" w:cs="Times New Roman"/>
          <w:b/>
          <w:sz w:val="24"/>
          <w:szCs w:val="24"/>
        </w:rPr>
        <w:lastRenderedPageBreak/>
        <w:t>Supplementary table and figure legends</w:t>
      </w:r>
    </w:p>
    <w:p w14:paraId="60DDE669" w14:textId="77777777" w:rsidR="00281B0A" w:rsidRPr="001823CC" w:rsidRDefault="00281B0A" w:rsidP="00281B0A">
      <w:pPr>
        <w:spacing w:after="0" w:line="480" w:lineRule="auto"/>
        <w:rPr>
          <w:rFonts w:ascii="Times New Roman" w:hAnsi="Times New Roman" w:cs="Times New Roman"/>
          <w:sz w:val="24"/>
          <w:szCs w:val="24"/>
        </w:rPr>
      </w:pPr>
      <w:r w:rsidRPr="001823CC">
        <w:rPr>
          <w:rFonts w:ascii="Times New Roman" w:hAnsi="Times New Roman" w:cs="Times New Roman"/>
          <w:b/>
          <w:sz w:val="24"/>
          <w:szCs w:val="24"/>
        </w:rPr>
        <w:t>Supplementary Table 1</w:t>
      </w:r>
      <w:r w:rsidR="00077780" w:rsidRPr="001823CC">
        <w:rPr>
          <w:rFonts w:ascii="Times New Roman" w:hAnsi="Times New Roman" w:cs="Times New Roman"/>
          <w:b/>
          <w:sz w:val="24"/>
          <w:szCs w:val="24"/>
        </w:rPr>
        <w:t xml:space="preserve">. </w:t>
      </w:r>
    </w:p>
    <w:p w14:paraId="3BDD43E7" w14:textId="77777777" w:rsidR="00281B0A" w:rsidRPr="001823CC" w:rsidRDefault="00077780" w:rsidP="00281B0A">
      <w:pPr>
        <w:spacing w:after="0" w:line="480" w:lineRule="auto"/>
        <w:rPr>
          <w:rFonts w:ascii="Times New Roman" w:hAnsi="Times New Roman" w:cs="Times New Roman"/>
          <w:i/>
          <w:sz w:val="24"/>
          <w:szCs w:val="24"/>
        </w:rPr>
      </w:pPr>
      <w:r w:rsidRPr="001823CC">
        <w:rPr>
          <w:rFonts w:ascii="Times New Roman" w:hAnsi="Times New Roman" w:cs="Times New Roman"/>
          <w:sz w:val="24"/>
          <w:szCs w:val="24"/>
        </w:rPr>
        <w:t xml:space="preserve">Title: </w:t>
      </w:r>
      <w:r w:rsidR="00281B0A" w:rsidRPr="001823CC">
        <w:rPr>
          <w:rFonts w:ascii="Times New Roman" w:hAnsi="Times New Roman" w:cs="Times New Roman"/>
          <w:i/>
          <w:sz w:val="24"/>
          <w:szCs w:val="24"/>
        </w:rPr>
        <w:t>Correlation Coefficients between self-reported addictive behaviours at baseline and follow-ups.</w:t>
      </w:r>
    </w:p>
    <w:p w14:paraId="3282D521" w14:textId="77777777" w:rsidR="00077780" w:rsidRPr="001823CC" w:rsidRDefault="00077780" w:rsidP="00281B0A">
      <w:pPr>
        <w:spacing w:after="0" w:line="480" w:lineRule="auto"/>
        <w:rPr>
          <w:rFonts w:ascii="Times New Roman" w:hAnsi="Times New Roman" w:cs="Times New Roman"/>
          <w:sz w:val="24"/>
          <w:szCs w:val="24"/>
        </w:rPr>
      </w:pPr>
      <w:r w:rsidRPr="001823CC">
        <w:rPr>
          <w:rFonts w:ascii="Times New Roman" w:hAnsi="Times New Roman" w:cs="Times New Roman"/>
          <w:sz w:val="24"/>
          <w:szCs w:val="24"/>
        </w:rPr>
        <w:t>Legend:</w:t>
      </w:r>
      <w:r w:rsidR="00C378AE" w:rsidRPr="001823CC">
        <w:rPr>
          <w:rFonts w:ascii="Times New Roman" w:hAnsi="Times New Roman" w:cs="Times New Roman"/>
          <w:sz w:val="24"/>
          <w:szCs w:val="24"/>
        </w:rPr>
        <w:t xml:space="preserve"> </w:t>
      </w:r>
      <w:r w:rsidRPr="001823CC">
        <w:rPr>
          <w:rFonts w:ascii="Times New Roman" w:hAnsi="Times New Roman" w:cs="Times New Roman"/>
          <w:sz w:val="24"/>
          <w:szCs w:val="24"/>
        </w:rPr>
        <w:t xml:space="preserve">Significant correlations are indicated in bold. * reflects </w:t>
      </w:r>
      <w:r w:rsidRPr="001823CC">
        <w:rPr>
          <w:rFonts w:ascii="Times New Roman" w:hAnsi="Times New Roman" w:cs="Times New Roman"/>
          <w:i/>
          <w:sz w:val="24"/>
          <w:szCs w:val="24"/>
        </w:rPr>
        <w:t>p</w:t>
      </w:r>
      <w:r w:rsidR="003B5AD8" w:rsidRPr="001823CC">
        <w:rPr>
          <w:rFonts w:ascii="Times New Roman" w:hAnsi="Times New Roman" w:cs="Times New Roman"/>
          <w:i/>
          <w:sz w:val="24"/>
          <w:szCs w:val="24"/>
        </w:rPr>
        <w:t xml:space="preserve"> </w:t>
      </w:r>
      <w:r w:rsidRPr="001823CC">
        <w:rPr>
          <w:rFonts w:ascii="Times New Roman" w:hAnsi="Times New Roman" w:cs="Times New Roman"/>
          <w:sz w:val="24"/>
          <w:szCs w:val="24"/>
        </w:rPr>
        <w:t>&lt; 0.05 at |</w:t>
      </w:r>
      <w:r w:rsidRPr="001823CC">
        <w:rPr>
          <w:rFonts w:ascii="Times New Roman" w:hAnsi="Times New Roman" w:cs="Times New Roman"/>
          <w:i/>
          <w:sz w:val="24"/>
          <w:szCs w:val="24"/>
        </w:rPr>
        <w:t>r</w:t>
      </w:r>
      <w:r w:rsidRPr="001823CC">
        <w:rPr>
          <w:rFonts w:ascii="Times New Roman" w:hAnsi="Times New Roman" w:cs="Times New Roman"/>
          <w:sz w:val="24"/>
          <w:szCs w:val="24"/>
        </w:rPr>
        <w:t xml:space="preserve">| &gt; 0.21 and ** </w:t>
      </w:r>
      <w:r w:rsidRPr="001823CC">
        <w:rPr>
          <w:rFonts w:ascii="Times New Roman" w:hAnsi="Times New Roman" w:cs="Times New Roman"/>
          <w:i/>
          <w:sz w:val="24"/>
          <w:szCs w:val="24"/>
        </w:rPr>
        <w:t>p</w:t>
      </w:r>
      <w:r w:rsidR="003B5AD8" w:rsidRPr="001823CC">
        <w:rPr>
          <w:rFonts w:ascii="Times New Roman" w:hAnsi="Times New Roman" w:cs="Times New Roman"/>
          <w:i/>
          <w:sz w:val="24"/>
          <w:szCs w:val="24"/>
        </w:rPr>
        <w:t xml:space="preserve"> </w:t>
      </w:r>
      <w:r w:rsidRPr="001823CC">
        <w:rPr>
          <w:rFonts w:ascii="Times New Roman" w:hAnsi="Times New Roman" w:cs="Times New Roman"/>
          <w:sz w:val="24"/>
          <w:szCs w:val="24"/>
        </w:rPr>
        <w:t>&lt; 0.01 at |</w:t>
      </w:r>
      <w:r w:rsidRPr="001823CC">
        <w:rPr>
          <w:rFonts w:ascii="Times New Roman" w:hAnsi="Times New Roman" w:cs="Times New Roman"/>
          <w:i/>
          <w:sz w:val="24"/>
          <w:szCs w:val="24"/>
        </w:rPr>
        <w:t>r</w:t>
      </w:r>
      <w:r w:rsidRPr="001823CC">
        <w:rPr>
          <w:rFonts w:ascii="Times New Roman" w:hAnsi="Times New Roman" w:cs="Times New Roman"/>
          <w:sz w:val="24"/>
          <w:szCs w:val="24"/>
        </w:rPr>
        <w:t>| &gt; 0.28.</w:t>
      </w:r>
      <w:r w:rsidR="00C378AE" w:rsidRPr="001823CC">
        <w:rPr>
          <w:rFonts w:ascii="Times New Roman" w:hAnsi="Times New Roman" w:cs="Times New Roman"/>
          <w:sz w:val="24"/>
          <w:szCs w:val="24"/>
        </w:rPr>
        <w:t xml:space="preserve"> </w:t>
      </w:r>
      <w:r w:rsidRPr="001823CC">
        <w:rPr>
          <w:rFonts w:ascii="Times New Roman" w:hAnsi="Times New Roman" w:cs="Times New Roman"/>
          <w:sz w:val="24"/>
          <w:szCs w:val="24"/>
        </w:rPr>
        <w:t xml:space="preserve">Change from baseline is indicated by </w:t>
      </w:r>
      <w:r w:rsidRPr="001823CC">
        <w:rPr>
          <w:rFonts w:ascii="Times New Roman" w:hAnsi="Times New Roman" w:cs="Times New Roman"/>
          <w:sz w:val="24"/>
          <w:szCs w:val="24"/>
          <w:lang w:val="el-GR"/>
        </w:rPr>
        <w:t>Δ</w:t>
      </w:r>
      <w:r w:rsidRPr="001823CC">
        <w:rPr>
          <w:rFonts w:ascii="Times New Roman" w:hAnsi="Times New Roman" w:cs="Times New Roman"/>
          <w:sz w:val="24"/>
          <w:szCs w:val="24"/>
        </w:rPr>
        <w:t>. AUDIT = Alcohol Use Disorder Identification Test, CUDIT = Cannabis Use Disorder Identification Test-Revised, DUDIT</w:t>
      </w:r>
      <w:r w:rsidRPr="001823CC">
        <w:rPr>
          <w:rFonts w:ascii="Times New Roman" w:hAnsi="Times New Roman" w:cs="Times New Roman"/>
          <w:b/>
          <w:sz w:val="24"/>
          <w:szCs w:val="24"/>
        </w:rPr>
        <w:t xml:space="preserve"> = </w:t>
      </w:r>
      <w:r w:rsidRPr="001823CC">
        <w:rPr>
          <w:rFonts w:ascii="Times New Roman" w:hAnsi="Times New Roman" w:cs="Times New Roman"/>
          <w:sz w:val="24"/>
          <w:szCs w:val="24"/>
        </w:rPr>
        <w:t>Drug Use Disorder Identification Test, IGD = Internet Gaming Disorder Scale Short Format, PCQ = Pornography Craving Questionnaire, BES = Binge Eating Scale. Urgency (combining positive and negative), premeditation, perseveration, and sensation seeking refer to the respective UPPS-P subscales.</w:t>
      </w:r>
    </w:p>
    <w:p w14:paraId="60370F27" w14:textId="77777777" w:rsidR="00E31BCC" w:rsidRPr="001823CC" w:rsidRDefault="00E31BCC" w:rsidP="00281B0A">
      <w:pPr>
        <w:spacing w:after="0" w:line="480" w:lineRule="auto"/>
        <w:rPr>
          <w:rFonts w:ascii="Times New Roman" w:hAnsi="Times New Roman" w:cs="Times New Roman"/>
          <w:sz w:val="24"/>
          <w:szCs w:val="24"/>
        </w:rPr>
      </w:pPr>
    </w:p>
    <w:p w14:paraId="3B4D45E7" w14:textId="77777777" w:rsidR="00077780" w:rsidRPr="001823CC" w:rsidRDefault="00077780" w:rsidP="00077780">
      <w:pPr>
        <w:spacing w:after="0" w:line="480" w:lineRule="auto"/>
        <w:rPr>
          <w:rFonts w:ascii="Times New Roman" w:hAnsi="Times New Roman" w:cs="Times New Roman"/>
          <w:sz w:val="24"/>
          <w:szCs w:val="24"/>
        </w:rPr>
      </w:pPr>
      <w:r w:rsidRPr="001823CC">
        <w:rPr>
          <w:rFonts w:ascii="Times New Roman" w:hAnsi="Times New Roman" w:cs="Times New Roman"/>
          <w:b/>
          <w:sz w:val="24"/>
          <w:szCs w:val="24"/>
        </w:rPr>
        <w:t xml:space="preserve">Supplementary Table 2. </w:t>
      </w:r>
    </w:p>
    <w:p w14:paraId="1E7F76A0" w14:textId="77777777" w:rsidR="00077780" w:rsidRPr="001823CC" w:rsidRDefault="00077780" w:rsidP="00077780">
      <w:pPr>
        <w:spacing w:after="0" w:line="480" w:lineRule="auto"/>
        <w:rPr>
          <w:rFonts w:ascii="Times New Roman" w:hAnsi="Times New Roman" w:cs="Times New Roman"/>
          <w:i/>
          <w:sz w:val="24"/>
          <w:szCs w:val="24"/>
        </w:rPr>
      </w:pPr>
      <w:r w:rsidRPr="001823CC">
        <w:rPr>
          <w:rFonts w:ascii="Times New Roman" w:hAnsi="Times New Roman" w:cs="Times New Roman"/>
          <w:sz w:val="24"/>
          <w:szCs w:val="24"/>
        </w:rPr>
        <w:t xml:space="preserve">Title: </w:t>
      </w:r>
      <w:r w:rsidRPr="001823CC">
        <w:rPr>
          <w:rFonts w:ascii="Times New Roman" w:hAnsi="Times New Roman" w:cs="Times New Roman"/>
          <w:i/>
          <w:sz w:val="24"/>
          <w:szCs w:val="24"/>
        </w:rPr>
        <w:t xml:space="preserve">Pearson correlation coefficients </w:t>
      </w:r>
      <w:r w:rsidR="00B6689C" w:rsidRPr="001823CC">
        <w:rPr>
          <w:rFonts w:ascii="Times New Roman" w:hAnsi="Times New Roman" w:cs="Times New Roman"/>
          <w:i/>
          <w:sz w:val="24"/>
          <w:szCs w:val="24"/>
        </w:rPr>
        <w:t>of</w:t>
      </w:r>
      <w:r w:rsidRPr="001823CC">
        <w:rPr>
          <w:rFonts w:ascii="Times New Roman" w:hAnsi="Times New Roman" w:cs="Times New Roman"/>
          <w:i/>
          <w:sz w:val="24"/>
          <w:szCs w:val="24"/>
        </w:rPr>
        <w:t xml:space="preserve"> UPPS subscores and AUDI</w:t>
      </w:r>
      <w:r w:rsidR="0086355C" w:rsidRPr="001823CC">
        <w:rPr>
          <w:rFonts w:ascii="Times New Roman" w:hAnsi="Times New Roman" w:cs="Times New Roman"/>
          <w:i/>
          <w:sz w:val="24"/>
          <w:szCs w:val="24"/>
        </w:rPr>
        <w:t>T scores at baseline and follow-</w:t>
      </w:r>
      <w:r w:rsidRPr="001823CC">
        <w:rPr>
          <w:rFonts w:ascii="Times New Roman" w:hAnsi="Times New Roman" w:cs="Times New Roman"/>
          <w:i/>
          <w:sz w:val="24"/>
          <w:szCs w:val="24"/>
        </w:rPr>
        <w:t>ups (minus baseline).</w:t>
      </w:r>
    </w:p>
    <w:p w14:paraId="1AF6AB73" w14:textId="77777777" w:rsidR="00077780" w:rsidRPr="001823CC" w:rsidRDefault="00077780" w:rsidP="00077780">
      <w:pPr>
        <w:spacing w:after="0" w:line="480" w:lineRule="auto"/>
        <w:rPr>
          <w:rFonts w:ascii="Times New Roman" w:hAnsi="Times New Roman" w:cs="Times New Roman"/>
          <w:sz w:val="24"/>
          <w:szCs w:val="24"/>
        </w:rPr>
      </w:pPr>
      <w:r w:rsidRPr="001823CC">
        <w:rPr>
          <w:rFonts w:ascii="Times New Roman" w:hAnsi="Times New Roman" w:cs="Times New Roman"/>
          <w:sz w:val="24"/>
          <w:szCs w:val="24"/>
        </w:rPr>
        <w:t>Legend:</w:t>
      </w:r>
      <w:r w:rsidR="003B5AD8" w:rsidRPr="001823CC">
        <w:rPr>
          <w:rFonts w:ascii="Times New Roman" w:hAnsi="Times New Roman" w:cs="Times New Roman"/>
          <w:sz w:val="24"/>
          <w:szCs w:val="24"/>
        </w:rPr>
        <w:t xml:space="preserve"> </w:t>
      </w:r>
      <w:r w:rsidRPr="001823CC">
        <w:rPr>
          <w:rFonts w:ascii="Times New Roman" w:hAnsi="Times New Roman" w:cs="Times New Roman"/>
          <w:sz w:val="24"/>
          <w:szCs w:val="24"/>
        </w:rPr>
        <w:t xml:space="preserve">Significant correlations are indicated in bold. * reflects </w:t>
      </w:r>
      <w:r w:rsidRPr="001823CC">
        <w:rPr>
          <w:rFonts w:ascii="Times New Roman" w:hAnsi="Times New Roman" w:cs="Times New Roman"/>
          <w:i/>
          <w:sz w:val="24"/>
          <w:szCs w:val="24"/>
        </w:rPr>
        <w:t>p</w:t>
      </w:r>
      <w:r w:rsidR="003B5AD8" w:rsidRPr="001823CC">
        <w:rPr>
          <w:rFonts w:ascii="Times New Roman" w:hAnsi="Times New Roman" w:cs="Times New Roman"/>
          <w:sz w:val="24"/>
          <w:szCs w:val="24"/>
        </w:rPr>
        <w:t xml:space="preserve"> </w:t>
      </w:r>
      <w:r w:rsidRPr="001823CC">
        <w:rPr>
          <w:rFonts w:ascii="Times New Roman" w:hAnsi="Times New Roman" w:cs="Times New Roman"/>
          <w:sz w:val="24"/>
          <w:szCs w:val="24"/>
        </w:rPr>
        <w:t>&lt; 0.05 at |</w:t>
      </w:r>
      <w:r w:rsidRPr="001823CC">
        <w:rPr>
          <w:rFonts w:ascii="Times New Roman" w:hAnsi="Times New Roman" w:cs="Times New Roman"/>
          <w:i/>
          <w:sz w:val="24"/>
          <w:szCs w:val="24"/>
        </w:rPr>
        <w:t>r</w:t>
      </w:r>
      <w:r w:rsidRPr="001823CC">
        <w:rPr>
          <w:rFonts w:ascii="Times New Roman" w:hAnsi="Times New Roman" w:cs="Times New Roman"/>
          <w:sz w:val="24"/>
          <w:szCs w:val="24"/>
        </w:rPr>
        <w:t xml:space="preserve">| &gt; 0.21 and ** </w:t>
      </w:r>
      <w:r w:rsidRPr="001823CC">
        <w:rPr>
          <w:rFonts w:ascii="Times New Roman" w:hAnsi="Times New Roman" w:cs="Times New Roman"/>
          <w:i/>
          <w:sz w:val="24"/>
          <w:szCs w:val="24"/>
        </w:rPr>
        <w:t>p</w:t>
      </w:r>
      <w:r w:rsidR="003B5AD8" w:rsidRPr="001823CC">
        <w:rPr>
          <w:rFonts w:ascii="Times New Roman" w:hAnsi="Times New Roman" w:cs="Times New Roman"/>
          <w:sz w:val="24"/>
          <w:szCs w:val="24"/>
        </w:rPr>
        <w:t xml:space="preserve"> </w:t>
      </w:r>
      <w:r w:rsidRPr="001823CC">
        <w:rPr>
          <w:rFonts w:ascii="Times New Roman" w:hAnsi="Times New Roman" w:cs="Times New Roman"/>
          <w:sz w:val="24"/>
          <w:szCs w:val="24"/>
        </w:rPr>
        <w:t>&lt; 0.01 at |</w:t>
      </w:r>
      <w:r w:rsidRPr="001823CC">
        <w:rPr>
          <w:rFonts w:ascii="Times New Roman" w:hAnsi="Times New Roman" w:cs="Times New Roman"/>
          <w:i/>
          <w:sz w:val="24"/>
          <w:szCs w:val="24"/>
        </w:rPr>
        <w:t>r</w:t>
      </w:r>
      <w:r w:rsidRPr="001823CC">
        <w:rPr>
          <w:rFonts w:ascii="Times New Roman" w:hAnsi="Times New Roman" w:cs="Times New Roman"/>
          <w:sz w:val="24"/>
          <w:szCs w:val="24"/>
        </w:rPr>
        <w:t xml:space="preserve">| &gt; 0.28.Change from baseline is indicated by </w:t>
      </w:r>
      <w:r w:rsidRPr="001823CC">
        <w:rPr>
          <w:rFonts w:ascii="Times New Roman" w:hAnsi="Times New Roman" w:cs="Times New Roman"/>
          <w:sz w:val="24"/>
          <w:szCs w:val="24"/>
          <w:lang w:val="el-GR"/>
        </w:rPr>
        <w:t>Δ</w:t>
      </w:r>
      <w:r w:rsidRPr="001823CC">
        <w:rPr>
          <w:rFonts w:ascii="Times New Roman" w:hAnsi="Times New Roman" w:cs="Times New Roman"/>
          <w:sz w:val="24"/>
          <w:szCs w:val="24"/>
        </w:rPr>
        <w:t>. AUDIT = Alcohol Use Disorder Identification Test. Urgency (combining positive and negative), premeditation, perseveration, and sensation seeking refer to the respective UPPS-P subscales.</w:t>
      </w:r>
    </w:p>
    <w:p w14:paraId="041C0DA8" w14:textId="77777777" w:rsidR="00B6689C" w:rsidRPr="001823CC" w:rsidRDefault="00B6689C" w:rsidP="00077780">
      <w:pPr>
        <w:spacing w:after="0" w:line="480" w:lineRule="auto"/>
        <w:rPr>
          <w:rFonts w:ascii="Times New Roman" w:hAnsi="Times New Roman" w:cs="Times New Roman"/>
          <w:sz w:val="24"/>
          <w:szCs w:val="24"/>
        </w:rPr>
      </w:pPr>
    </w:p>
    <w:p w14:paraId="4344A652" w14:textId="77777777" w:rsidR="00077780" w:rsidRPr="001823CC" w:rsidRDefault="00077780" w:rsidP="00281B0A">
      <w:pPr>
        <w:spacing w:after="0" w:line="480" w:lineRule="auto"/>
        <w:rPr>
          <w:rFonts w:ascii="Times New Roman" w:hAnsi="Times New Roman" w:cs="Times New Roman"/>
          <w:b/>
          <w:sz w:val="24"/>
          <w:szCs w:val="24"/>
        </w:rPr>
      </w:pPr>
      <w:r w:rsidRPr="001823CC">
        <w:rPr>
          <w:rFonts w:ascii="Times New Roman" w:hAnsi="Times New Roman" w:cs="Times New Roman"/>
          <w:b/>
          <w:sz w:val="24"/>
          <w:szCs w:val="24"/>
        </w:rPr>
        <w:t>Supplementary Table 3.</w:t>
      </w:r>
    </w:p>
    <w:p w14:paraId="3BAD6BC9" w14:textId="77777777" w:rsidR="00077780" w:rsidRPr="001823CC" w:rsidRDefault="00077780" w:rsidP="00077780">
      <w:pPr>
        <w:spacing w:after="0" w:line="480" w:lineRule="auto"/>
        <w:contextualSpacing/>
        <w:rPr>
          <w:rFonts w:ascii="Times New Roman" w:hAnsi="Times New Roman" w:cs="Times New Roman"/>
          <w:i/>
          <w:sz w:val="24"/>
          <w:szCs w:val="24"/>
        </w:rPr>
      </w:pPr>
      <w:r w:rsidRPr="001823CC">
        <w:rPr>
          <w:rFonts w:ascii="Times New Roman" w:hAnsi="Times New Roman" w:cs="Times New Roman"/>
          <w:sz w:val="24"/>
          <w:szCs w:val="24"/>
        </w:rPr>
        <w:t>Title:</w:t>
      </w:r>
      <w:r w:rsidR="00C378AE" w:rsidRPr="001823CC">
        <w:rPr>
          <w:rFonts w:ascii="Times New Roman" w:hAnsi="Times New Roman" w:cs="Times New Roman"/>
          <w:sz w:val="24"/>
          <w:szCs w:val="24"/>
        </w:rPr>
        <w:t xml:space="preserve"> </w:t>
      </w:r>
      <w:r w:rsidRPr="001823CC">
        <w:rPr>
          <w:rFonts w:ascii="Times New Roman" w:hAnsi="Times New Roman" w:cs="Times New Roman"/>
          <w:i/>
          <w:sz w:val="24"/>
          <w:szCs w:val="24"/>
        </w:rPr>
        <w:t xml:space="preserve">Multicollinearity </w:t>
      </w:r>
      <w:r w:rsidR="00B6689C" w:rsidRPr="001823CC">
        <w:rPr>
          <w:rFonts w:ascii="Times New Roman" w:hAnsi="Times New Roman" w:cs="Times New Roman"/>
          <w:i/>
          <w:sz w:val="24"/>
          <w:szCs w:val="24"/>
        </w:rPr>
        <w:t>assessments of</w:t>
      </w:r>
      <w:r w:rsidRPr="001823CC">
        <w:rPr>
          <w:rFonts w:ascii="Times New Roman" w:hAnsi="Times New Roman" w:cs="Times New Roman"/>
          <w:i/>
          <w:sz w:val="24"/>
          <w:szCs w:val="24"/>
        </w:rPr>
        <w:t xml:space="preserve"> regressors. </w:t>
      </w:r>
    </w:p>
    <w:p w14:paraId="070CC940" w14:textId="77777777" w:rsidR="00077780" w:rsidRPr="001823CC" w:rsidRDefault="00077780" w:rsidP="00077780">
      <w:pPr>
        <w:spacing w:after="0" w:line="480" w:lineRule="auto"/>
        <w:contextualSpacing/>
        <w:rPr>
          <w:rFonts w:ascii="Times New Roman" w:hAnsi="Times New Roman" w:cs="Times New Roman"/>
          <w:sz w:val="24"/>
          <w:szCs w:val="24"/>
        </w:rPr>
      </w:pPr>
      <w:r w:rsidRPr="001823CC">
        <w:rPr>
          <w:rFonts w:ascii="Times New Roman" w:hAnsi="Times New Roman" w:cs="Times New Roman"/>
          <w:sz w:val="24"/>
          <w:szCs w:val="24"/>
        </w:rPr>
        <w:t xml:space="preserve">Legend: </w:t>
      </w:r>
      <w:r w:rsidR="000E5118" w:rsidRPr="001823CC">
        <w:rPr>
          <w:rFonts w:ascii="Times New Roman" w:hAnsi="Times New Roman" w:cs="Times New Roman"/>
          <w:sz w:val="24"/>
          <w:szCs w:val="24"/>
        </w:rPr>
        <w:t>CI</w:t>
      </w:r>
      <w:r w:rsidR="00B6689C" w:rsidRPr="001823CC">
        <w:rPr>
          <w:rFonts w:ascii="Times New Roman" w:hAnsi="Times New Roman" w:cs="Times New Roman"/>
          <w:sz w:val="24"/>
          <w:szCs w:val="24"/>
        </w:rPr>
        <w:t xml:space="preserve"> = </w:t>
      </w:r>
      <w:r w:rsidR="000E5118" w:rsidRPr="001823CC">
        <w:rPr>
          <w:rFonts w:ascii="Times New Roman" w:hAnsi="Times New Roman" w:cs="Times New Roman"/>
          <w:sz w:val="24"/>
          <w:szCs w:val="24"/>
        </w:rPr>
        <w:t>condition index; VIF</w:t>
      </w:r>
      <w:r w:rsidR="00B6689C" w:rsidRPr="001823CC">
        <w:rPr>
          <w:rFonts w:ascii="Times New Roman" w:hAnsi="Times New Roman" w:cs="Times New Roman"/>
          <w:sz w:val="24"/>
          <w:szCs w:val="24"/>
        </w:rPr>
        <w:t xml:space="preserve"> = </w:t>
      </w:r>
      <w:r w:rsidR="000E5118" w:rsidRPr="001823CC">
        <w:rPr>
          <w:rFonts w:ascii="Times New Roman" w:hAnsi="Times New Roman" w:cs="Times New Roman"/>
          <w:sz w:val="24"/>
          <w:szCs w:val="24"/>
        </w:rPr>
        <w:t>variance inflation factor.</w:t>
      </w:r>
      <w:r w:rsidR="003B5AD8" w:rsidRPr="001823CC">
        <w:rPr>
          <w:rFonts w:ascii="Times New Roman" w:hAnsi="Times New Roman" w:cs="Times New Roman"/>
          <w:sz w:val="24"/>
          <w:szCs w:val="24"/>
        </w:rPr>
        <w:t xml:space="preserve"> </w:t>
      </w:r>
      <w:r w:rsidRPr="001823CC">
        <w:rPr>
          <w:rFonts w:ascii="Times New Roman" w:hAnsi="Times New Roman" w:cs="Times New Roman"/>
          <w:sz w:val="24"/>
          <w:szCs w:val="24"/>
        </w:rPr>
        <w:t xml:space="preserve">Change from baseline is indicated by </w:t>
      </w:r>
      <w:r w:rsidRPr="001823CC">
        <w:rPr>
          <w:rFonts w:ascii="Times New Roman" w:hAnsi="Times New Roman" w:cs="Times New Roman"/>
          <w:sz w:val="24"/>
          <w:szCs w:val="24"/>
          <w:lang w:val="el-GR"/>
        </w:rPr>
        <w:t>Δ</w:t>
      </w:r>
      <w:r w:rsidRPr="001823CC">
        <w:rPr>
          <w:rFonts w:ascii="Times New Roman" w:hAnsi="Times New Roman" w:cs="Times New Roman"/>
          <w:sz w:val="24"/>
          <w:szCs w:val="24"/>
        </w:rPr>
        <w:t>. AUDIT = Alcohol Use Disorder Identification Test, CUDIT = Cannabis Use Disorder Identification Test-Revised, DUDIT</w:t>
      </w:r>
      <w:r w:rsidRPr="001823CC">
        <w:rPr>
          <w:rFonts w:ascii="Times New Roman" w:hAnsi="Times New Roman" w:cs="Times New Roman"/>
          <w:b/>
          <w:sz w:val="24"/>
          <w:szCs w:val="24"/>
        </w:rPr>
        <w:t xml:space="preserve"> = </w:t>
      </w:r>
      <w:r w:rsidRPr="001823CC">
        <w:rPr>
          <w:rFonts w:ascii="Times New Roman" w:hAnsi="Times New Roman" w:cs="Times New Roman"/>
          <w:sz w:val="24"/>
          <w:szCs w:val="24"/>
        </w:rPr>
        <w:t xml:space="preserve">Drug Use Disorder Identification Test, IGD </w:t>
      </w:r>
      <w:r w:rsidRPr="001823CC">
        <w:rPr>
          <w:rFonts w:ascii="Times New Roman" w:hAnsi="Times New Roman" w:cs="Times New Roman"/>
          <w:sz w:val="24"/>
          <w:szCs w:val="24"/>
        </w:rPr>
        <w:lastRenderedPageBreak/>
        <w:t>= Internet Gaming Disorder Scale Short Format, PCQ = Pornography Craving Questionnaire, BES = Binge Eating Scale. Urgency (combining positive and negative), premeditation, perseveration, and sensation seeking refer to the respective UPPS-P subscales.</w:t>
      </w:r>
    </w:p>
    <w:p w14:paraId="10915DD1" w14:textId="77777777" w:rsidR="00B6689C" w:rsidRPr="001823CC" w:rsidRDefault="00B6689C" w:rsidP="00077780">
      <w:pPr>
        <w:spacing w:after="0" w:line="480" w:lineRule="auto"/>
        <w:contextualSpacing/>
        <w:rPr>
          <w:rFonts w:ascii="Times New Roman" w:hAnsi="Times New Roman" w:cs="Times New Roman"/>
          <w:sz w:val="24"/>
          <w:szCs w:val="24"/>
        </w:rPr>
      </w:pPr>
    </w:p>
    <w:p w14:paraId="33C8CBEE" w14:textId="77777777" w:rsidR="00077780" w:rsidRPr="001823CC" w:rsidRDefault="00077780" w:rsidP="00281B0A">
      <w:pPr>
        <w:spacing w:after="0" w:line="480" w:lineRule="auto"/>
        <w:rPr>
          <w:rFonts w:ascii="Times New Roman" w:hAnsi="Times New Roman" w:cs="Times New Roman"/>
          <w:b/>
          <w:sz w:val="24"/>
          <w:szCs w:val="24"/>
        </w:rPr>
      </w:pPr>
      <w:r w:rsidRPr="001823CC">
        <w:rPr>
          <w:rFonts w:ascii="Times New Roman" w:hAnsi="Times New Roman" w:cs="Times New Roman"/>
          <w:b/>
          <w:sz w:val="24"/>
          <w:szCs w:val="24"/>
        </w:rPr>
        <w:t xml:space="preserve">Supplementary Figure 1. </w:t>
      </w:r>
    </w:p>
    <w:p w14:paraId="39443B5C" w14:textId="77777777" w:rsidR="00077780" w:rsidRPr="001823CC" w:rsidRDefault="00077780" w:rsidP="00281B0A">
      <w:pPr>
        <w:spacing w:after="0" w:line="480" w:lineRule="auto"/>
        <w:rPr>
          <w:rFonts w:ascii="Times New Roman" w:hAnsi="Times New Roman" w:cs="Times New Roman"/>
          <w:sz w:val="24"/>
          <w:szCs w:val="24"/>
        </w:rPr>
      </w:pPr>
      <w:r w:rsidRPr="001823CC">
        <w:rPr>
          <w:rFonts w:ascii="Times New Roman" w:hAnsi="Times New Roman" w:cs="Times New Roman"/>
          <w:sz w:val="24"/>
          <w:szCs w:val="24"/>
        </w:rPr>
        <w:t>Title: Age and sex effects on R1</w:t>
      </w:r>
    </w:p>
    <w:p w14:paraId="09A6005B" w14:textId="77777777" w:rsidR="00077780" w:rsidRPr="001823CC" w:rsidRDefault="00077780" w:rsidP="00077780">
      <w:pPr>
        <w:pStyle w:val="Caption"/>
      </w:pPr>
      <w:r w:rsidRPr="001823CC">
        <w:t xml:space="preserve">Legend: The effect of covariates in GLMs. </w:t>
      </w:r>
      <w:r w:rsidRPr="001823CC">
        <w:rPr>
          <w:b/>
        </w:rPr>
        <w:t>A</w:t>
      </w:r>
      <w:r w:rsidRPr="001823CC">
        <w:t xml:space="preserve">: T-statistic maps for the effect of age thresholded at the cluster-level of 0.05. </w:t>
      </w:r>
      <w:r w:rsidRPr="001823CC">
        <w:rPr>
          <w:b/>
        </w:rPr>
        <w:t>B</w:t>
      </w:r>
      <w:r w:rsidRPr="001823CC">
        <w:t>:</w:t>
      </w:r>
      <w:r w:rsidR="00C378AE" w:rsidRPr="001823CC">
        <w:t xml:space="preserve"> </w:t>
      </w:r>
      <w:r w:rsidRPr="001823CC">
        <w:t>T-statistic maps for the effect of sex.</w:t>
      </w:r>
    </w:p>
    <w:p w14:paraId="406864EC" w14:textId="77777777" w:rsidR="00FA1507" w:rsidRPr="001823CC" w:rsidRDefault="00FA1507">
      <w:pPr>
        <w:rPr>
          <w:rFonts w:ascii="Times New Roman" w:hAnsi="Times New Roman" w:cs="Times New Roman"/>
          <w:sz w:val="24"/>
          <w:szCs w:val="24"/>
        </w:rPr>
      </w:pPr>
    </w:p>
    <w:p w14:paraId="7FF47E9B" w14:textId="77777777" w:rsidR="00077780" w:rsidRPr="001823CC" w:rsidRDefault="00077780" w:rsidP="00077780">
      <w:pPr>
        <w:rPr>
          <w:rFonts w:ascii="Times New Roman" w:hAnsi="Times New Roman" w:cs="Times New Roman"/>
          <w:b/>
          <w:sz w:val="24"/>
          <w:szCs w:val="24"/>
          <w:lang w:eastAsia="ko-KR"/>
        </w:rPr>
      </w:pPr>
      <w:r w:rsidRPr="001823CC">
        <w:rPr>
          <w:rFonts w:ascii="Times New Roman" w:hAnsi="Times New Roman" w:cs="Times New Roman"/>
          <w:b/>
          <w:sz w:val="24"/>
          <w:szCs w:val="24"/>
          <w:lang w:eastAsia="ko-KR"/>
        </w:rPr>
        <w:t>Supplementary Figure 2.</w:t>
      </w:r>
    </w:p>
    <w:p w14:paraId="61AA0E72" w14:textId="77777777" w:rsidR="00077780" w:rsidRPr="001823CC" w:rsidRDefault="00077780" w:rsidP="00077780">
      <w:pPr>
        <w:rPr>
          <w:rFonts w:ascii="Times New Roman" w:hAnsi="Times New Roman" w:cs="Times New Roman"/>
          <w:b/>
          <w:sz w:val="24"/>
          <w:szCs w:val="24"/>
        </w:rPr>
      </w:pPr>
      <w:r w:rsidRPr="001823CC">
        <w:rPr>
          <w:rFonts w:ascii="Times New Roman" w:hAnsi="Times New Roman" w:cs="Times New Roman"/>
          <w:sz w:val="24"/>
          <w:szCs w:val="24"/>
          <w:lang w:eastAsia="ko-KR"/>
        </w:rPr>
        <w:t>Title:</w:t>
      </w:r>
      <w:r w:rsidRPr="001823CC">
        <w:rPr>
          <w:rFonts w:ascii="Times New Roman" w:hAnsi="Times New Roman" w:cs="Times New Roman"/>
          <w:sz w:val="24"/>
          <w:szCs w:val="24"/>
        </w:rPr>
        <w:t xml:space="preserve"> Relationships between AUDIT scores</w:t>
      </w:r>
    </w:p>
    <w:p w14:paraId="53F91B48" w14:textId="77777777" w:rsidR="00077780" w:rsidRPr="001823CC" w:rsidRDefault="00077780" w:rsidP="00077780">
      <w:pPr>
        <w:rPr>
          <w:rFonts w:ascii="Times New Roman" w:hAnsi="Times New Roman" w:cs="Times New Roman"/>
          <w:sz w:val="24"/>
          <w:szCs w:val="24"/>
          <w:highlight w:val="yellow"/>
        </w:rPr>
      </w:pPr>
      <w:r w:rsidRPr="001823CC">
        <w:rPr>
          <w:rFonts w:ascii="Times New Roman" w:hAnsi="Times New Roman" w:cs="Times New Roman"/>
          <w:sz w:val="24"/>
          <w:szCs w:val="24"/>
          <w:lang w:eastAsia="ko-KR"/>
        </w:rPr>
        <w:t xml:space="preserve">Legend: </w:t>
      </w:r>
      <w:r w:rsidRPr="001823CC">
        <w:rPr>
          <w:rFonts w:ascii="Times New Roman" w:hAnsi="Times New Roman" w:cs="Times New Roman"/>
          <w:sz w:val="24"/>
          <w:szCs w:val="24"/>
        </w:rPr>
        <w:t>Scatterplots of the relationship between AUDIT scores at baseline and at follow-up.</w:t>
      </w:r>
    </w:p>
    <w:p w14:paraId="16987A44" w14:textId="63CC73C4" w:rsidR="00077780" w:rsidRPr="001823CC" w:rsidRDefault="00077780" w:rsidP="00077780">
      <w:pPr>
        <w:rPr>
          <w:rFonts w:ascii="Times New Roman" w:hAnsi="Times New Roman" w:cs="Times New Roman"/>
          <w:sz w:val="24"/>
          <w:szCs w:val="24"/>
          <w:lang w:eastAsia="ko-KR"/>
        </w:rPr>
      </w:pPr>
    </w:p>
    <w:p w14:paraId="575F76A2" w14:textId="77777777" w:rsidR="00D47B01" w:rsidRPr="001823CC" w:rsidRDefault="00D47B01" w:rsidP="002D067C">
      <w:pPr>
        <w:spacing w:line="480" w:lineRule="auto"/>
        <w:contextualSpacing/>
        <w:rPr>
          <w:rFonts w:ascii="Times New Roman" w:hAnsi="Times New Roman" w:cs="Times New Roman"/>
          <w:b/>
          <w:sz w:val="24"/>
          <w:szCs w:val="24"/>
          <w:lang w:eastAsia="ko-KR"/>
        </w:rPr>
      </w:pPr>
      <w:r w:rsidRPr="001823CC">
        <w:rPr>
          <w:rFonts w:ascii="Times New Roman" w:hAnsi="Times New Roman" w:cs="Times New Roman"/>
          <w:b/>
          <w:sz w:val="24"/>
          <w:szCs w:val="24"/>
          <w:lang w:eastAsia="ko-KR"/>
        </w:rPr>
        <w:t>Supplementary Figure 2.</w:t>
      </w:r>
    </w:p>
    <w:p w14:paraId="3056CC2A" w14:textId="77777777" w:rsidR="00D47B01" w:rsidRPr="001823CC" w:rsidRDefault="00D47B01" w:rsidP="002D067C">
      <w:pPr>
        <w:pStyle w:val="review"/>
        <w:spacing w:line="480" w:lineRule="auto"/>
        <w:contextualSpacing/>
        <w:rPr>
          <w:rFonts w:ascii="Times New Roman" w:hAnsi="Times New Roman" w:cs="Times New Roman"/>
          <w:i w:val="0"/>
          <w:iCs w:val="0"/>
          <w:sz w:val="24"/>
          <w:szCs w:val="24"/>
          <w:lang w:val="en-US"/>
        </w:rPr>
      </w:pPr>
      <w:r w:rsidRPr="001823CC">
        <w:rPr>
          <w:rFonts w:ascii="Times New Roman" w:hAnsi="Times New Roman" w:cs="Times New Roman"/>
          <w:i w:val="0"/>
          <w:iCs w:val="0"/>
          <w:sz w:val="24"/>
          <w:szCs w:val="24"/>
          <w:lang w:val="en-US"/>
        </w:rPr>
        <w:t xml:space="preserve">Title: Effect of age in AUDIT. </w:t>
      </w:r>
    </w:p>
    <w:p w14:paraId="71515E09" w14:textId="129216AC" w:rsidR="00D47B01" w:rsidRPr="001823CC" w:rsidRDefault="00D47B01" w:rsidP="002D067C">
      <w:pPr>
        <w:pStyle w:val="review"/>
        <w:spacing w:line="480" w:lineRule="auto"/>
        <w:contextualSpacing/>
        <w:rPr>
          <w:rFonts w:ascii="Times New Roman" w:hAnsi="Times New Roman" w:cs="Times New Roman"/>
          <w:i w:val="0"/>
          <w:iCs w:val="0"/>
          <w:sz w:val="24"/>
          <w:szCs w:val="24"/>
          <w:lang w:val="en-US"/>
        </w:rPr>
      </w:pPr>
      <w:r w:rsidRPr="001823CC">
        <w:rPr>
          <w:rFonts w:ascii="Times New Roman" w:hAnsi="Times New Roman" w:cs="Times New Roman"/>
          <w:i w:val="0"/>
          <w:iCs w:val="0"/>
          <w:sz w:val="24"/>
          <w:szCs w:val="24"/>
          <w:lang w:val="en-US"/>
        </w:rPr>
        <w:t>Legend: Left: all data points of 86 subjects and 3 sessions. Each dot represents a measurement and a line connects sessions of each subject. Center: AUDIT change after one year over age at baseline. T-statistics, degrees of freedom, and P-value for the effect of age are noted above. A linear regression line is given in red. Right: AUDIT change after two years over age at baseline.</w:t>
      </w:r>
    </w:p>
    <w:p w14:paraId="5991640C" w14:textId="77777777" w:rsidR="00D47B01" w:rsidRPr="001823CC" w:rsidRDefault="00D47B01" w:rsidP="00D47B01">
      <w:pPr>
        <w:rPr>
          <w:rFonts w:ascii="Times New Roman" w:hAnsi="Times New Roman" w:cs="Times New Roman"/>
          <w:sz w:val="24"/>
          <w:szCs w:val="24"/>
        </w:rPr>
      </w:pPr>
    </w:p>
    <w:p w14:paraId="226AABE6" w14:textId="77777777" w:rsidR="00D47B01" w:rsidRPr="001823CC" w:rsidRDefault="00D47B01" w:rsidP="00077780">
      <w:pPr>
        <w:rPr>
          <w:rFonts w:ascii="Times New Roman" w:hAnsi="Times New Roman" w:cs="Times New Roman"/>
          <w:sz w:val="24"/>
          <w:szCs w:val="24"/>
          <w:lang w:eastAsia="ko-KR"/>
        </w:rPr>
      </w:pPr>
    </w:p>
    <w:p w14:paraId="729745C3" w14:textId="77777777" w:rsidR="00077780" w:rsidRPr="001823CC" w:rsidRDefault="00077780" w:rsidP="00077780">
      <w:pPr>
        <w:rPr>
          <w:rFonts w:ascii="Times New Roman" w:hAnsi="Times New Roman" w:cs="Times New Roman"/>
          <w:sz w:val="24"/>
          <w:szCs w:val="24"/>
        </w:rPr>
      </w:pPr>
    </w:p>
    <w:p w14:paraId="305C397C" w14:textId="77777777" w:rsidR="00077780" w:rsidRPr="001823CC" w:rsidRDefault="00077780" w:rsidP="00077780">
      <w:pPr>
        <w:rPr>
          <w:rFonts w:ascii="Times New Roman" w:hAnsi="Times New Roman" w:cs="Times New Roman"/>
          <w:sz w:val="24"/>
          <w:szCs w:val="24"/>
          <w:lang w:eastAsia="ko-KR"/>
        </w:rPr>
      </w:pPr>
    </w:p>
    <w:p w14:paraId="5D161666" w14:textId="77777777" w:rsidR="00077780" w:rsidRPr="001823CC" w:rsidRDefault="00077780" w:rsidP="00281B0A">
      <w:pPr>
        <w:spacing w:after="0" w:line="480" w:lineRule="auto"/>
        <w:rPr>
          <w:rFonts w:ascii="Times New Roman" w:hAnsi="Times New Roman" w:cs="Times New Roman"/>
          <w:sz w:val="24"/>
          <w:szCs w:val="24"/>
        </w:rPr>
      </w:pPr>
    </w:p>
    <w:p w14:paraId="15C2371E" w14:textId="77777777" w:rsidR="00077780" w:rsidRPr="001823CC" w:rsidRDefault="00077780" w:rsidP="00281B0A">
      <w:pPr>
        <w:spacing w:after="0" w:line="480" w:lineRule="auto"/>
        <w:rPr>
          <w:rFonts w:ascii="Times New Roman" w:hAnsi="Times New Roman" w:cs="Times New Roman"/>
          <w:sz w:val="24"/>
          <w:szCs w:val="24"/>
        </w:rPr>
        <w:sectPr w:rsidR="00077780" w:rsidRPr="001823CC" w:rsidSect="004A7975">
          <w:pgSz w:w="11906" w:h="16838"/>
          <w:pgMar w:top="1440" w:right="1440" w:bottom="1440" w:left="1440" w:header="708" w:footer="708" w:gutter="0"/>
          <w:lnNumType w:countBy="1" w:restart="continuous"/>
          <w:cols w:space="708"/>
          <w:docGrid w:linePitch="360"/>
        </w:sectPr>
      </w:pPr>
    </w:p>
    <w:p w14:paraId="56C9365D" w14:textId="77777777" w:rsidR="00077780" w:rsidRPr="001823CC" w:rsidRDefault="00077780" w:rsidP="00281B0A">
      <w:pPr>
        <w:spacing w:after="0" w:line="480" w:lineRule="auto"/>
        <w:rPr>
          <w:rFonts w:ascii="Times New Roman" w:hAnsi="Times New Roman" w:cs="Times New Roman"/>
          <w:sz w:val="24"/>
          <w:szCs w:val="24"/>
        </w:rPr>
      </w:pPr>
      <w:r w:rsidRPr="001823CC">
        <w:rPr>
          <w:rFonts w:ascii="Times New Roman" w:hAnsi="Times New Roman" w:cs="Times New Roman"/>
          <w:sz w:val="24"/>
          <w:szCs w:val="24"/>
        </w:rPr>
        <w:lastRenderedPageBreak/>
        <w:t>Supplementary Table 1</w:t>
      </w:r>
    </w:p>
    <w:tbl>
      <w:tblPr>
        <w:tblStyle w:val="GridTable1Light1"/>
        <w:tblW w:w="0" w:type="auto"/>
        <w:tblLook w:val="04A0" w:firstRow="1" w:lastRow="0" w:firstColumn="1" w:lastColumn="0" w:noHBand="0" w:noVBand="1"/>
      </w:tblPr>
      <w:tblGrid>
        <w:gridCol w:w="1594"/>
        <w:gridCol w:w="545"/>
        <w:gridCol w:w="732"/>
        <w:gridCol w:w="544"/>
        <w:gridCol w:w="731"/>
        <w:gridCol w:w="606"/>
        <w:gridCol w:w="793"/>
        <w:gridCol w:w="793"/>
        <w:gridCol w:w="793"/>
        <w:gridCol w:w="793"/>
        <w:gridCol w:w="700"/>
        <w:gridCol w:w="700"/>
        <w:gridCol w:w="793"/>
        <w:gridCol w:w="731"/>
        <w:gridCol w:w="793"/>
        <w:gridCol w:w="793"/>
        <w:gridCol w:w="731"/>
        <w:gridCol w:w="793"/>
      </w:tblGrid>
      <w:tr w:rsidR="00281B0A" w:rsidRPr="001823CC" w14:paraId="06E3F51C" w14:textId="77777777" w:rsidTr="00EE0E3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9999" w:themeColor="text1" w:themeTint="66"/>
              <w:left w:val="nil"/>
              <w:bottom w:val="single" w:sz="8" w:space="0" w:color="999999" w:themeColor="text1" w:themeTint="66"/>
              <w:right w:val="nil"/>
            </w:tcBorders>
            <w:noWrap/>
            <w:hideMark/>
          </w:tcPr>
          <w:p w14:paraId="00377E08" w14:textId="77777777" w:rsidR="00281B0A" w:rsidRPr="001823CC" w:rsidRDefault="00281B0A" w:rsidP="00EE0E3F">
            <w:pPr>
              <w:pStyle w:val="Table"/>
              <w:rPr>
                <w:sz w:val="24"/>
              </w:rPr>
            </w:pPr>
            <w:r w:rsidRPr="001823CC">
              <w:rPr>
                <w:sz w:val="24"/>
              </w:rPr>
              <w:t>Variables</w:t>
            </w:r>
          </w:p>
        </w:tc>
        <w:tc>
          <w:tcPr>
            <w:tcW w:w="0" w:type="auto"/>
            <w:tcBorders>
              <w:top w:val="single" w:sz="8" w:space="0" w:color="999999" w:themeColor="text1" w:themeTint="66"/>
              <w:left w:val="nil"/>
              <w:bottom w:val="single" w:sz="8" w:space="0" w:color="999999" w:themeColor="text1" w:themeTint="66"/>
              <w:right w:val="nil"/>
            </w:tcBorders>
            <w:noWrap/>
            <w:hideMark/>
          </w:tcPr>
          <w:p w14:paraId="6BEAB020"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2</w:t>
            </w:r>
          </w:p>
        </w:tc>
        <w:tc>
          <w:tcPr>
            <w:tcW w:w="0" w:type="auto"/>
            <w:tcBorders>
              <w:top w:val="single" w:sz="8" w:space="0" w:color="999999" w:themeColor="text1" w:themeTint="66"/>
              <w:left w:val="nil"/>
              <w:bottom w:val="single" w:sz="8" w:space="0" w:color="999999" w:themeColor="text1" w:themeTint="66"/>
              <w:right w:val="nil"/>
            </w:tcBorders>
            <w:noWrap/>
            <w:hideMark/>
          </w:tcPr>
          <w:p w14:paraId="2573B6CF"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3</w:t>
            </w:r>
          </w:p>
        </w:tc>
        <w:tc>
          <w:tcPr>
            <w:tcW w:w="0" w:type="auto"/>
            <w:tcBorders>
              <w:top w:val="single" w:sz="8" w:space="0" w:color="999999" w:themeColor="text1" w:themeTint="66"/>
              <w:left w:val="nil"/>
              <w:bottom w:val="single" w:sz="8" w:space="0" w:color="999999" w:themeColor="text1" w:themeTint="66"/>
              <w:right w:val="nil"/>
            </w:tcBorders>
            <w:noWrap/>
            <w:hideMark/>
          </w:tcPr>
          <w:p w14:paraId="6338FCBD"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4</w:t>
            </w:r>
          </w:p>
        </w:tc>
        <w:tc>
          <w:tcPr>
            <w:tcW w:w="0" w:type="auto"/>
            <w:tcBorders>
              <w:top w:val="single" w:sz="8" w:space="0" w:color="999999" w:themeColor="text1" w:themeTint="66"/>
              <w:left w:val="nil"/>
              <w:bottom w:val="single" w:sz="8" w:space="0" w:color="999999" w:themeColor="text1" w:themeTint="66"/>
              <w:right w:val="nil"/>
            </w:tcBorders>
            <w:noWrap/>
            <w:hideMark/>
          </w:tcPr>
          <w:p w14:paraId="1C44BAD3"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5</w:t>
            </w:r>
          </w:p>
        </w:tc>
        <w:tc>
          <w:tcPr>
            <w:tcW w:w="0" w:type="auto"/>
            <w:tcBorders>
              <w:top w:val="single" w:sz="8" w:space="0" w:color="999999" w:themeColor="text1" w:themeTint="66"/>
              <w:left w:val="nil"/>
              <w:bottom w:val="single" w:sz="8" w:space="0" w:color="999999" w:themeColor="text1" w:themeTint="66"/>
              <w:right w:val="nil"/>
            </w:tcBorders>
            <w:noWrap/>
            <w:hideMark/>
          </w:tcPr>
          <w:p w14:paraId="13BFF42A"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6</w:t>
            </w:r>
          </w:p>
        </w:tc>
        <w:tc>
          <w:tcPr>
            <w:tcW w:w="0" w:type="auto"/>
            <w:tcBorders>
              <w:top w:val="single" w:sz="8" w:space="0" w:color="999999" w:themeColor="text1" w:themeTint="66"/>
              <w:left w:val="nil"/>
              <w:bottom w:val="single" w:sz="8" w:space="0" w:color="999999" w:themeColor="text1" w:themeTint="66"/>
              <w:right w:val="nil"/>
            </w:tcBorders>
            <w:noWrap/>
            <w:hideMark/>
          </w:tcPr>
          <w:p w14:paraId="4606BBFC"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7</w:t>
            </w:r>
          </w:p>
        </w:tc>
        <w:tc>
          <w:tcPr>
            <w:tcW w:w="0" w:type="auto"/>
            <w:tcBorders>
              <w:top w:val="single" w:sz="8" w:space="0" w:color="999999" w:themeColor="text1" w:themeTint="66"/>
              <w:left w:val="nil"/>
              <w:bottom w:val="single" w:sz="8" w:space="0" w:color="999999" w:themeColor="text1" w:themeTint="66"/>
              <w:right w:val="nil"/>
            </w:tcBorders>
            <w:noWrap/>
            <w:hideMark/>
          </w:tcPr>
          <w:p w14:paraId="0B668C64"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8</w:t>
            </w:r>
          </w:p>
        </w:tc>
        <w:tc>
          <w:tcPr>
            <w:tcW w:w="0" w:type="auto"/>
            <w:tcBorders>
              <w:top w:val="single" w:sz="8" w:space="0" w:color="999999" w:themeColor="text1" w:themeTint="66"/>
              <w:left w:val="nil"/>
              <w:bottom w:val="single" w:sz="8" w:space="0" w:color="999999" w:themeColor="text1" w:themeTint="66"/>
              <w:right w:val="nil"/>
            </w:tcBorders>
            <w:noWrap/>
            <w:hideMark/>
          </w:tcPr>
          <w:p w14:paraId="782483A2"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9</w:t>
            </w:r>
          </w:p>
        </w:tc>
        <w:tc>
          <w:tcPr>
            <w:tcW w:w="0" w:type="auto"/>
            <w:tcBorders>
              <w:top w:val="single" w:sz="8" w:space="0" w:color="999999" w:themeColor="text1" w:themeTint="66"/>
              <w:left w:val="nil"/>
              <w:bottom w:val="single" w:sz="8" w:space="0" w:color="999999" w:themeColor="text1" w:themeTint="66"/>
              <w:right w:val="nil"/>
            </w:tcBorders>
            <w:noWrap/>
            <w:hideMark/>
          </w:tcPr>
          <w:p w14:paraId="2BDADD9B"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10</w:t>
            </w:r>
          </w:p>
        </w:tc>
        <w:tc>
          <w:tcPr>
            <w:tcW w:w="0" w:type="auto"/>
            <w:tcBorders>
              <w:top w:val="single" w:sz="8" w:space="0" w:color="999999" w:themeColor="text1" w:themeTint="66"/>
              <w:left w:val="nil"/>
              <w:bottom w:val="single" w:sz="8" w:space="0" w:color="999999" w:themeColor="text1" w:themeTint="66"/>
              <w:right w:val="nil"/>
            </w:tcBorders>
            <w:noWrap/>
            <w:hideMark/>
          </w:tcPr>
          <w:p w14:paraId="0674519D"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11</w:t>
            </w:r>
          </w:p>
        </w:tc>
        <w:tc>
          <w:tcPr>
            <w:tcW w:w="0" w:type="auto"/>
            <w:tcBorders>
              <w:top w:val="single" w:sz="8" w:space="0" w:color="999999" w:themeColor="text1" w:themeTint="66"/>
              <w:left w:val="nil"/>
              <w:bottom w:val="single" w:sz="8" w:space="0" w:color="999999" w:themeColor="text1" w:themeTint="66"/>
              <w:right w:val="nil"/>
            </w:tcBorders>
            <w:noWrap/>
            <w:hideMark/>
          </w:tcPr>
          <w:p w14:paraId="376BA065"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12</w:t>
            </w:r>
          </w:p>
        </w:tc>
        <w:tc>
          <w:tcPr>
            <w:tcW w:w="0" w:type="auto"/>
            <w:tcBorders>
              <w:top w:val="single" w:sz="8" w:space="0" w:color="999999" w:themeColor="text1" w:themeTint="66"/>
              <w:left w:val="nil"/>
              <w:bottom w:val="single" w:sz="8" w:space="0" w:color="999999" w:themeColor="text1" w:themeTint="66"/>
              <w:right w:val="nil"/>
            </w:tcBorders>
            <w:noWrap/>
            <w:hideMark/>
          </w:tcPr>
          <w:p w14:paraId="36F50A8C"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13</w:t>
            </w:r>
          </w:p>
        </w:tc>
        <w:tc>
          <w:tcPr>
            <w:tcW w:w="0" w:type="auto"/>
            <w:tcBorders>
              <w:top w:val="single" w:sz="8" w:space="0" w:color="999999" w:themeColor="text1" w:themeTint="66"/>
              <w:left w:val="nil"/>
              <w:bottom w:val="single" w:sz="8" w:space="0" w:color="999999" w:themeColor="text1" w:themeTint="66"/>
              <w:right w:val="nil"/>
            </w:tcBorders>
            <w:noWrap/>
            <w:hideMark/>
          </w:tcPr>
          <w:p w14:paraId="71A27E1D"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14</w:t>
            </w:r>
          </w:p>
        </w:tc>
        <w:tc>
          <w:tcPr>
            <w:tcW w:w="0" w:type="auto"/>
            <w:tcBorders>
              <w:top w:val="single" w:sz="8" w:space="0" w:color="999999" w:themeColor="text1" w:themeTint="66"/>
              <w:left w:val="nil"/>
              <w:bottom w:val="single" w:sz="8" w:space="0" w:color="999999" w:themeColor="text1" w:themeTint="66"/>
              <w:right w:val="nil"/>
            </w:tcBorders>
            <w:noWrap/>
            <w:hideMark/>
          </w:tcPr>
          <w:p w14:paraId="01CD15E6"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15</w:t>
            </w:r>
          </w:p>
        </w:tc>
        <w:tc>
          <w:tcPr>
            <w:tcW w:w="0" w:type="auto"/>
            <w:tcBorders>
              <w:top w:val="single" w:sz="8" w:space="0" w:color="999999" w:themeColor="text1" w:themeTint="66"/>
              <w:left w:val="nil"/>
              <w:bottom w:val="single" w:sz="8" w:space="0" w:color="999999" w:themeColor="text1" w:themeTint="66"/>
              <w:right w:val="nil"/>
            </w:tcBorders>
            <w:noWrap/>
            <w:hideMark/>
          </w:tcPr>
          <w:p w14:paraId="33CDD9AB"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16</w:t>
            </w:r>
          </w:p>
        </w:tc>
        <w:tc>
          <w:tcPr>
            <w:tcW w:w="0" w:type="auto"/>
            <w:tcBorders>
              <w:top w:val="single" w:sz="8" w:space="0" w:color="999999" w:themeColor="text1" w:themeTint="66"/>
              <w:left w:val="nil"/>
              <w:bottom w:val="single" w:sz="8" w:space="0" w:color="999999" w:themeColor="text1" w:themeTint="66"/>
              <w:right w:val="nil"/>
            </w:tcBorders>
            <w:noWrap/>
            <w:hideMark/>
          </w:tcPr>
          <w:p w14:paraId="7B24490A"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17</w:t>
            </w:r>
          </w:p>
        </w:tc>
        <w:tc>
          <w:tcPr>
            <w:tcW w:w="0" w:type="auto"/>
            <w:tcBorders>
              <w:top w:val="single" w:sz="8" w:space="0" w:color="999999" w:themeColor="text1" w:themeTint="66"/>
              <w:left w:val="nil"/>
              <w:bottom w:val="single" w:sz="8" w:space="0" w:color="999999" w:themeColor="text1" w:themeTint="66"/>
              <w:right w:val="nil"/>
            </w:tcBorders>
            <w:noWrap/>
            <w:hideMark/>
          </w:tcPr>
          <w:p w14:paraId="3A130642" w14:textId="77777777" w:rsidR="00281B0A" w:rsidRPr="001823CC" w:rsidRDefault="00281B0A" w:rsidP="00EE0E3F">
            <w:pPr>
              <w:pStyle w:val="Table"/>
              <w:cnfStyle w:val="100000000000" w:firstRow="1" w:lastRow="0" w:firstColumn="0" w:lastColumn="0" w:oddVBand="0" w:evenVBand="0" w:oddHBand="0" w:evenHBand="0" w:firstRowFirstColumn="0" w:firstRowLastColumn="0" w:lastRowFirstColumn="0" w:lastRowLastColumn="0"/>
              <w:rPr>
                <w:sz w:val="24"/>
              </w:rPr>
            </w:pPr>
            <w:r w:rsidRPr="001823CC">
              <w:rPr>
                <w:sz w:val="24"/>
              </w:rPr>
              <w:t>18</w:t>
            </w:r>
          </w:p>
        </w:tc>
      </w:tr>
      <w:tr w:rsidR="00281B0A" w:rsidRPr="001823CC" w14:paraId="2D2A670C"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99999" w:themeColor="text1" w:themeTint="66"/>
              <w:left w:val="nil"/>
              <w:right w:val="nil"/>
            </w:tcBorders>
            <w:noWrap/>
            <w:hideMark/>
          </w:tcPr>
          <w:p w14:paraId="723EF28F" w14:textId="77777777" w:rsidR="00281B0A" w:rsidRPr="001823CC" w:rsidRDefault="00281B0A" w:rsidP="00EE0E3F">
            <w:pPr>
              <w:pStyle w:val="Table"/>
              <w:rPr>
                <w:sz w:val="24"/>
              </w:rPr>
            </w:pPr>
            <w:r w:rsidRPr="001823CC">
              <w:rPr>
                <w:sz w:val="24"/>
              </w:rPr>
              <w:t>1. AUDIT(0)</w:t>
            </w:r>
          </w:p>
        </w:tc>
        <w:tc>
          <w:tcPr>
            <w:tcW w:w="0" w:type="auto"/>
            <w:tcBorders>
              <w:top w:val="single" w:sz="8" w:space="0" w:color="999999" w:themeColor="text1" w:themeTint="66"/>
              <w:left w:val="nil"/>
              <w:right w:val="nil"/>
            </w:tcBorders>
            <w:noWrap/>
            <w:hideMark/>
          </w:tcPr>
          <w:p w14:paraId="73EC4B6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0.20</w:t>
            </w:r>
          </w:p>
        </w:tc>
        <w:tc>
          <w:tcPr>
            <w:tcW w:w="0" w:type="auto"/>
            <w:tcBorders>
              <w:top w:val="single" w:sz="8" w:space="0" w:color="999999" w:themeColor="text1" w:themeTint="66"/>
              <w:left w:val="nil"/>
              <w:right w:val="nil"/>
            </w:tcBorders>
            <w:noWrap/>
            <w:hideMark/>
          </w:tcPr>
          <w:p w14:paraId="4B15F7E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0.34**</w:t>
            </w:r>
          </w:p>
        </w:tc>
        <w:tc>
          <w:tcPr>
            <w:tcW w:w="0" w:type="auto"/>
            <w:tcBorders>
              <w:top w:val="single" w:sz="8" w:space="0" w:color="999999" w:themeColor="text1" w:themeTint="66"/>
              <w:left w:val="nil"/>
              <w:right w:val="nil"/>
            </w:tcBorders>
            <w:noWrap/>
            <w:hideMark/>
          </w:tcPr>
          <w:p w14:paraId="24D41D0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0.14</w:t>
            </w:r>
          </w:p>
        </w:tc>
        <w:tc>
          <w:tcPr>
            <w:tcW w:w="0" w:type="auto"/>
            <w:tcBorders>
              <w:top w:val="single" w:sz="8" w:space="0" w:color="999999" w:themeColor="text1" w:themeTint="66"/>
              <w:left w:val="nil"/>
              <w:right w:val="nil"/>
            </w:tcBorders>
            <w:noWrap/>
            <w:hideMark/>
          </w:tcPr>
          <w:p w14:paraId="786A73A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0.26*</w:t>
            </w:r>
          </w:p>
        </w:tc>
        <w:tc>
          <w:tcPr>
            <w:tcW w:w="0" w:type="auto"/>
            <w:tcBorders>
              <w:top w:val="single" w:sz="8" w:space="0" w:color="999999" w:themeColor="text1" w:themeTint="66"/>
              <w:left w:val="nil"/>
              <w:right w:val="nil"/>
            </w:tcBorders>
            <w:noWrap/>
            <w:hideMark/>
          </w:tcPr>
          <w:p w14:paraId="26E3ACE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0.07</w:t>
            </w:r>
          </w:p>
        </w:tc>
        <w:tc>
          <w:tcPr>
            <w:tcW w:w="0" w:type="auto"/>
            <w:tcBorders>
              <w:top w:val="single" w:sz="8" w:space="0" w:color="999999" w:themeColor="text1" w:themeTint="66"/>
              <w:left w:val="nil"/>
              <w:right w:val="nil"/>
            </w:tcBorders>
            <w:noWrap/>
            <w:hideMark/>
          </w:tcPr>
          <w:p w14:paraId="076CEEA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-0.39**</w:t>
            </w:r>
          </w:p>
        </w:tc>
        <w:tc>
          <w:tcPr>
            <w:tcW w:w="0" w:type="auto"/>
            <w:tcBorders>
              <w:top w:val="single" w:sz="8" w:space="0" w:color="999999" w:themeColor="text1" w:themeTint="66"/>
              <w:left w:val="nil"/>
              <w:right w:val="nil"/>
            </w:tcBorders>
            <w:noWrap/>
            <w:hideMark/>
          </w:tcPr>
          <w:p w14:paraId="790CB3F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top w:val="single" w:sz="8" w:space="0" w:color="999999" w:themeColor="text1" w:themeTint="66"/>
              <w:left w:val="nil"/>
              <w:right w:val="nil"/>
            </w:tcBorders>
            <w:noWrap/>
            <w:hideMark/>
          </w:tcPr>
          <w:p w14:paraId="776009A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top w:val="single" w:sz="8" w:space="0" w:color="999999" w:themeColor="text1" w:themeTint="66"/>
              <w:left w:val="nil"/>
              <w:right w:val="nil"/>
            </w:tcBorders>
            <w:noWrap/>
            <w:hideMark/>
          </w:tcPr>
          <w:p w14:paraId="3A5E40A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top w:val="single" w:sz="8" w:space="0" w:color="999999" w:themeColor="text1" w:themeTint="66"/>
              <w:left w:val="nil"/>
              <w:right w:val="nil"/>
            </w:tcBorders>
            <w:noWrap/>
            <w:hideMark/>
          </w:tcPr>
          <w:p w14:paraId="4CE408E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0.04</w:t>
            </w:r>
          </w:p>
        </w:tc>
        <w:tc>
          <w:tcPr>
            <w:tcW w:w="0" w:type="auto"/>
            <w:tcBorders>
              <w:top w:val="single" w:sz="8" w:space="0" w:color="999999" w:themeColor="text1" w:themeTint="66"/>
              <w:left w:val="nil"/>
              <w:right w:val="nil"/>
            </w:tcBorders>
            <w:noWrap/>
            <w:hideMark/>
          </w:tcPr>
          <w:p w14:paraId="63379BB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0.03</w:t>
            </w:r>
          </w:p>
        </w:tc>
        <w:tc>
          <w:tcPr>
            <w:tcW w:w="0" w:type="auto"/>
            <w:tcBorders>
              <w:top w:val="single" w:sz="8" w:space="0" w:color="999999" w:themeColor="text1" w:themeTint="66"/>
              <w:left w:val="nil"/>
              <w:right w:val="nil"/>
            </w:tcBorders>
            <w:noWrap/>
            <w:hideMark/>
          </w:tcPr>
          <w:p w14:paraId="675E25C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-0.60**</w:t>
            </w:r>
          </w:p>
        </w:tc>
        <w:tc>
          <w:tcPr>
            <w:tcW w:w="0" w:type="auto"/>
            <w:tcBorders>
              <w:top w:val="single" w:sz="8" w:space="0" w:color="999999" w:themeColor="text1" w:themeTint="66"/>
              <w:left w:val="nil"/>
              <w:right w:val="nil"/>
            </w:tcBorders>
            <w:noWrap/>
            <w:hideMark/>
          </w:tcPr>
          <w:p w14:paraId="21DC431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0.13</w:t>
            </w:r>
          </w:p>
        </w:tc>
        <w:tc>
          <w:tcPr>
            <w:tcW w:w="0" w:type="auto"/>
            <w:tcBorders>
              <w:top w:val="single" w:sz="8" w:space="0" w:color="999999" w:themeColor="text1" w:themeTint="66"/>
              <w:left w:val="nil"/>
              <w:right w:val="nil"/>
            </w:tcBorders>
            <w:noWrap/>
            <w:hideMark/>
          </w:tcPr>
          <w:p w14:paraId="1A07D17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-0.10</w:t>
            </w:r>
          </w:p>
        </w:tc>
        <w:tc>
          <w:tcPr>
            <w:tcW w:w="0" w:type="auto"/>
            <w:tcBorders>
              <w:top w:val="single" w:sz="8" w:space="0" w:color="999999" w:themeColor="text1" w:themeTint="66"/>
              <w:left w:val="nil"/>
              <w:right w:val="nil"/>
            </w:tcBorders>
            <w:noWrap/>
            <w:hideMark/>
          </w:tcPr>
          <w:p w14:paraId="38FB3D2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0.11</w:t>
            </w:r>
          </w:p>
        </w:tc>
        <w:tc>
          <w:tcPr>
            <w:tcW w:w="0" w:type="auto"/>
            <w:tcBorders>
              <w:top w:val="single" w:sz="8" w:space="0" w:color="999999" w:themeColor="text1" w:themeTint="66"/>
              <w:left w:val="nil"/>
              <w:right w:val="nil"/>
            </w:tcBorders>
            <w:noWrap/>
            <w:hideMark/>
          </w:tcPr>
          <w:p w14:paraId="1965341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top w:val="single" w:sz="8" w:space="0" w:color="999999" w:themeColor="text1" w:themeTint="66"/>
              <w:left w:val="nil"/>
              <w:right w:val="nil"/>
            </w:tcBorders>
            <w:noWrap/>
            <w:hideMark/>
          </w:tcPr>
          <w:p w14:paraId="5A8B4D8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-0.09</w:t>
            </w:r>
          </w:p>
        </w:tc>
      </w:tr>
      <w:tr w:rsidR="00281B0A" w:rsidRPr="001823CC" w14:paraId="33F6DC7B"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4EC00EE0" w14:textId="77777777" w:rsidR="00281B0A" w:rsidRPr="001823CC" w:rsidRDefault="00281B0A" w:rsidP="00EE0E3F">
            <w:pPr>
              <w:pStyle w:val="Table"/>
              <w:rPr>
                <w:sz w:val="24"/>
              </w:rPr>
            </w:pPr>
            <w:r w:rsidRPr="001823CC">
              <w:rPr>
                <w:sz w:val="24"/>
              </w:rPr>
              <w:t>2. CUDIT(0)</w:t>
            </w:r>
          </w:p>
        </w:tc>
        <w:tc>
          <w:tcPr>
            <w:tcW w:w="0" w:type="auto"/>
            <w:tcBorders>
              <w:left w:val="nil"/>
              <w:right w:val="nil"/>
            </w:tcBorders>
            <w:noWrap/>
            <w:hideMark/>
          </w:tcPr>
          <w:p w14:paraId="3907873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0DAE24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0.71**</w:t>
            </w:r>
          </w:p>
        </w:tc>
        <w:tc>
          <w:tcPr>
            <w:tcW w:w="0" w:type="auto"/>
            <w:tcBorders>
              <w:left w:val="nil"/>
              <w:right w:val="nil"/>
            </w:tcBorders>
            <w:noWrap/>
            <w:hideMark/>
          </w:tcPr>
          <w:p w14:paraId="1828B35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left w:val="nil"/>
              <w:right w:val="nil"/>
            </w:tcBorders>
            <w:noWrap/>
            <w:hideMark/>
          </w:tcPr>
          <w:p w14:paraId="6C73C9F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0.23*</w:t>
            </w:r>
          </w:p>
        </w:tc>
        <w:tc>
          <w:tcPr>
            <w:tcW w:w="0" w:type="auto"/>
            <w:tcBorders>
              <w:left w:val="nil"/>
              <w:right w:val="nil"/>
            </w:tcBorders>
            <w:noWrap/>
            <w:hideMark/>
          </w:tcPr>
          <w:p w14:paraId="31181AF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-0.08</w:t>
            </w:r>
          </w:p>
        </w:tc>
        <w:tc>
          <w:tcPr>
            <w:tcW w:w="0" w:type="auto"/>
            <w:tcBorders>
              <w:left w:val="nil"/>
              <w:right w:val="nil"/>
            </w:tcBorders>
            <w:noWrap/>
            <w:hideMark/>
          </w:tcPr>
          <w:p w14:paraId="04D04B5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left w:val="nil"/>
              <w:right w:val="nil"/>
            </w:tcBorders>
            <w:noWrap/>
            <w:hideMark/>
          </w:tcPr>
          <w:p w14:paraId="45E6B32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-0.54**</w:t>
            </w:r>
          </w:p>
        </w:tc>
        <w:tc>
          <w:tcPr>
            <w:tcW w:w="0" w:type="auto"/>
            <w:tcBorders>
              <w:left w:val="nil"/>
              <w:right w:val="nil"/>
            </w:tcBorders>
            <w:noWrap/>
            <w:hideMark/>
          </w:tcPr>
          <w:p w14:paraId="3E74A12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-0.35**</w:t>
            </w:r>
          </w:p>
        </w:tc>
        <w:tc>
          <w:tcPr>
            <w:tcW w:w="0" w:type="auto"/>
            <w:tcBorders>
              <w:left w:val="nil"/>
              <w:right w:val="nil"/>
            </w:tcBorders>
            <w:noWrap/>
            <w:hideMark/>
          </w:tcPr>
          <w:p w14:paraId="1B5682C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0.19</w:t>
            </w:r>
          </w:p>
        </w:tc>
        <w:tc>
          <w:tcPr>
            <w:tcW w:w="0" w:type="auto"/>
            <w:tcBorders>
              <w:left w:val="nil"/>
              <w:right w:val="nil"/>
            </w:tcBorders>
            <w:noWrap/>
            <w:hideMark/>
          </w:tcPr>
          <w:p w14:paraId="60E2BAB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left w:val="nil"/>
              <w:right w:val="nil"/>
            </w:tcBorders>
            <w:noWrap/>
            <w:hideMark/>
          </w:tcPr>
          <w:p w14:paraId="7521FCC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33EC747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0.00</w:t>
            </w:r>
          </w:p>
        </w:tc>
        <w:tc>
          <w:tcPr>
            <w:tcW w:w="0" w:type="auto"/>
            <w:tcBorders>
              <w:left w:val="nil"/>
              <w:right w:val="nil"/>
            </w:tcBorders>
            <w:noWrap/>
            <w:hideMark/>
          </w:tcPr>
          <w:p w14:paraId="113D601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-0.25*</w:t>
            </w:r>
          </w:p>
        </w:tc>
        <w:tc>
          <w:tcPr>
            <w:tcW w:w="0" w:type="auto"/>
            <w:tcBorders>
              <w:left w:val="nil"/>
              <w:right w:val="nil"/>
            </w:tcBorders>
            <w:noWrap/>
            <w:hideMark/>
          </w:tcPr>
          <w:p w14:paraId="7A9BF7D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-0.32**</w:t>
            </w:r>
          </w:p>
        </w:tc>
        <w:tc>
          <w:tcPr>
            <w:tcW w:w="0" w:type="auto"/>
            <w:tcBorders>
              <w:left w:val="nil"/>
              <w:right w:val="nil"/>
            </w:tcBorders>
            <w:noWrap/>
            <w:hideMark/>
          </w:tcPr>
          <w:p w14:paraId="4C7F063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0.12</w:t>
            </w:r>
          </w:p>
        </w:tc>
        <w:tc>
          <w:tcPr>
            <w:tcW w:w="0" w:type="auto"/>
            <w:tcBorders>
              <w:left w:val="nil"/>
              <w:right w:val="nil"/>
            </w:tcBorders>
            <w:noWrap/>
            <w:hideMark/>
          </w:tcPr>
          <w:p w14:paraId="401F08A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019B0AB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r>
      <w:tr w:rsidR="00281B0A" w:rsidRPr="001823CC" w14:paraId="005FF6FD"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207537E6" w14:textId="77777777" w:rsidR="00281B0A" w:rsidRPr="001823CC" w:rsidRDefault="00281B0A" w:rsidP="00EE0E3F">
            <w:pPr>
              <w:pStyle w:val="Table"/>
              <w:rPr>
                <w:sz w:val="24"/>
              </w:rPr>
            </w:pPr>
            <w:r w:rsidRPr="001823CC">
              <w:rPr>
                <w:sz w:val="24"/>
              </w:rPr>
              <w:t>3. DUDIT(0)</w:t>
            </w:r>
          </w:p>
        </w:tc>
        <w:tc>
          <w:tcPr>
            <w:tcW w:w="0" w:type="auto"/>
            <w:tcBorders>
              <w:left w:val="nil"/>
              <w:right w:val="nil"/>
            </w:tcBorders>
            <w:noWrap/>
            <w:hideMark/>
          </w:tcPr>
          <w:p w14:paraId="4BEE300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BB5915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F94898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0.11</w:t>
            </w:r>
          </w:p>
        </w:tc>
        <w:tc>
          <w:tcPr>
            <w:tcW w:w="0" w:type="auto"/>
            <w:tcBorders>
              <w:left w:val="nil"/>
              <w:right w:val="nil"/>
            </w:tcBorders>
            <w:noWrap/>
            <w:hideMark/>
          </w:tcPr>
          <w:p w14:paraId="106C9CE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31CBAE0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c>
          <w:tcPr>
            <w:tcW w:w="0" w:type="auto"/>
            <w:tcBorders>
              <w:left w:val="nil"/>
              <w:right w:val="nil"/>
            </w:tcBorders>
            <w:noWrap/>
            <w:hideMark/>
          </w:tcPr>
          <w:p w14:paraId="6DE0C65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c>
          <w:tcPr>
            <w:tcW w:w="0" w:type="auto"/>
            <w:tcBorders>
              <w:left w:val="nil"/>
              <w:right w:val="nil"/>
            </w:tcBorders>
            <w:noWrap/>
            <w:hideMark/>
          </w:tcPr>
          <w:p w14:paraId="632507F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-0.35**</w:t>
            </w:r>
          </w:p>
        </w:tc>
        <w:tc>
          <w:tcPr>
            <w:tcW w:w="0" w:type="auto"/>
            <w:tcBorders>
              <w:left w:val="nil"/>
              <w:right w:val="nil"/>
            </w:tcBorders>
            <w:noWrap/>
            <w:hideMark/>
          </w:tcPr>
          <w:p w14:paraId="1EAF4FF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-0.59**</w:t>
            </w:r>
          </w:p>
        </w:tc>
        <w:tc>
          <w:tcPr>
            <w:tcW w:w="0" w:type="auto"/>
            <w:tcBorders>
              <w:left w:val="nil"/>
              <w:right w:val="nil"/>
            </w:tcBorders>
            <w:noWrap/>
            <w:hideMark/>
          </w:tcPr>
          <w:p w14:paraId="469CA52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0.29**</w:t>
            </w:r>
          </w:p>
        </w:tc>
        <w:tc>
          <w:tcPr>
            <w:tcW w:w="0" w:type="auto"/>
            <w:tcBorders>
              <w:left w:val="nil"/>
              <w:right w:val="nil"/>
            </w:tcBorders>
            <w:noWrap/>
            <w:hideMark/>
          </w:tcPr>
          <w:p w14:paraId="0277C56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0.09</w:t>
            </w:r>
          </w:p>
        </w:tc>
        <w:tc>
          <w:tcPr>
            <w:tcW w:w="0" w:type="auto"/>
            <w:tcBorders>
              <w:left w:val="nil"/>
              <w:right w:val="nil"/>
            </w:tcBorders>
            <w:noWrap/>
            <w:hideMark/>
          </w:tcPr>
          <w:p w14:paraId="47DB93F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0.03</w:t>
            </w:r>
          </w:p>
        </w:tc>
        <w:tc>
          <w:tcPr>
            <w:tcW w:w="0" w:type="auto"/>
            <w:tcBorders>
              <w:left w:val="nil"/>
              <w:right w:val="nil"/>
            </w:tcBorders>
            <w:noWrap/>
            <w:hideMark/>
          </w:tcPr>
          <w:p w14:paraId="4DC77AD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left w:val="nil"/>
              <w:right w:val="nil"/>
            </w:tcBorders>
            <w:noWrap/>
            <w:hideMark/>
          </w:tcPr>
          <w:p w14:paraId="78C159D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0.08</w:t>
            </w:r>
          </w:p>
        </w:tc>
        <w:tc>
          <w:tcPr>
            <w:tcW w:w="0" w:type="auto"/>
            <w:tcBorders>
              <w:left w:val="nil"/>
              <w:right w:val="nil"/>
            </w:tcBorders>
            <w:noWrap/>
            <w:hideMark/>
          </w:tcPr>
          <w:p w14:paraId="2CA1242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-0.56**</w:t>
            </w:r>
          </w:p>
        </w:tc>
        <w:tc>
          <w:tcPr>
            <w:tcW w:w="0" w:type="auto"/>
            <w:tcBorders>
              <w:left w:val="nil"/>
              <w:right w:val="nil"/>
            </w:tcBorders>
            <w:noWrap/>
            <w:hideMark/>
          </w:tcPr>
          <w:p w14:paraId="3CF43D0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0.18</w:t>
            </w:r>
          </w:p>
        </w:tc>
        <w:tc>
          <w:tcPr>
            <w:tcW w:w="0" w:type="auto"/>
            <w:tcBorders>
              <w:left w:val="nil"/>
              <w:right w:val="nil"/>
            </w:tcBorders>
            <w:noWrap/>
            <w:hideMark/>
          </w:tcPr>
          <w:p w14:paraId="00D678C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0.18</w:t>
            </w:r>
          </w:p>
        </w:tc>
        <w:tc>
          <w:tcPr>
            <w:tcW w:w="0" w:type="auto"/>
            <w:tcBorders>
              <w:left w:val="nil"/>
              <w:right w:val="nil"/>
            </w:tcBorders>
            <w:noWrap/>
            <w:hideMark/>
          </w:tcPr>
          <w:p w14:paraId="3EE55E5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r>
      <w:tr w:rsidR="00281B0A" w:rsidRPr="001823CC" w14:paraId="7E66E0A3"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7C92F144" w14:textId="77777777" w:rsidR="00281B0A" w:rsidRPr="001823CC" w:rsidRDefault="00281B0A" w:rsidP="00EE0E3F">
            <w:pPr>
              <w:pStyle w:val="Table"/>
              <w:rPr>
                <w:sz w:val="24"/>
              </w:rPr>
            </w:pPr>
            <w:r w:rsidRPr="001823CC">
              <w:rPr>
                <w:sz w:val="24"/>
              </w:rPr>
              <w:t>4. IGD9(0)</w:t>
            </w:r>
          </w:p>
        </w:tc>
        <w:tc>
          <w:tcPr>
            <w:tcW w:w="0" w:type="auto"/>
            <w:tcBorders>
              <w:left w:val="nil"/>
              <w:right w:val="nil"/>
            </w:tcBorders>
            <w:noWrap/>
            <w:hideMark/>
          </w:tcPr>
          <w:p w14:paraId="2C3EC81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F8F3BD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4F6F83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19CA1C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0.41**</w:t>
            </w:r>
          </w:p>
        </w:tc>
        <w:tc>
          <w:tcPr>
            <w:tcW w:w="0" w:type="auto"/>
            <w:tcBorders>
              <w:left w:val="nil"/>
              <w:right w:val="nil"/>
            </w:tcBorders>
            <w:noWrap/>
            <w:hideMark/>
          </w:tcPr>
          <w:p w14:paraId="70F6522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-0.19</w:t>
            </w:r>
          </w:p>
        </w:tc>
        <w:tc>
          <w:tcPr>
            <w:tcW w:w="0" w:type="auto"/>
            <w:tcBorders>
              <w:left w:val="nil"/>
              <w:right w:val="nil"/>
            </w:tcBorders>
            <w:noWrap/>
            <w:hideMark/>
          </w:tcPr>
          <w:p w14:paraId="34BAE21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007F45E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0.04</w:t>
            </w:r>
          </w:p>
        </w:tc>
        <w:tc>
          <w:tcPr>
            <w:tcW w:w="0" w:type="auto"/>
            <w:tcBorders>
              <w:left w:val="nil"/>
              <w:right w:val="nil"/>
            </w:tcBorders>
            <w:noWrap/>
            <w:hideMark/>
          </w:tcPr>
          <w:p w14:paraId="2DA84F7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0.00</w:t>
            </w:r>
          </w:p>
        </w:tc>
        <w:tc>
          <w:tcPr>
            <w:tcW w:w="0" w:type="auto"/>
            <w:tcBorders>
              <w:left w:val="nil"/>
              <w:right w:val="nil"/>
            </w:tcBorders>
            <w:noWrap/>
            <w:hideMark/>
          </w:tcPr>
          <w:p w14:paraId="2CFE08D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-0.54**</w:t>
            </w:r>
          </w:p>
        </w:tc>
        <w:tc>
          <w:tcPr>
            <w:tcW w:w="0" w:type="auto"/>
            <w:tcBorders>
              <w:left w:val="nil"/>
              <w:right w:val="nil"/>
            </w:tcBorders>
            <w:noWrap/>
            <w:hideMark/>
          </w:tcPr>
          <w:p w14:paraId="28A6C9D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0.12</w:t>
            </w:r>
          </w:p>
        </w:tc>
        <w:tc>
          <w:tcPr>
            <w:tcW w:w="0" w:type="auto"/>
            <w:tcBorders>
              <w:left w:val="nil"/>
              <w:right w:val="nil"/>
            </w:tcBorders>
            <w:noWrap/>
            <w:hideMark/>
          </w:tcPr>
          <w:p w14:paraId="2199D3C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-0.13</w:t>
            </w:r>
          </w:p>
        </w:tc>
        <w:tc>
          <w:tcPr>
            <w:tcW w:w="0" w:type="auto"/>
            <w:tcBorders>
              <w:left w:val="nil"/>
              <w:right w:val="nil"/>
            </w:tcBorders>
            <w:noWrap/>
            <w:hideMark/>
          </w:tcPr>
          <w:p w14:paraId="255E178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c>
          <w:tcPr>
            <w:tcW w:w="0" w:type="auto"/>
            <w:tcBorders>
              <w:left w:val="nil"/>
              <w:right w:val="nil"/>
            </w:tcBorders>
            <w:noWrap/>
            <w:hideMark/>
          </w:tcPr>
          <w:p w14:paraId="25B967E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0.10</w:t>
            </w:r>
          </w:p>
        </w:tc>
        <w:tc>
          <w:tcPr>
            <w:tcW w:w="0" w:type="auto"/>
            <w:tcBorders>
              <w:left w:val="nil"/>
              <w:right w:val="nil"/>
            </w:tcBorders>
            <w:noWrap/>
            <w:hideMark/>
          </w:tcPr>
          <w:p w14:paraId="54D3E08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c>
          <w:tcPr>
            <w:tcW w:w="0" w:type="auto"/>
            <w:tcBorders>
              <w:left w:val="nil"/>
              <w:right w:val="nil"/>
            </w:tcBorders>
            <w:noWrap/>
            <w:hideMark/>
          </w:tcPr>
          <w:p w14:paraId="5F5A31F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-0.48**</w:t>
            </w:r>
          </w:p>
        </w:tc>
        <w:tc>
          <w:tcPr>
            <w:tcW w:w="0" w:type="auto"/>
            <w:tcBorders>
              <w:left w:val="nil"/>
              <w:right w:val="nil"/>
            </w:tcBorders>
            <w:noWrap/>
            <w:hideMark/>
          </w:tcPr>
          <w:p w14:paraId="223B9D7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-0.09</w:t>
            </w:r>
          </w:p>
        </w:tc>
        <w:tc>
          <w:tcPr>
            <w:tcW w:w="0" w:type="auto"/>
            <w:tcBorders>
              <w:left w:val="nil"/>
              <w:right w:val="nil"/>
            </w:tcBorders>
            <w:noWrap/>
            <w:hideMark/>
          </w:tcPr>
          <w:p w14:paraId="64146B5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0.06</w:t>
            </w:r>
          </w:p>
        </w:tc>
      </w:tr>
      <w:tr w:rsidR="00281B0A" w:rsidRPr="001823CC" w14:paraId="7235FC96"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4BC4CCF8" w14:textId="77777777" w:rsidR="00281B0A" w:rsidRPr="001823CC" w:rsidRDefault="00281B0A" w:rsidP="00EE0E3F">
            <w:pPr>
              <w:pStyle w:val="Table"/>
              <w:rPr>
                <w:sz w:val="24"/>
              </w:rPr>
            </w:pPr>
            <w:r w:rsidRPr="001823CC">
              <w:rPr>
                <w:sz w:val="24"/>
              </w:rPr>
              <w:t>5. PCQ(0)</w:t>
            </w:r>
          </w:p>
        </w:tc>
        <w:tc>
          <w:tcPr>
            <w:tcW w:w="0" w:type="auto"/>
            <w:tcBorders>
              <w:left w:val="nil"/>
              <w:right w:val="nil"/>
            </w:tcBorders>
            <w:noWrap/>
            <w:hideMark/>
          </w:tcPr>
          <w:p w14:paraId="57F8146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333396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F2E5F5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10D540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75DFAF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-0.14</w:t>
            </w:r>
          </w:p>
        </w:tc>
        <w:tc>
          <w:tcPr>
            <w:tcW w:w="0" w:type="auto"/>
            <w:tcBorders>
              <w:left w:val="nil"/>
              <w:right w:val="nil"/>
            </w:tcBorders>
            <w:noWrap/>
            <w:hideMark/>
          </w:tcPr>
          <w:p w14:paraId="5B72C9C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left w:val="nil"/>
              <w:right w:val="nil"/>
            </w:tcBorders>
            <w:noWrap/>
            <w:hideMark/>
          </w:tcPr>
          <w:p w14:paraId="5DB29EA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0.00</w:t>
            </w:r>
          </w:p>
        </w:tc>
        <w:tc>
          <w:tcPr>
            <w:tcW w:w="0" w:type="auto"/>
            <w:tcBorders>
              <w:left w:val="nil"/>
              <w:right w:val="nil"/>
            </w:tcBorders>
            <w:noWrap/>
            <w:hideMark/>
          </w:tcPr>
          <w:p w14:paraId="287DF0B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0.17</w:t>
            </w:r>
          </w:p>
        </w:tc>
        <w:tc>
          <w:tcPr>
            <w:tcW w:w="0" w:type="auto"/>
            <w:tcBorders>
              <w:left w:val="nil"/>
              <w:right w:val="nil"/>
            </w:tcBorders>
            <w:noWrap/>
            <w:hideMark/>
          </w:tcPr>
          <w:p w14:paraId="0289951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-0.16</w:t>
            </w:r>
          </w:p>
        </w:tc>
        <w:tc>
          <w:tcPr>
            <w:tcW w:w="0" w:type="auto"/>
            <w:tcBorders>
              <w:left w:val="nil"/>
              <w:right w:val="nil"/>
            </w:tcBorders>
            <w:noWrap/>
            <w:hideMark/>
          </w:tcPr>
          <w:p w14:paraId="7328AA8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-0.22*</w:t>
            </w:r>
          </w:p>
        </w:tc>
        <w:tc>
          <w:tcPr>
            <w:tcW w:w="0" w:type="auto"/>
            <w:tcBorders>
              <w:left w:val="nil"/>
              <w:right w:val="nil"/>
            </w:tcBorders>
            <w:noWrap/>
            <w:hideMark/>
          </w:tcPr>
          <w:p w14:paraId="7A22F8D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0.03</w:t>
            </w:r>
          </w:p>
        </w:tc>
        <w:tc>
          <w:tcPr>
            <w:tcW w:w="0" w:type="auto"/>
            <w:tcBorders>
              <w:left w:val="nil"/>
              <w:right w:val="nil"/>
            </w:tcBorders>
            <w:noWrap/>
            <w:hideMark/>
          </w:tcPr>
          <w:p w14:paraId="2AB0AA4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5680D70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left w:val="nil"/>
              <w:right w:val="nil"/>
            </w:tcBorders>
            <w:noWrap/>
            <w:hideMark/>
          </w:tcPr>
          <w:p w14:paraId="27C6301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0.17</w:t>
            </w:r>
          </w:p>
        </w:tc>
        <w:tc>
          <w:tcPr>
            <w:tcW w:w="0" w:type="auto"/>
            <w:tcBorders>
              <w:left w:val="nil"/>
              <w:right w:val="nil"/>
            </w:tcBorders>
            <w:noWrap/>
            <w:hideMark/>
          </w:tcPr>
          <w:p w14:paraId="792EADB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-0.26*</w:t>
            </w:r>
          </w:p>
        </w:tc>
        <w:tc>
          <w:tcPr>
            <w:tcW w:w="0" w:type="auto"/>
            <w:tcBorders>
              <w:left w:val="nil"/>
              <w:right w:val="nil"/>
            </w:tcBorders>
            <w:noWrap/>
            <w:hideMark/>
          </w:tcPr>
          <w:p w14:paraId="0ECAAEB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-0.22*</w:t>
            </w:r>
          </w:p>
        </w:tc>
        <w:tc>
          <w:tcPr>
            <w:tcW w:w="0" w:type="auto"/>
            <w:tcBorders>
              <w:left w:val="nil"/>
              <w:right w:val="nil"/>
            </w:tcBorders>
            <w:noWrap/>
            <w:hideMark/>
          </w:tcPr>
          <w:p w14:paraId="109D00D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r>
      <w:tr w:rsidR="00281B0A" w:rsidRPr="001823CC" w14:paraId="5B7548CD"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1C280772" w14:textId="77777777" w:rsidR="00281B0A" w:rsidRPr="001823CC" w:rsidRDefault="00281B0A" w:rsidP="00EE0E3F">
            <w:pPr>
              <w:pStyle w:val="Table"/>
              <w:rPr>
                <w:sz w:val="24"/>
              </w:rPr>
            </w:pPr>
            <w:r w:rsidRPr="001823CC">
              <w:rPr>
                <w:sz w:val="24"/>
              </w:rPr>
              <w:t>6. BES(0)</w:t>
            </w:r>
          </w:p>
        </w:tc>
        <w:tc>
          <w:tcPr>
            <w:tcW w:w="0" w:type="auto"/>
            <w:tcBorders>
              <w:left w:val="nil"/>
              <w:right w:val="nil"/>
            </w:tcBorders>
            <w:noWrap/>
            <w:hideMark/>
          </w:tcPr>
          <w:p w14:paraId="46B26B1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5C43B6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427F8F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C881DE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CF0543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ADC141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left w:val="nil"/>
              <w:right w:val="nil"/>
            </w:tcBorders>
            <w:noWrap/>
            <w:hideMark/>
          </w:tcPr>
          <w:p w14:paraId="47FB296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0.00</w:t>
            </w:r>
          </w:p>
        </w:tc>
        <w:tc>
          <w:tcPr>
            <w:tcW w:w="0" w:type="auto"/>
            <w:tcBorders>
              <w:left w:val="nil"/>
              <w:right w:val="nil"/>
            </w:tcBorders>
            <w:noWrap/>
            <w:hideMark/>
          </w:tcPr>
          <w:p w14:paraId="096FD14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-0.13</w:t>
            </w:r>
          </w:p>
        </w:tc>
        <w:tc>
          <w:tcPr>
            <w:tcW w:w="0" w:type="auto"/>
            <w:tcBorders>
              <w:left w:val="nil"/>
              <w:right w:val="nil"/>
            </w:tcBorders>
            <w:noWrap/>
            <w:hideMark/>
          </w:tcPr>
          <w:p w14:paraId="21BC2C2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left w:val="nil"/>
              <w:right w:val="nil"/>
            </w:tcBorders>
            <w:noWrap/>
            <w:hideMark/>
          </w:tcPr>
          <w:p w14:paraId="4AF6466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64F6E74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-0.21*</w:t>
            </w:r>
          </w:p>
        </w:tc>
        <w:tc>
          <w:tcPr>
            <w:tcW w:w="0" w:type="auto"/>
            <w:tcBorders>
              <w:left w:val="nil"/>
              <w:right w:val="nil"/>
            </w:tcBorders>
            <w:noWrap/>
            <w:hideMark/>
          </w:tcPr>
          <w:p w14:paraId="6F1297A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-0.14</w:t>
            </w:r>
          </w:p>
        </w:tc>
        <w:tc>
          <w:tcPr>
            <w:tcW w:w="0" w:type="auto"/>
            <w:tcBorders>
              <w:left w:val="nil"/>
              <w:right w:val="nil"/>
            </w:tcBorders>
            <w:noWrap/>
            <w:hideMark/>
          </w:tcPr>
          <w:p w14:paraId="3750E93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0.03</w:t>
            </w:r>
          </w:p>
        </w:tc>
        <w:tc>
          <w:tcPr>
            <w:tcW w:w="0" w:type="auto"/>
            <w:tcBorders>
              <w:left w:val="nil"/>
              <w:right w:val="nil"/>
            </w:tcBorders>
            <w:noWrap/>
            <w:hideMark/>
          </w:tcPr>
          <w:p w14:paraId="360FAD1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-0.07</w:t>
            </w:r>
          </w:p>
        </w:tc>
        <w:tc>
          <w:tcPr>
            <w:tcW w:w="0" w:type="auto"/>
            <w:tcBorders>
              <w:left w:val="nil"/>
              <w:right w:val="nil"/>
            </w:tcBorders>
            <w:noWrap/>
            <w:hideMark/>
          </w:tcPr>
          <w:p w14:paraId="126FF11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0.06</w:t>
            </w:r>
          </w:p>
        </w:tc>
        <w:tc>
          <w:tcPr>
            <w:tcW w:w="0" w:type="auto"/>
            <w:tcBorders>
              <w:left w:val="nil"/>
              <w:right w:val="nil"/>
            </w:tcBorders>
            <w:noWrap/>
            <w:hideMark/>
          </w:tcPr>
          <w:p w14:paraId="6B81FAB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0.04</w:t>
            </w:r>
          </w:p>
        </w:tc>
        <w:tc>
          <w:tcPr>
            <w:tcW w:w="0" w:type="auto"/>
            <w:tcBorders>
              <w:left w:val="nil"/>
              <w:right w:val="nil"/>
            </w:tcBorders>
            <w:noWrap/>
            <w:hideMark/>
          </w:tcPr>
          <w:p w14:paraId="747C311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-0.68**</w:t>
            </w:r>
          </w:p>
        </w:tc>
      </w:tr>
      <w:tr w:rsidR="00281B0A" w:rsidRPr="001823CC" w14:paraId="3B436DBB"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3D76D8E2" w14:textId="77777777" w:rsidR="00281B0A" w:rsidRPr="001823CC" w:rsidRDefault="00281B0A" w:rsidP="00EE0E3F">
            <w:pPr>
              <w:pStyle w:val="Table"/>
              <w:rPr>
                <w:sz w:val="24"/>
              </w:rPr>
            </w:pPr>
            <w:r w:rsidRPr="001823CC">
              <w:rPr>
                <w:sz w:val="24"/>
              </w:rPr>
              <w:t xml:space="preserve">7. </w:t>
            </w:r>
            <w:r w:rsidRPr="001823CC">
              <w:rPr>
                <w:sz w:val="24"/>
                <w:lang w:val="el-GR"/>
              </w:rPr>
              <w:t>Δ</w:t>
            </w:r>
            <w:r w:rsidRPr="001823CC">
              <w:rPr>
                <w:sz w:val="24"/>
              </w:rPr>
              <w:t>AUDIT(1-0)</w:t>
            </w:r>
          </w:p>
        </w:tc>
        <w:tc>
          <w:tcPr>
            <w:tcW w:w="0" w:type="auto"/>
            <w:tcBorders>
              <w:left w:val="nil"/>
              <w:right w:val="nil"/>
            </w:tcBorders>
            <w:noWrap/>
            <w:hideMark/>
          </w:tcPr>
          <w:p w14:paraId="136B2BF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182A91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C9D31E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58FD89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A73D2E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86E791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127BE9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0.09</w:t>
            </w:r>
          </w:p>
        </w:tc>
        <w:tc>
          <w:tcPr>
            <w:tcW w:w="0" w:type="auto"/>
            <w:tcBorders>
              <w:left w:val="nil"/>
              <w:right w:val="nil"/>
            </w:tcBorders>
            <w:noWrap/>
            <w:hideMark/>
          </w:tcPr>
          <w:p w14:paraId="0CC7AE4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0.12</w:t>
            </w:r>
          </w:p>
        </w:tc>
        <w:tc>
          <w:tcPr>
            <w:tcW w:w="0" w:type="auto"/>
            <w:tcBorders>
              <w:left w:val="nil"/>
              <w:right w:val="nil"/>
            </w:tcBorders>
            <w:noWrap/>
            <w:hideMark/>
          </w:tcPr>
          <w:p w14:paraId="6374AFB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0.12</w:t>
            </w:r>
          </w:p>
        </w:tc>
        <w:tc>
          <w:tcPr>
            <w:tcW w:w="0" w:type="auto"/>
            <w:tcBorders>
              <w:left w:val="nil"/>
              <w:right w:val="nil"/>
            </w:tcBorders>
            <w:noWrap/>
            <w:hideMark/>
          </w:tcPr>
          <w:p w14:paraId="0E85802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0.14</w:t>
            </w:r>
          </w:p>
        </w:tc>
        <w:tc>
          <w:tcPr>
            <w:tcW w:w="0" w:type="auto"/>
            <w:tcBorders>
              <w:left w:val="nil"/>
              <w:right w:val="nil"/>
            </w:tcBorders>
            <w:noWrap/>
            <w:hideMark/>
          </w:tcPr>
          <w:p w14:paraId="32924A5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0.08</w:t>
            </w:r>
          </w:p>
        </w:tc>
        <w:tc>
          <w:tcPr>
            <w:tcW w:w="0" w:type="auto"/>
            <w:tcBorders>
              <w:left w:val="nil"/>
              <w:right w:val="nil"/>
            </w:tcBorders>
            <w:noWrap/>
            <w:hideMark/>
          </w:tcPr>
          <w:p w14:paraId="313B7E5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0.60**</w:t>
            </w:r>
          </w:p>
        </w:tc>
        <w:tc>
          <w:tcPr>
            <w:tcW w:w="0" w:type="auto"/>
            <w:tcBorders>
              <w:left w:val="nil"/>
              <w:right w:val="nil"/>
            </w:tcBorders>
            <w:noWrap/>
            <w:hideMark/>
          </w:tcPr>
          <w:p w14:paraId="526BB8E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0.06</w:t>
            </w:r>
          </w:p>
        </w:tc>
        <w:tc>
          <w:tcPr>
            <w:tcW w:w="0" w:type="auto"/>
            <w:tcBorders>
              <w:left w:val="nil"/>
              <w:right w:val="nil"/>
            </w:tcBorders>
            <w:noWrap/>
            <w:hideMark/>
          </w:tcPr>
          <w:p w14:paraId="09A1978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0.10</w:t>
            </w:r>
          </w:p>
        </w:tc>
        <w:tc>
          <w:tcPr>
            <w:tcW w:w="0" w:type="auto"/>
            <w:tcBorders>
              <w:left w:val="nil"/>
              <w:right w:val="nil"/>
            </w:tcBorders>
            <w:noWrap/>
            <w:hideMark/>
          </w:tcPr>
          <w:p w14:paraId="173F5B4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0.07</w:t>
            </w:r>
          </w:p>
        </w:tc>
        <w:tc>
          <w:tcPr>
            <w:tcW w:w="0" w:type="auto"/>
            <w:tcBorders>
              <w:left w:val="nil"/>
              <w:right w:val="nil"/>
            </w:tcBorders>
            <w:noWrap/>
            <w:hideMark/>
          </w:tcPr>
          <w:p w14:paraId="749CA97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-0.04</w:t>
            </w:r>
          </w:p>
        </w:tc>
        <w:tc>
          <w:tcPr>
            <w:tcW w:w="0" w:type="auto"/>
            <w:tcBorders>
              <w:left w:val="nil"/>
              <w:right w:val="nil"/>
            </w:tcBorders>
            <w:noWrap/>
            <w:hideMark/>
          </w:tcPr>
          <w:p w14:paraId="391D7CA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r>
      <w:tr w:rsidR="00281B0A" w:rsidRPr="001823CC" w14:paraId="44171CD4"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24D563B8" w14:textId="77777777" w:rsidR="00281B0A" w:rsidRPr="001823CC" w:rsidRDefault="00281B0A" w:rsidP="00EE0E3F">
            <w:pPr>
              <w:pStyle w:val="Table"/>
              <w:rPr>
                <w:sz w:val="24"/>
              </w:rPr>
            </w:pPr>
            <w:r w:rsidRPr="001823CC">
              <w:rPr>
                <w:sz w:val="24"/>
              </w:rPr>
              <w:lastRenderedPageBreak/>
              <w:t xml:space="preserve">8. </w:t>
            </w:r>
            <w:r w:rsidRPr="001823CC">
              <w:rPr>
                <w:sz w:val="24"/>
                <w:lang w:val="el-GR"/>
              </w:rPr>
              <w:t>Δ</w:t>
            </w:r>
            <w:r w:rsidRPr="001823CC">
              <w:rPr>
                <w:sz w:val="24"/>
              </w:rPr>
              <w:t>CUDIT(1-0)</w:t>
            </w:r>
          </w:p>
        </w:tc>
        <w:tc>
          <w:tcPr>
            <w:tcW w:w="0" w:type="auto"/>
            <w:tcBorders>
              <w:left w:val="nil"/>
              <w:right w:val="nil"/>
            </w:tcBorders>
            <w:noWrap/>
            <w:hideMark/>
          </w:tcPr>
          <w:p w14:paraId="295F59F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A0A530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9213E7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B672BA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002BB9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3E3C82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483604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F108BC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0.61**</w:t>
            </w:r>
          </w:p>
        </w:tc>
        <w:tc>
          <w:tcPr>
            <w:tcW w:w="0" w:type="auto"/>
            <w:tcBorders>
              <w:left w:val="nil"/>
              <w:right w:val="nil"/>
            </w:tcBorders>
            <w:noWrap/>
            <w:hideMark/>
          </w:tcPr>
          <w:p w14:paraId="68CE6BE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-0.03</w:t>
            </w:r>
          </w:p>
        </w:tc>
        <w:tc>
          <w:tcPr>
            <w:tcW w:w="0" w:type="auto"/>
            <w:tcBorders>
              <w:left w:val="nil"/>
              <w:right w:val="nil"/>
            </w:tcBorders>
            <w:noWrap/>
            <w:hideMark/>
          </w:tcPr>
          <w:p w14:paraId="520ED32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0.17</w:t>
            </w:r>
          </w:p>
        </w:tc>
        <w:tc>
          <w:tcPr>
            <w:tcW w:w="0" w:type="auto"/>
            <w:tcBorders>
              <w:left w:val="nil"/>
              <w:right w:val="nil"/>
            </w:tcBorders>
            <w:noWrap/>
            <w:hideMark/>
          </w:tcPr>
          <w:p w14:paraId="1DC6CB7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0.04</w:t>
            </w:r>
          </w:p>
        </w:tc>
        <w:tc>
          <w:tcPr>
            <w:tcW w:w="0" w:type="auto"/>
            <w:tcBorders>
              <w:left w:val="nil"/>
              <w:right w:val="nil"/>
            </w:tcBorders>
            <w:noWrap/>
            <w:hideMark/>
          </w:tcPr>
          <w:p w14:paraId="6E7887B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c>
          <w:tcPr>
            <w:tcW w:w="0" w:type="auto"/>
            <w:tcBorders>
              <w:left w:val="nil"/>
              <w:right w:val="nil"/>
            </w:tcBorders>
            <w:noWrap/>
            <w:hideMark/>
          </w:tcPr>
          <w:p w14:paraId="20FA8DF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0.52**</w:t>
            </w:r>
          </w:p>
        </w:tc>
        <w:tc>
          <w:tcPr>
            <w:tcW w:w="0" w:type="auto"/>
            <w:tcBorders>
              <w:left w:val="nil"/>
              <w:right w:val="nil"/>
            </w:tcBorders>
            <w:noWrap/>
            <w:hideMark/>
          </w:tcPr>
          <w:p w14:paraId="4725B99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0.57**</w:t>
            </w:r>
          </w:p>
        </w:tc>
        <w:tc>
          <w:tcPr>
            <w:tcW w:w="0" w:type="auto"/>
            <w:tcBorders>
              <w:left w:val="nil"/>
              <w:right w:val="nil"/>
            </w:tcBorders>
            <w:noWrap/>
            <w:hideMark/>
          </w:tcPr>
          <w:p w14:paraId="0D4E974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left w:val="nil"/>
              <w:right w:val="nil"/>
            </w:tcBorders>
            <w:noWrap/>
            <w:hideMark/>
          </w:tcPr>
          <w:p w14:paraId="1B0F219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c>
          <w:tcPr>
            <w:tcW w:w="0" w:type="auto"/>
            <w:tcBorders>
              <w:left w:val="nil"/>
              <w:right w:val="nil"/>
            </w:tcBorders>
            <w:noWrap/>
            <w:hideMark/>
          </w:tcPr>
          <w:p w14:paraId="2E8875A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0.06</w:t>
            </w:r>
          </w:p>
        </w:tc>
      </w:tr>
      <w:tr w:rsidR="00281B0A" w:rsidRPr="001823CC" w14:paraId="6C2EE5EE"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45B9C695" w14:textId="77777777" w:rsidR="00281B0A" w:rsidRPr="001823CC" w:rsidRDefault="00281B0A" w:rsidP="00EE0E3F">
            <w:pPr>
              <w:pStyle w:val="Table"/>
              <w:rPr>
                <w:sz w:val="24"/>
              </w:rPr>
            </w:pPr>
            <w:r w:rsidRPr="001823CC">
              <w:rPr>
                <w:sz w:val="24"/>
              </w:rPr>
              <w:t xml:space="preserve">9. </w:t>
            </w:r>
            <w:r w:rsidRPr="001823CC">
              <w:rPr>
                <w:sz w:val="24"/>
                <w:lang w:val="el-GR"/>
              </w:rPr>
              <w:t>Δ</w:t>
            </w:r>
            <w:r w:rsidRPr="001823CC">
              <w:rPr>
                <w:sz w:val="24"/>
              </w:rPr>
              <w:t>DUDIT(1-0)</w:t>
            </w:r>
          </w:p>
        </w:tc>
        <w:tc>
          <w:tcPr>
            <w:tcW w:w="0" w:type="auto"/>
            <w:tcBorders>
              <w:left w:val="nil"/>
              <w:right w:val="nil"/>
            </w:tcBorders>
            <w:noWrap/>
            <w:hideMark/>
          </w:tcPr>
          <w:p w14:paraId="03042C9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22FEE0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3CC6E5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4B12B7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BDD286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E62FB4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64E140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C623BF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FA31EC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-0.22*</w:t>
            </w:r>
          </w:p>
        </w:tc>
        <w:tc>
          <w:tcPr>
            <w:tcW w:w="0" w:type="auto"/>
            <w:tcBorders>
              <w:left w:val="nil"/>
              <w:right w:val="nil"/>
            </w:tcBorders>
            <w:noWrap/>
            <w:hideMark/>
          </w:tcPr>
          <w:p w14:paraId="2FE0FDB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-0.08</w:t>
            </w:r>
          </w:p>
        </w:tc>
        <w:tc>
          <w:tcPr>
            <w:tcW w:w="0" w:type="auto"/>
            <w:tcBorders>
              <w:left w:val="nil"/>
              <w:right w:val="nil"/>
            </w:tcBorders>
            <w:noWrap/>
            <w:hideMark/>
          </w:tcPr>
          <w:p w14:paraId="6572BA6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0.10</w:t>
            </w:r>
          </w:p>
        </w:tc>
        <w:tc>
          <w:tcPr>
            <w:tcW w:w="0" w:type="auto"/>
            <w:tcBorders>
              <w:left w:val="nil"/>
              <w:right w:val="nil"/>
            </w:tcBorders>
            <w:noWrap/>
            <w:hideMark/>
          </w:tcPr>
          <w:p w14:paraId="7D653E6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left w:val="nil"/>
              <w:right w:val="nil"/>
            </w:tcBorders>
            <w:noWrap/>
            <w:hideMark/>
          </w:tcPr>
          <w:p w14:paraId="3018F35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-0.04</w:t>
            </w:r>
          </w:p>
        </w:tc>
        <w:tc>
          <w:tcPr>
            <w:tcW w:w="0" w:type="auto"/>
            <w:tcBorders>
              <w:left w:val="nil"/>
              <w:right w:val="nil"/>
            </w:tcBorders>
            <w:noWrap/>
            <w:hideMark/>
          </w:tcPr>
          <w:p w14:paraId="483BB09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0.91**</w:t>
            </w:r>
          </w:p>
        </w:tc>
        <w:tc>
          <w:tcPr>
            <w:tcW w:w="0" w:type="auto"/>
            <w:tcBorders>
              <w:left w:val="nil"/>
              <w:right w:val="nil"/>
            </w:tcBorders>
            <w:noWrap/>
            <w:hideMark/>
          </w:tcPr>
          <w:p w14:paraId="34F33B5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-0.31**</w:t>
            </w:r>
          </w:p>
        </w:tc>
        <w:tc>
          <w:tcPr>
            <w:tcW w:w="0" w:type="auto"/>
            <w:tcBorders>
              <w:left w:val="nil"/>
              <w:right w:val="nil"/>
            </w:tcBorders>
            <w:noWrap/>
            <w:hideMark/>
          </w:tcPr>
          <w:p w14:paraId="7239782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-0.11</w:t>
            </w:r>
          </w:p>
        </w:tc>
        <w:tc>
          <w:tcPr>
            <w:tcW w:w="0" w:type="auto"/>
            <w:tcBorders>
              <w:left w:val="nil"/>
              <w:right w:val="nil"/>
            </w:tcBorders>
            <w:noWrap/>
            <w:hideMark/>
          </w:tcPr>
          <w:p w14:paraId="21C3B62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0.13</w:t>
            </w:r>
          </w:p>
        </w:tc>
      </w:tr>
      <w:tr w:rsidR="00281B0A" w:rsidRPr="001823CC" w14:paraId="511B40D8"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5E37C269" w14:textId="77777777" w:rsidR="00281B0A" w:rsidRPr="001823CC" w:rsidRDefault="00281B0A" w:rsidP="00EE0E3F">
            <w:pPr>
              <w:pStyle w:val="Table"/>
              <w:rPr>
                <w:sz w:val="24"/>
              </w:rPr>
            </w:pPr>
            <w:r w:rsidRPr="001823CC">
              <w:rPr>
                <w:sz w:val="24"/>
              </w:rPr>
              <w:t xml:space="preserve">10. </w:t>
            </w:r>
            <w:r w:rsidRPr="001823CC">
              <w:rPr>
                <w:sz w:val="24"/>
                <w:lang w:val="el-GR"/>
              </w:rPr>
              <w:t>Δ</w:t>
            </w:r>
            <w:r w:rsidRPr="001823CC">
              <w:rPr>
                <w:sz w:val="24"/>
              </w:rPr>
              <w:t>IGD9(1-0)</w:t>
            </w:r>
          </w:p>
        </w:tc>
        <w:tc>
          <w:tcPr>
            <w:tcW w:w="0" w:type="auto"/>
            <w:tcBorders>
              <w:left w:val="nil"/>
              <w:right w:val="nil"/>
            </w:tcBorders>
            <w:noWrap/>
            <w:hideMark/>
          </w:tcPr>
          <w:p w14:paraId="1C2A262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806E1F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B16955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C6D278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292C4A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38F2D9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6D5859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872325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001261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71E2F7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left w:val="nil"/>
              <w:right w:val="nil"/>
            </w:tcBorders>
            <w:noWrap/>
            <w:hideMark/>
          </w:tcPr>
          <w:p w14:paraId="4C0EF70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left w:val="nil"/>
              <w:right w:val="nil"/>
            </w:tcBorders>
            <w:noWrap/>
            <w:hideMark/>
          </w:tcPr>
          <w:p w14:paraId="75271CA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c>
          <w:tcPr>
            <w:tcW w:w="0" w:type="auto"/>
            <w:tcBorders>
              <w:left w:val="nil"/>
              <w:right w:val="nil"/>
            </w:tcBorders>
            <w:noWrap/>
            <w:hideMark/>
          </w:tcPr>
          <w:p w14:paraId="7884434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0.24*</w:t>
            </w:r>
          </w:p>
        </w:tc>
        <w:tc>
          <w:tcPr>
            <w:tcW w:w="0" w:type="auto"/>
            <w:tcBorders>
              <w:left w:val="nil"/>
              <w:right w:val="nil"/>
            </w:tcBorders>
            <w:noWrap/>
            <w:hideMark/>
          </w:tcPr>
          <w:p w14:paraId="0517108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-0.20</w:t>
            </w:r>
          </w:p>
        </w:tc>
        <w:tc>
          <w:tcPr>
            <w:tcW w:w="0" w:type="auto"/>
            <w:tcBorders>
              <w:left w:val="nil"/>
              <w:right w:val="nil"/>
            </w:tcBorders>
            <w:noWrap/>
            <w:hideMark/>
          </w:tcPr>
          <w:p w14:paraId="60E1FB5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0.72**</w:t>
            </w:r>
          </w:p>
        </w:tc>
        <w:tc>
          <w:tcPr>
            <w:tcW w:w="0" w:type="auto"/>
            <w:tcBorders>
              <w:left w:val="nil"/>
              <w:right w:val="nil"/>
            </w:tcBorders>
            <w:noWrap/>
            <w:hideMark/>
          </w:tcPr>
          <w:p w14:paraId="5874DCF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0.18</w:t>
            </w:r>
          </w:p>
        </w:tc>
        <w:tc>
          <w:tcPr>
            <w:tcW w:w="0" w:type="auto"/>
            <w:tcBorders>
              <w:left w:val="nil"/>
              <w:right w:val="nil"/>
            </w:tcBorders>
            <w:noWrap/>
            <w:hideMark/>
          </w:tcPr>
          <w:p w14:paraId="164E338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0.08</w:t>
            </w:r>
          </w:p>
        </w:tc>
      </w:tr>
      <w:tr w:rsidR="00281B0A" w:rsidRPr="001823CC" w14:paraId="00E705AC" w14:textId="77777777" w:rsidTr="00EE0E3F">
        <w:trPr>
          <w:trHeight w:val="178"/>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1D937BE8" w14:textId="77777777" w:rsidR="00281B0A" w:rsidRPr="001823CC" w:rsidRDefault="00281B0A" w:rsidP="00EE0E3F">
            <w:pPr>
              <w:pStyle w:val="Table"/>
              <w:rPr>
                <w:sz w:val="24"/>
              </w:rPr>
            </w:pPr>
            <w:r w:rsidRPr="001823CC">
              <w:rPr>
                <w:sz w:val="24"/>
              </w:rPr>
              <w:t xml:space="preserve">11. </w:t>
            </w:r>
            <w:r w:rsidRPr="001823CC">
              <w:rPr>
                <w:sz w:val="24"/>
                <w:lang w:val="el-GR"/>
              </w:rPr>
              <w:t>Δ</w:t>
            </w:r>
            <w:r w:rsidRPr="001823CC">
              <w:rPr>
                <w:sz w:val="24"/>
              </w:rPr>
              <w:t>PCQ(1-0)</w:t>
            </w:r>
          </w:p>
        </w:tc>
        <w:tc>
          <w:tcPr>
            <w:tcW w:w="0" w:type="auto"/>
            <w:tcBorders>
              <w:left w:val="nil"/>
              <w:right w:val="nil"/>
            </w:tcBorders>
            <w:noWrap/>
            <w:hideMark/>
          </w:tcPr>
          <w:p w14:paraId="3E053A2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99530A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B7856E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2A9B1E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31AE5A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9E8FF8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A9F990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7BDE00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A495C5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B694F7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21AC02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0.16</w:t>
            </w:r>
          </w:p>
        </w:tc>
        <w:tc>
          <w:tcPr>
            <w:tcW w:w="0" w:type="auto"/>
            <w:tcBorders>
              <w:left w:val="nil"/>
              <w:right w:val="nil"/>
            </w:tcBorders>
            <w:noWrap/>
            <w:hideMark/>
          </w:tcPr>
          <w:p w14:paraId="774B7BC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0.10</w:t>
            </w:r>
          </w:p>
        </w:tc>
        <w:tc>
          <w:tcPr>
            <w:tcW w:w="0" w:type="auto"/>
            <w:tcBorders>
              <w:left w:val="nil"/>
              <w:right w:val="nil"/>
            </w:tcBorders>
            <w:noWrap/>
            <w:hideMark/>
          </w:tcPr>
          <w:p w14:paraId="25D85DA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0.31**</w:t>
            </w:r>
          </w:p>
        </w:tc>
        <w:tc>
          <w:tcPr>
            <w:tcW w:w="0" w:type="auto"/>
            <w:tcBorders>
              <w:left w:val="nil"/>
              <w:right w:val="nil"/>
            </w:tcBorders>
            <w:noWrap/>
            <w:hideMark/>
          </w:tcPr>
          <w:p w14:paraId="788EB4B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15B724B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0.21*</w:t>
            </w:r>
          </w:p>
        </w:tc>
        <w:tc>
          <w:tcPr>
            <w:tcW w:w="0" w:type="auto"/>
            <w:tcBorders>
              <w:left w:val="nil"/>
              <w:right w:val="nil"/>
            </w:tcBorders>
            <w:noWrap/>
            <w:hideMark/>
          </w:tcPr>
          <w:p w14:paraId="2E08A40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0.50**</w:t>
            </w:r>
          </w:p>
        </w:tc>
        <w:tc>
          <w:tcPr>
            <w:tcW w:w="0" w:type="auto"/>
            <w:tcBorders>
              <w:left w:val="nil"/>
              <w:right w:val="nil"/>
            </w:tcBorders>
            <w:noWrap/>
            <w:hideMark/>
          </w:tcPr>
          <w:p w14:paraId="1C8A4E3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0.17</w:t>
            </w:r>
          </w:p>
        </w:tc>
      </w:tr>
      <w:tr w:rsidR="00281B0A" w:rsidRPr="001823CC" w14:paraId="17647554"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39D156B9" w14:textId="77777777" w:rsidR="00281B0A" w:rsidRPr="001823CC" w:rsidRDefault="00281B0A" w:rsidP="00EE0E3F">
            <w:pPr>
              <w:pStyle w:val="Table"/>
              <w:rPr>
                <w:sz w:val="24"/>
              </w:rPr>
            </w:pPr>
            <w:r w:rsidRPr="001823CC">
              <w:rPr>
                <w:sz w:val="24"/>
              </w:rPr>
              <w:t xml:space="preserve">12. </w:t>
            </w:r>
            <w:r w:rsidRPr="001823CC">
              <w:rPr>
                <w:sz w:val="24"/>
                <w:lang w:val="el-GR"/>
              </w:rPr>
              <w:t>Δ</w:t>
            </w:r>
            <w:r w:rsidRPr="001823CC">
              <w:rPr>
                <w:sz w:val="24"/>
              </w:rPr>
              <w:t>BES(1-0)</w:t>
            </w:r>
          </w:p>
        </w:tc>
        <w:tc>
          <w:tcPr>
            <w:tcW w:w="0" w:type="auto"/>
            <w:tcBorders>
              <w:left w:val="nil"/>
              <w:right w:val="nil"/>
            </w:tcBorders>
            <w:noWrap/>
            <w:hideMark/>
          </w:tcPr>
          <w:p w14:paraId="2EF8DCB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C39025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21ADE7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BD4D9B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FB1FA1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9D3C9F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CF8473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BD03F0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F0EBEA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3B578C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3E6DE7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AF0ED8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0.06</w:t>
            </w:r>
          </w:p>
        </w:tc>
        <w:tc>
          <w:tcPr>
            <w:tcW w:w="0" w:type="auto"/>
            <w:tcBorders>
              <w:left w:val="nil"/>
              <w:right w:val="nil"/>
            </w:tcBorders>
            <w:noWrap/>
            <w:hideMark/>
          </w:tcPr>
          <w:p w14:paraId="67D4D7F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0.00</w:t>
            </w:r>
          </w:p>
        </w:tc>
        <w:tc>
          <w:tcPr>
            <w:tcW w:w="0" w:type="auto"/>
            <w:tcBorders>
              <w:left w:val="nil"/>
              <w:right w:val="nil"/>
            </w:tcBorders>
            <w:noWrap/>
            <w:hideMark/>
          </w:tcPr>
          <w:p w14:paraId="6B6CFD1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0.09</w:t>
            </w:r>
          </w:p>
        </w:tc>
        <w:tc>
          <w:tcPr>
            <w:tcW w:w="0" w:type="auto"/>
            <w:tcBorders>
              <w:left w:val="nil"/>
              <w:right w:val="nil"/>
            </w:tcBorders>
            <w:noWrap/>
            <w:hideMark/>
          </w:tcPr>
          <w:p w14:paraId="4F36FCB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0.03</w:t>
            </w:r>
          </w:p>
        </w:tc>
        <w:tc>
          <w:tcPr>
            <w:tcW w:w="0" w:type="auto"/>
            <w:tcBorders>
              <w:left w:val="nil"/>
              <w:right w:val="nil"/>
            </w:tcBorders>
            <w:noWrap/>
            <w:hideMark/>
          </w:tcPr>
          <w:p w14:paraId="0B8A589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0.30**</w:t>
            </w:r>
          </w:p>
        </w:tc>
        <w:tc>
          <w:tcPr>
            <w:tcW w:w="0" w:type="auto"/>
            <w:tcBorders>
              <w:left w:val="nil"/>
              <w:right w:val="nil"/>
            </w:tcBorders>
            <w:noWrap/>
            <w:hideMark/>
          </w:tcPr>
          <w:p w14:paraId="55757DB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0.53**</w:t>
            </w:r>
          </w:p>
        </w:tc>
      </w:tr>
      <w:tr w:rsidR="00281B0A" w:rsidRPr="001823CC" w14:paraId="60E4078D"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03F5D290" w14:textId="77777777" w:rsidR="00281B0A" w:rsidRPr="001823CC" w:rsidRDefault="00281B0A" w:rsidP="00EE0E3F">
            <w:pPr>
              <w:pStyle w:val="Table"/>
              <w:rPr>
                <w:sz w:val="24"/>
              </w:rPr>
            </w:pPr>
            <w:r w:rsidRPr="001823CC">
              <w:rPr>
                <w:sz w:val="24"/>
              </w:rPr>
              <w:t xml:space="preserve">13. </w:t>
            </w:r>
            <w:r w:rsidRPr="001823CC">
              <w:rPr>
                <w:sz w:val="24"/>
                <w:lang w:val="el-GR"/>
              </w:rPr>
              <w:t>Δ</w:t>
            </w:r>
            <w:r w:rsidRPr="001823CC">
              <w:rPr>
                <w:sz w:val="24"/>
              </w:rPr>
              <w:t>AUDIT(2-0)</w:t>
            </w:r>
          </w:p>
        </w:tc>
        <w:tc>
          <w:tcPr>
            <w:tcW w:w="0" w:type="auto"/>
            <w:tcBorders>
              <w:left w:val="nil"/>
              <w:right w:val="nil"/>
            </w:tcBorders>
            <w:noWrap/>
            <w:hideMark/>
          </w:tcPr>
          <w:p w14:paraId="089B96E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3F83B4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506470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CE0325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FF7CFB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0E80AA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0ED6F7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FDA67B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8CAEEB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C34C4A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F68791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5FADD2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401BFB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62246D9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0.09</w:t>
            </w:r>
          </w:p>
        </w:tc>
        <w:tc>
          <w:tcPr>
            <w:tcW w:w="0" w:type="auto"/>
            <w:tcBorders>
              <w:left w:val="nil"/>
              <w:right w:val="nil"/>
            </w:tcBorders>
            <w:noWrap/>
            <w:hideMark/>
          </w:tcPr>
          <w:p w14:paraId="2A8D878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-0.15</w:t>
            </w:r>
          </w:p>
        </w:tc>
        <w:tc>
          <w:tcPr>
            <w:tcW w:w="0" w:type="auto"/>
            <w:tcBorders>
              <w:left w:val="nil"/>
              <w:right w:val="nil"/>
            </w:tcBorders>
            <w:noWrap/>
            <w:hideMark/>
          </w:tcPr>
          <w:p w14:paraId="12955D6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0.02</w:t>
            </w:r>
          </w:p>
        </w:tc>
        <w:tc>
          <w:tcPr>
            <w:tcW w:w="0" w:type="auto"/>
            <w:tcBorders>
              <w:left w:val="nil"/>
              <w:right w:val="nil"/>
            </w:tcBorders>
            <w:noWrap/>
            <w:hideMark/>
          </w:tcPr>
          <w:p w14:paraId="072CE89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0.20</w:t>
            </w:r>
          </w:p>
        </w:tc>
      </w:tr>
      <w:tr w:rsidR="00281B0A" w:rsidRPr="001823CC" w14:paraId="02E05B14"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2702A17D" w14:textId="77777777" w:rsidR="00281B0A" w:rsidRPr="001823CC" w:rsidRDefault="00281B0A" w:rsidP="00EE0E3F">
            <w:pPr>
              <w:pStyle w:val="Table"/>
              <w:rPr>
                <w:sz w:val="24"/>
              </w:rPr>
            </w:pPr>
            <w:r w:rsidRPr="001823CC">
              <w:rPr>
                <w:sz w:val="24"/>
              </w:rPr>
              <w:t xml:space="preserve">14. </w:t>
            </w:r>
            <w:r w:rsidRPr="001823CC">
              <w:rPr>
                <w:sz w:val="24"/>
                <w:lang w:val="el-GR"/>
              </w:rPr>
              <w:t>Δ</w:t>
            </w:r>
            <w:r w:rsidRPr="001823CC">
              <w:rPr>
                <w:sz w:val="24"/>
              </w:rPr>
              <w:t>CUDIT(2-0)</w:t>
            </w:r>
          </w:p>
        </w:tc>
        <w:tc>
          <w:tcPr>
            <w:tcW w:w="0" w:type="auto"/>
            <w:tcBorders>
              <w:left w:val="nil"/>
              <w:right w:val="nil"/>
            </w:tcBorders>
            <w:noWrap/>
            <w:hideMark/>
          </w:tcPr>
          <w:p w14:paraId="2AF9F62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265036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841042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1481AD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639799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5F9D85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CED569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81F1E7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CE1A07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6D6B7A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65025C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BC658A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342CC5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4A5F3C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-0.12</w:t>
            </w:r>
          </w:p>
        </w:tc>
        <w:tc>
          <w:tcPr>
            <w:tcW w:w="0" w:type="auto"/>
            <w:tcBorders>
              <w:left w:val="nil"/>
              <w:right w:val="nil"/>
            </w:tcBorders>
            <w:noWrap/>
            <w:hideMark/>
          </w:tcPr>
          <w:p w14:paraId="6D851E4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0.10</w:t>
            </w:r>
          </w:p>
        </w:tc>
        <w:tc>
          <w:tcPr>
            <w:tcW w:w="0" w:type="auto"/>
            <w:tcBorders>
              <w:left w:val="nil"/>
              <w:right w:val="nil"/>
            </w:tcBorders>
            <w:noWrap/>
            <w:hideMark/>
          </w:tcPr>
          <w:p w14:paraId="26E6C07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0.21*</w:t>
            </w:r>
          </w:p>
        </w:tc>
        <w:tc>
          <w:tcPr>
            <w:tcW w:w="0" w:type="auto"/>
            <w:tcBorders>
              <w:left w:val="nil"/>
              <w:right w:val="nil"/>
            </w:tcBorders>
            <w:noWrap/>
            <w:hideMark/>
          </w:tcPr>
          <w:p w14:paraId="7D71694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0.05</w:t>
            </w:r>
          </w:p>
        </w:tc>
      </w:tr>
      <w:tr w:rsidR="00281B0A" w:rsidRPr="001823CC" w14:paraId="36DEF8CC"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7412CE07" w14:textId="77777777" w:rsidR="00281B0A" w:rsidRPr="001823CC" w:rsidRDefault="00281B0A" w:rsidP="00EE0E3F">
            <w:pPr>
              <w:pStyle w:val="Table"/>
              <w:rPr>
                <w:sz w:val="24"/>
              </w:rPr>
            </w:pPr>
            <w:r w:rsidRPr="001823CC">
              <w:rPr>
                <w:sz w:val="24"/>
              </w:rPr>
              <w:t xml:space="preserve">15. </w:t>
            </w:r>
            <w:r w:rsidRPr="001823CC">
              <w:rPr>
                <w:sz w:val="24"/>
                <w:lang w:val="el-GR"/>
              </w:rPr>
              <w:t>Δ</w:t>
            </w:r>
            <w:r w:rsidRPr="001823CC">
              <w:rPr>
                <w:sz w:val="24"/>
              </w:rPr>
              <w:t>DUDIT(2-0)</w:t>
            </w:r>
          </w:p>
        </w:tc>
        <w:tc>
          <w:tcPr>
            <w:tcW w:w="0" w:type="auto"/>
            <w:tcBorders>
              <w:left w:val="nil"/>
              <w:right w:val="nil"/>
            </w:tcBorders>
            <w:noWrap/>
            <w:hideMark/>
          </w:tcPr>
          <w:p w14:paraId="1076D27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975DE3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9DA2DB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2194BA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F78351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1996AA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59D647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223A38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C45A01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61BDD6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609E86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5266AE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DE0CAF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3D6F01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7C4BF1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-0.20</w:t>
            </w:r>
          </w:p>
        </w:tc>
        <w:tc>
          <w:tcPr>
            <w:tcW w:w="0" w:type="auto"/>
            <w:tcBorders>
              <w:left w:val="nil"/>
              <w:right w:val="nil"/>
            </w:tcBorders>
            <w:noWrap/>
            <w:hideMark/>
          </w:tcPr>
          <w:p w14:paraId="61E3224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-0.06</w:t>
            </w:r>
          </w:p>
        </w:tc>
        <w:tc>
          <w:tcPr>
            <w:tcW w:w="0" w:type="auto"/>
            <w:tcBorders>
              <w:left w:val="nil"/>
              <w:right w:val="nil"/>
            </w:tcBorders>
            <w:noWrap/>
            <w:hideMark/>
          </w:tcPr>
          <w:p w14:paraId="61A5F61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0.07</w:t>
            </w:r>
          </w:p>
        </w:tc>
      </w:tr>
      <w:tr w:rsidR="00281B0A" w:rsidRPr="001823CC" w14:paraId="5D5A0D1C"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22FB6A2D" w14:textId="77777777" w:rsidR="00281B0A" w:rsidRPr="001823CC" w:rsidRDefault="00281B0A" w:rsidP="00EE0E3F">
            <w:pPr>
              <w:pStyle w:val="Table"/>
              <w:rPr>
                <w:sz w:val="24"/>
              </w:rPr>
            </w:pPr>
            <w:r w:rsidRPr="001823CC">
              <w:rPr>
                <w:sz w:val="24"/>
              </w:rPr>
              <w:t xml:space="preserve">16. </w:t>
            </w:r>
            <w:r w:rsidRPr="001823CC">
              <w:rPr>
                <w:sz w:val="24"/>
                <w:lang w:val="el-GR"/>
              </w:rPr>
              <w:t>Δ</w:t>
            </w:r>
            <w:r w:rsidRPr="001823CC">
              <w:rPr>
                <w:sz w:val="24"/>
              </w:rPr>
              <w:t>IGD9(2-0)</w:t>
            </w:r>
          </w:p>
        </w:tc>
        <w:tc>
          <w:tcPr>
            <w:tcW w:w="0" w:type="auto"/>
            <w:tcBorders>
              <w:left w:val="nil"/>
              <w:right w:val="nil"/>
            </w:tcBorders>
            <w:noWrap/>
            <w:hideMark/>
          </w:tcPr>
          <w:p w14:paraId="2224FF7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068434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AE9E19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980662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DDBB78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11D0D0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2890AC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E7024BA"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F3DCDA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2106A66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72B96F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E4C374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CF0C68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BFD041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49267B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FA1489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0.13</w:t>
            </w:r>
          </w:p>
        </w:tc>
        <w:tc>
          <w:tcPr>
            <w:tcW w:w="0" w:type="auto"/>
            <w:tcBorders>
              <w:left w:val="nil"/>
              <w:right w:val="nil"/>
            </w:tcBorders>
            <w:noWrap/>
            <w:hideMark/>
          </w:tcPr>
          <w:p w14:paraId="2969DD4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0.01</w:t>
            </w:r>
          </w:p>
        </w:tc>
      </w:tr>
      <w:tr w:rsidR="00281B0A" w:rsidRPr="001823CC" w14:paraId="40B39E8A"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62B5C6BC" w14:textId="77777777" w:rsidR="00281B0A" w:rsidRPr="001823CC" w:rsidRDefault="00281B0A" w:rsidP="00EE0E3F">
            <w:pPr>
              <w:pStyle w:val="Table"/>
              <w:rPr>
                <w:sz w:val="24"/>
              </w:rPr>
            </w:pPr>
            <w:r w:rsidRPr="001823CC">
              <w:rPr>
                <w:sz w:val="24"/>
              </w:rPr>
              <w:lastRenderedPageBreak/>
              <w:t xml:space="preserve">17. </w:t>
            </w:r>
            <w:r w:rsidRPr="001823CC">
              <w:rPr>
                <w:sz w:val="24"/>
                <w:lang w:val="el-GR"/>
              </w:rPr>
              <w:t>Δ</w:t>
            </w:r>
            <w:r w:rsidRPr="001823CC">
              <w:rPr>
                <w:sz w:val="24"/>
              </w:rPr>
              <w:t>PCQ(2-0)</w:t>
            </w:r>
          </w:p>
        </w:tc>
        <w:tc>
          <w:tcPr>
            <w:tcW w:w="0" w:type="auto"/>
            <w:tcBorders>
              <w:left w:val="nil"/>
              <w:right w:val="nil"/>
            </w:tcBorders>
            <w:noWrap/>
            <w:hideMark/>
          </w:tcPr>
          <w:p w14:paraId="7295F2C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D8FF6B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6F8A153"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B51B4B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88E6F8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B5862FB"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8DA1D16"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29AB00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35FF0FC"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2ACB18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622D0B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0AF074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5B7221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DA454A0"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44F70C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76A5E59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565E29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r w:rsidRPr="001823CC">
              <w:rPr>
                <w:sz w:val="24"/>
              </w:rPr>
              <w:t>0.07</w:t>
            </w:r>
          </w:p>
        </w:tc>
      </w:tr>
      <w:tr w:rsidR="00281B0A" w:rsidRPr="001823CC" w14:paraId="1A47B8D2" w14:textId="77777777" w:rsidTr="00EE0E3F">
        <w:trPr>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45D5F77D" w14:textId="77777777" w:rsidR="00281B0A" w:rsidRPr="001823CC" w:rsidRDefault="00281B0A" w:rsidP="00EE0E3F">
            <w:pPr>
              <w:pStyle w:val="Table"/>
              <w:rPr>
                <w:sz w:val="24"/>
              </w:rPr>
            </w:pPr>
            <w:r w:rsidRPr="001823CC">
              <w:rPr>
                <w:sz w:val="24"/>
              </w:rPr>
              <w:t xml:space="preserve">18. </w:t>
            </w:r>
            <w:r w:rsidRPr="001823CC">
              <w:rPr>
                <w:sz w:val="24"/>
                <w:lang w:val="el-GR"/>
              </w:rPr>
              <w:t>Δ</w:t>
            </w:r>
            <w:r w:rsidRPr="001823CC">
              <w:rPr>
                <w:sz w:val="24"/>
              </w:rPr>
              <w:t>BES(2-0)</w:t>
            </w:r>
          </w:p>
        </w:tc>
        <w:tc>
          <w:tcPr>
            <w:tcW w:w="0" w:type="auto"/>
            <w:tcBorders>
              <w:left w:val="nil"/>
              <w:right w:val="nil"/>
            </w:tcBorders>
            <w:noWrap/>
            <w:hideMark/>
          </w:tcPr>
          <w:p w14:paraId="3C844AB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A32C27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85C3337"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14259DD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22551A5"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CB9E92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333531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3069D5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FCF47E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E07652F"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CC168E2"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32E17168"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0DC86B51"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CC9AF4E"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40573BF9"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6DA483DD"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c>
          <w:tcPr>
            <w:tcW w:w="0" w:type="auto"/>
            <w:tcBorders>
              <w:left w:val="nil"/>
              <w:right w:val="nil"/>
            </w:tcBorders>
            <w:noWrap/>
            <w:hideMark/>
          </w:tcPr>
          <w:p w14:paraId="5B63AF44" w14:textId="77777777" w:rsidR="00281B0A" w:rsidRPr="001823CC" w:rsidRDefault="00281B0A" w:rsidP="00EE0E3F">
            <w:pPr>
              <w:pStyle w:val="Table"/>
              <w:cnfStyle w:val="000000000000" w:firstRow="0" w:lastRow="0" w:firstColumn="0" w:lastColumn="0" w:oddVBand="0" w:evenVBand="0" w:oddHBand="0" w:evenHBand="0" w:firstRowFirstColumn="0" w:firstRowLastColumn="0" w:lastRowFirstColumn="0" w:lastRowLastColumn="0"/>
              <w:rPr>
                <w:sz w:val="24"/>
              </w:rPr>
            </w:pPr>
          </w:p>
        </w:tc>
      </w:tr>
    </w:tbl>
    <w:p w14:paraId="4C8A0018" w14:textId="77777777" w:rsidR="00281B0A" w:rsidRPr="001823CC" w:rsidRDefault="00281B0A" w:rsidP="00281B0A">
      <w:pPr>
        <w:spacing w:after="0" w:line="480" w:lineRule="auto"/>
        <w:contextualSpacing/>
        <w:rPr>
          <w:rFonts w:ascii="Times New Roman" w:hAnsi="Times New Roman" w:cs="Times New Roman"/>
          <w:sz w:val="24"/>
          <w:szCs w:val="24"/>
        </w:rPr>
        <w:sectPr w:rsidR="00281B0A" w:rsidRPr="001823CC" w:rsidSect="00077780">
          <w:pgSz w:w="16838" w:h="11906" w:orient="landscape"/>
          <w:pgMar w:top="1440" w:right="1440" w:bottom="1440" w:left="1440" w:header="708" w:footer="708" w:gutter="0"/>
          <w:cols w:space="708"/>
          <w:docGrid w:linePitch="360"/>
        </w:sectPr>
      </w:pPr>
    </w:p>
    <w:p w14:paraId="65326E36" w14:textId="77777777" w:rsidR="009362BF" w:rsidRPr="001823CC" w:rsidRDefault="009362BF" w:rsidP="009362BF">
      <w:pPr>
        <w:spacing w:after="0" w:line="480" w:lineRule="auto"/>
        <w:rPr>
          <w:rFonts w:ascii="Times New Roman" w:hAnsi="Times New Roman" w:cs="Times New Roman"/>
          <w:sz w:val="24"/>
          <w:szCs w:val="24"/>
        </w:rPr>
      </w:pPr>
      <w:r w:rsidRPr="001823CC">
        <w:rPr>
          <w:rFonts w:ascii="Times New Roman" w:hAnsi="Times New Roman" w:cs="Times New Roman"/>
          <w:sz w:val="24"/>
          <w:szCs w:val="24"/>
        </w:rPr>
        <w:lastRenderedPageBreak/>
        <w:t>Supplementary Table 2</w:t>
      </w:r>
    </w:p>
    <w:tbl>
      <w:tblPr>
        <w:tblStyle w:val="TableGrid"/>
        <w:tblW w:w="5000" w:type="pct"/>
        <w:tblLook w:val="04A0" w:firstRow="1" w:lastRow="0" w:firstColumn="1" w:lastColumn="0" w:noHBand="0" w:noVBand="1"/>
      </w:tblPr>
      <w:tblGrid>
        <w:gridCol w:w="1860"/>
        <w:gridCol w:w="1434"/>
        <w:gridCol w:w="1433"/>
        <w:gridCol w:w="1433"/>
        <w:gridCol w:w="1433"/>
        <w:gridCol w:w="1433"/>
      </w:tblGrid>
      <w:tr w:rsidR="009362BF" w:rsidRPr="001823CC" w14:paraId="65608698" w14:textId="77777777" w:rsidTr="00040C10">
        <w:tc>
          <w:tcPr>
            <w:tcW w:w="1030" w:type="pct"/>
            <w:tcBorders>
              <w:left w:val="nil"/>
              <w:bottom w:val="single" w:sz="4" w:space="0" w:color="auto"/>
              <w:right w:val="nil"/>
            </w:tcBorders>
          </w:tcPr>
          <w:p w14:paraId="5ABAF11F" w14:textId="77777777" w:rsidR="009362BF" w:rsidRPr="001823CC" w:rsidRDefault="009362BF" w:rsidP="00447611">
            <w:pPr>
              <w:pStyle w:val="Table"/>
              <w:rPr>
                <w:sz w:val="24"/>
                <w:lang w:val="en-GB"/>
              </w:rPr>
            </w:pPr>
          </w:p>
        </w:tc>
        <w:tc>
          <w:tcPr>
            <w:tcW w:w="794" w:type="pct"/>
            <w:tcBorders>
              <w:left w:val="nil"/>
              <w:bottom w:val="single" w:sz="4" w:space="0" w:color="auto"/>
              <w:right w:val="nil"/>
            </w:tcBorders>
          </w:tcPr>
          <w:p w14:paraId="50C1147E" w14:textId="77777777" w:rsidR="009362BF" w:rsidRPr="001823CC" w:rsidRDefault="009362BF" w:rsidP="00447611">
            <w:pPr>
              <w:pStyle w:val="Table"/>
              <w:rPr>
                <w:sz w:val="24"/>
              </w:rPr>
            </w:pPr>
            <w:r w:rsidRPr="001823CC">
              <w:rPr>
                <w:sz w:val="24"/>
              </w:rPr>
              <w:t>AUDIT(0)</w:t>
            </w:r>
          </w:p>
        </w:tc>
        <w:tc>
          <w:tcPr>
            <w:tcW w:w="794" w:type="pct"/>
            <w:tcBorders>
              <w:left w:val="nil"/>
              <w:bottom w:val="single" w:sz="4" w:space="0" w:color="auto"/>
              <w:right w:val="nil"/>
            </w:tcBorders>
          </w:tcPr>
          <w:p w14:paraId="1A3C04A3" w14:textId="77777777" w:rsidR="009362BF" w:rsidRPr="001823CC" w:rsidRDefault="009362BF" w:rsidP="00447611">
            <w:pPr>
              <w:pStyle w:val="Table"/>
              <w:rPr>
                <w:sz w:val="24"/>
              </w:rPr>
            </w:pPr>
            <w:r w:rsidRPr="001823CC">
              <w:rPr>
                <w:sz w:val="24"/>
              </w:rPr>
              <w:t>AUDIT(1)</w:t>
            </w:r>
          </w:p>
        </w:tc>
        <w:tc>
          <w:tcPr>
            <w:tcW w:w="794" w:type="pct"/>
            <w:tcBorders>
              <w:left w:val="nil"/>
              <w:bottom w:val="single" w:sz="4" w:space="0" w:color="auto"/>
              <w:right w:val="nil"/>
            </w:tcBorders>
          </w:tcPr>
          <w:p w14:paraId="0B8A930C" w14:textId="77777777" w:rsidR="009362BF" w:rsidRPr="001823CC" w:rsidRDefault="009362BF" w:rsidP="00447611">
            <w:pPr>
              <w:pStyle w:val="Table"/>
              <w:rPr>
                <w:sz w:val="24"/>
              </w:rPr>
            </w:pPr>
            <w:r w:rsidRPr="001823CC">
              <w:rPr>
                <w:sz w:val="24"/>
              </w:rPr>
              <w:t>AUDIT(2)</w:t>
            </w:r>
          </w:p>
        </w:tc>
        <w:tc>
          <w:tcPr>
            <w:tcW w:w="794" w:type="pct"/>
            <w:tcBorders>
              <w:left w:val="nil"/>
              <w:bottom w:val="single" w:sz="4" w:space="0" w:color="auto"/>
              <w:right w:val="nil"/>
            </w:tcBorders>
          </w:tcPr>
          <w:p w14:paraId="5E37DED1" w14:textId="77777777" w:rsidR="009362BF" w:rsidRPr="001823CC" w:rsidRDefault="009362BF" w:rsidP="00447611">
            <w:pPr>
              <w:pStyle w:val="Table"/>
              <w:rPr>
                <w:sz w:val="24"/>
              </w:rPr>
            </w:pPr>
            <w:r w:rsidRPr="001823CC">
              <w:rPr>
                <w:sz w:val="24"/>
                <w:lang w:val="el-GR"/>
              </w:rPr>
              <w:t>Δ</w:t>
            </w:r>
            <w:r w:rsidRPr="001823CC">
              <w:rPr>
                <w:sz w:val="24"/>
              </w:rPr>
              <w:t>AUDIT(1-0)</w:t>
            </w:r>
          </w:p>
        </w:tc>
        <w:tc>
          <w:tcPr>
            <w:tcW w:w="794" w:type="pct"/>
            <w:tcBorders>
              <w:left w:val="nil"/>
              <w:bottom w:val="single" w:sz="4" w:space="0" w:color="auto"/>
              <w:right w:val="nil"/>
            </w:tcBorders>
          </w:tcPr>
          <w:p w14:paraId="206BDF41" w14:textId="77777777" w:rsidR="009362BF" w:rsidRPr="001823CC" w:rsidRDefault="009362BF" w:rsidP="00447611">
            <w:pPr>
              <w:pStyle w:val="Table"/>
              <w:rPr>
                <w:sz w:val="24"/>
              </w:rPr>
            </w:pPr>
            <w:r w:rsidRPr="001823CC">
              <w:rPr>
                <w:sz w:val="24"/>
                <w:lang w:val="el-GR"/>
              </w:rPr>
              <w:t>Δ</w:t>
            </w:r>
            <w:r w:rsidRPr="001823CC">
              <w:rPr>
                <w:sz w:val="24"/>
              </w:rPr>
              <w:t>AUDIT(2-0)</w:t>
            </w:r>
          </w:p>
        </w:tc>
      </w:tr>
      <w:tr w:rsidR="009362BF" w:rsidRPr="001823CC" w14:paraId="154CA44D" w14:textId="77777777" w:rsidTr="00040C10">
        <w:tc>
          <w:tcPr>
            <w:tcW w:w="1030" w:type="pct"/>
            <w:tcBorders>
              <w:left w:val="nil"/>
              <w:bottom w:val="nil"/>
              <w:right w:val="nil"/>
            </w:tcBorders>
          </w:tcPr>
          <w:p w14:paraId="43186815" w14:textId="77777777" w:rsidR="009362BF" w:rsidRPr="001823CC" w:rsidRDefault="009362BF" w:rsidP="00447611">
            <w:pPr>
              <w:pStyle w:val="Table"/>
              <w:rPr>
                <w:sz w:val="24"/>
              </w:rPr>
            </w:pPr>
            <w:r w:rsidRPr="001823CC">
              <w:rPr>
                <w:sz w:val="24"/>
              </w:rPr>
              <w:t>Urgency</w:t>
            </w:r>
          </w:p>
        </w:tc>
        <w:tc>
          <w:tcPr>
            <w:tcW w:w="794" w:type="pct"/>
            <w:tcBorders>
              <w:left w:val="nil"/>
              <w:bottom w:val="nil"/>
              <w:right w:val="nil"/>
            </w:tcBorders>
          </w:tcPr>
          <w:p w14:paraId="1A5DD8EE" w14:textId="77777777" w:rsidR="009362BF" w:rsidRPr="001823CC" w:rsidRDefault="009362BF" w:rsidP="00447611">
            <w:pPr>
              <w:pStyle w:val="Table"/>
              <w:rPr>
                <w:sz w:val="24"/>
              </w:rPr>
            </w:pPr>
            <w:r w:rsidRPr="001823CC">
              <w:rPr>
                <w:sz w:val="24"/>
              </w:rPr>
              <w:t>0.39**</w:t>
            </w:r>
          </w:p>
        </w:tc>
        <w:tc>
          <w:tcPr>
            <w:tcW w:w="794" w:type="pct"/>
            <w:tcBorders>
              <w:left w:val="nil"/>
              <w:bottom w:val="nil"/>
              <w:right w:val="nil"/>
            </w:tcBorders>
          </w:tcPr>
          <w:p w14:paraId="1D57DA23" w14:textId="77777777" w:rsidR="009362BF" w:rsidRPr="001823CC" w:rsidRDefault="009362BF" w:rsidP="00447611">
            <w:pPr>
              <w:pStyle w:val="Table"/>
              <w:rPr>
                <w:sz w:val="24"/>
              </w:rPr>
            </w:pPr>
            <w:r w:rsidRPr="001823CC">
              <w:rPr>
                <w:sz w:val="24"/>
              </w:rPr>
              <w:t>0.39**</w:t>
            </w:r>
          </w:p>
        </w:tc>
        <w:tc>
          <w:tcPr>
            <w:tcW w:w="794" w:type="pct"/>
            <w:tcBorders>
              <w:left w:val="nil"/>
              <w:bottom w:val="nil"/>
              <w:right w:val="nil"/>
            </w:tcBorders>
          </w:tcPr>
          <w:p w14:paraId="4E58229E" w14:textId="77777777" w:rsidR="009362BF" w:rsidRPr="001823CC" w:rsidRDefault="009362BF" w:rsidP="00447611">
            <w:pPr>
              <w:pStyle w:val="Table"/>
              <w:rPr>
                <w:sz w:val="24"/>
              </w:rPr>
            </w:pPr>
            <w:r w:rsidRPr="001823CC">
              <w:rPr>
                <w:sz w:val="24"/>
              </w:rPr>
              <w:t>0.24**</w:t>
            </w:r>
          </w:p>
        </w:tc>
        <w:tc>
          <w:tcPr>
            <w:tcW w:w="794" w:type="pct"/>
            <w:tcBorders>
              <w:left w:val="nil"/>
              <w:bottom w:val="nil"/>
              <w:right w:val="nil"/>
            </w:tcBorders>
          </w:tcPr>
          <w:p w14:paraId="2634E031" w14:textId="77777777" w:rsidR="009362BF" w:rsidRPr="001823CC" w:rsidRDefault="009362BF" w:rsidP="00447611">
            <w:pPr>
              <w:pStyle w:val="Table"/>
              <w:rPr>
                <w:sz w:val="24"/>
              </w:rPr>
            </w:pPr>
            <w:r w:rsidRPr="001823CC">
              <w:rPr>
                <w:sz w:val="24"/>
              </w:rPr>
              <w:t>-0.04</w:t>
            </w:r>
          </w:p>
        </w:tc>
        <w:tc>
          <w:tcPr>
            <w:tcW w:w="794" w:type="pct"/>
            <w:tcBorders>
              <w:left w:val="nil"/>
              <w:bottom w:val="nil"/>
              <w:right w:val="nil"/>
            </w:tcBorders>
          </w:tcPr>
          <w:p w14:paraId="558974A4" w14:textId="77777777" w:rsidR="009362BF" w:rsidRPr="001823CC" w:rsidRDefault="009362BF" w:rsidP="00447611">
            <w:pPr>
              <w:pStyle w:val="Table"/>
              <w:rPr>
                <w:sz w:val="24"/>
              </w:rPr>
            </w:pPr>
            <w:r w:rsidRPr="001823CC">
              <w:rPr>
                <w:sz w:val="24"/>
              </w:rPr>
              <w:t>-0.32**</w:t>
            </w:r>
          </w:p>
        </w:tc>
      </w:tr>
      <w:tr w:rsidR="009362BF" w:rsidRPr="001823CC" w14:paraId="760658CD" w14:textId="77777777" w:rsidTr="00040C10">
        <w:tc>
          <w:tcPr>
            <w:tcW w:w="1030" w:type="pct"/>
            <w:tcBorders>
              <w:top w:val="nil"/>
              <w:left w:val="nil"/>
              <w:bottom w:val="nil"/>
              <w:right w:val="nil"/>
            </w:tcBorders>
          </w:tcPr>
          <w:p w14:paraId="3847E6F4" w14:textId="77777777" w:rsidR="009362BF" w:rsidRPr="001823CC" w:rsidRDefault="009362BF" w:rsidP="00447611">
            <w:pPr>
              <w:pStyle w:val="Table"/>
              <w:rPr>
                <w:sz w:val="24"/>
              </w:rPr>
            </w:pPr>
            <w:r w:rsidRPr="001823CC">
              <w:rPr>
                <w:sz w:val="24"/>
              </w:rPr>
              <w:t>Premeditation</w:t>
            </w:r>
          </w:p>
        </w:tc>
        <w:tc>
          <w:tcPr>
            <w:tcW w:w="794" w:type="pct"/>
            <w:tcBorders>
              <w:top w:val="nil"/>
              <w:left w:val="nil"/>
              <w:bottom w:val="nil"/>
              <w:right w:val="nil"/>
            </w:tcBorders>
          </w:tcPr>
          <w:p w14:paraId="3973F555" w14:textId="77777777" w:rsidR="009362BF" w:rsidRPr="001823CC" w:rsidRDefault="009362BF" w:rsidP="00447611">
            <w:pPr>
              <w:pStyle w:val="Table"/>
              <w:rPr>
                <w:sz w:val="24"/>
              </w:rPr>
            </w:pPr>
            <w:r w:rsidRPr="001823CC">
              <w:rPr>
                <w:sz w:val="24"/>
              </w:rPr>
              <w:t>0.33**</w:t>
            </w:r>
          </w:p>
        </w:tc>
        <w:tc>
          <w:tcPr>
            <w:tcW w:w="794" w:type="pct"/>
            <w:tcBorders>
              <w:top w:val="nil"/>
              <w:left w:val="nil"/>
              <w:bottom w:val="nil"/>
              <w:right w:val="nil"/>
            </w:tcBorders>
          </w:tcPr>
          <w:p w14:paraId="30979DCA" w14:textId="77777777" w:rsidR="009362BF" w:rsidRPr="001823CC" w:rsidRDefault="009362BF" w:rsidP="00447611">
            <w:pPr>
              <w:pStyle w:val="Table"/>
              <w:rPr>
                <w:sz w:val="24"/>
              </w:rPr>
            </w:pPr>
            <w:r w:rsidRPr="001823CC">
              <w:rPr>
                <w:sz w:val="24"/>
              </w:rPr>
              <w:t>0.30**</w:t>
            </w:r>
          </w:p>
        </w:tc>
        <w:tc>
          <w:tcPr>
            <w:tcW w:w="794" w:type="pct"/>
            <w:tcBorders>
              <w:top w:val="nil"/>
              <w:left w:val="nil"/>
              <w:bottom w:val="nil"/>
              <w:right w:val="nil"/>
            </w:tcBorders>
          </w:tcPr>
          <w:p w14:paraId="438D150A" w14:textId="77777777" w:rsidR="009362BF" w:rsidRPr="001823CC" w:rsidRDefault="009362BF" w:rsidP="00447611">
            <w:pPr>
              <w:pStyle w:val="Table"/>
              <w:rPr>
                <w:sz w:val="24"/>
              </w:rPr>
            </w:pPr>
            <w:r w:rsidRPr="001823CC">
              <w:rPr>
                <w:sz w:val="24"/>
              </w:rPr>
              <w:t>0.21*</w:t>
            </w:r>
          </w:p>
        </w:tc>
        <w:tc>
          <w:tcPr>
            <w:tcW w:w="794" w:type="pct"/>
            <w:tcBorders>
              <w:top w:val="nil"/>
              <w:left w:val="nil"/>
              <w:bottom w:val="nil"/>
              <w:right w:val="nil"/>
            </w:tcBorders>
          </w:tcPr>
          <w:p w14:paraId="166D057D" w14:textId="77777777" w:rsidR="009362BF" w:rsidRPr="001823CC" w:rsidRDefault="009362BF" w:rsidP="00447611">
            <w:pPr>
              <w:pStyle w:val="Table"/>
              <w:rPr>
                <w:sz w:val="24"/>
              </w:rPr>
            </w:pPr>
            <w:r w:rsidRPr="001823CC">
              <w:rPr>
                <w:sz w:val="24"/>
              </w:rPr>
              <w:t>-0.08</w:t>
            </w:r>
          </w:p>
        </w:tc>
        <w:tc>
          <w:tcPr>
            <w:tcW w:w="794" w:type="pct"/>
            <w:tcBorders>
              <w:top w:val="nil"/>
              <w:left w:val="nil"/>
              <w:bottom w:val="nil"/>
              <w:right w:val="nil"/>
            </w:tcBorders>
          </w:tcPr>
          <w:p w14:paraId="6F78529E" w14:textId="77777777" w:rsidR="009362BF" w:rsidRPr="001823CC" w:rsidRDefault="009362BF" w:rsidP="00447611">
            <w:pPr>
              <w:pStyle w:val="Table"/>
              <w:rPr>
                <w:sz w:val="24"/>
              </w:rPr>
            </w:pPr>
            <w:r w:rsidRPr="001823CC">
              <w:rPr>
                <w:sz w:val="24"/>
              </w:rPr>
              <w:t>-0.26*</w:t>
            </w:r>
          </w:p>
        </w:tc>
      </w:tr>
      <w:tr w:rsidR="009362BF" w:rsidRPr="001823CC" w14:paraId="4E894E32" w14:textId="77777777" w:rsidTr="00040C10">
        <w:tc>
          <w:tcPr>
            <w:tcW w:w="1030" w:type="pct"/>
            <w:tcBorders>
              <w:top w:val="nil"/>
              <w:left w:val="nil"/>
              <w:bottom w:val="nil"/>
              <w:right w:val="nil"/>
            </w:tcBorders>
          </w:tcPr>
          <w:p w14:paraId="6C89B5C5" w14:textId="77777777" w:rsidR="009362BF" w:rsidRPr="001823CC" w:rsidRDefault="009362BF" w:rsidP="00447611">
            <w:pPr>
              <w:pStyle w:val="Table"/>
              <w:rPr>
                <w:sz w:val="24"/>
              </w:rPr>
            </w:pPr>
            <w:r w:rsidRPr="001823CC">
              <w:rPr>
                <w:sz w:val="24"/>
              </w:rPr>
              <w:t>Perseveration</w:t>
            </w:r>
          </w:p>
        </w:tc>
        <w:tc>
          <w:tcPr>
            <w:tcW w:w="794" w:type="pct"/>
            <w:tcBorders>
              <w:top w:val="nil"/>
              <w:left w:val="nil"/>
              <w:bottom w:val="nil"/>
              <w:right w:val="nil"/>
            </w:tcBorders>
          </w:tcPr>
          <w:p w14:paraId="7A0F25CC" w14:textId="77777777" w:rsidR="009362BF" w:rsidRPr="001823CC" w:rsidRDefault="009362BF" w:rsidP="00447611">
            <w:pPr>
              <w:pStyle w:val="Table"/>
              <w:rPr>
                <w:sz w:val="24"/>
              </w:rPr>
            </w:pPr>
            <w:r w:rsidRPr="001823CC">
              <w:rPr>
                <w:sz w:val="24"/>
              </w:rPr>
              <w:t>0.31**</w:t>
            </w:r>
          </w:p>
        </w:tc>
        <w:tc>
          <w:tcPr>
            <w:tcW w:w="794" w:type="pct"/>
            <w:tcBorders>
              <w:top w:val="nil"/>
              <w:left w:val="nil"/>
              <w:bottom w:val="nil"/>
              <w:right w:val="nil"/>
            </w:tcBorders>
          </w:tcPr>
          <w:p w14:paraId="3229FE38" w14:textId="77777777" w:rsidR="009362BF" w:rsidRPr="001823CC" w:rsidRDefault="009362BF" w:rsidP="00447611">
            <w:pPr>
              <w:pStyle w:val="Table"/>
              <w:rPr>
                <w:sz w:val="24"/>
              </w:rPr>
            </w:pPr>
            <w:r w:rsidRPr="001823CC">
              <w:rPr>
                <w:sz w:val="24"/>
              </w:rPr>
              <w:t>0.32**</w:t>
            </w:r>
          </w:p>
        </w:tc>
        <w:tc>
          <w:tcPr>
            <w:tcW w:w="794" w:type="pct"/>
            <w:tcBorders>
              <w:top w:val="nil"/>
              <w:left w:val="nil"/>
              <w:bottom w:val="nil"/>
              <w:right w:val="nil"/>
            </w:tcBorders>
          </w:tcPr>
          <w:p w14:paraId="100A6E9B" w14:textId="77777777" w:rsidR="009362BF" w:rsidRPr="001823CC" w:rsidRDefault="009362BF" w:rsidP="00447611">
            <w:pPr>
              <w:pStyle w:val="Table"/>
              <w:rPr>
                <w:sz w:val="24"/>
              </w:rPr>
            </w:pPr>
            <w:r w:rsidRPr="001823CC">
              <w:rPr>
                <w:sz w:val="24"/>
              </w:rPr>
              <w:t>0.22*</w:t>
            </w:r>
          </w:p>
        </w:tc>
        <w:tc>
          <w:tcPr>
            <w:tcW w:w="794" w:type="pct"/>
            <w:tcBorders>
              <w:top w:val="nil"/>
              <w:left w:val="nil"/>
              <w:bottom w:val="nil"/>
              <w:right w:val="nil"/>
            </w:tcBorders>
          </w:tcPr>
          <w:p w14:paraId="7B41F5FD" w14:textId="77777777" w:rsidR="009362BF" w:rsidRPr="001823CC" w:rsidRDefault="009362BF" w:rsidP="00447611">
            <w:pPr>
              <w:pStyle w:val="Table"/>
              <w:rPr>
                <w:sz w:val="24"/>
              </w:rPr>
            </w:pPr>
            <w:r w:rsidRPr="001823CC">
              <w:rPr>
                <w:sz w:val="24"/>
              </w:rPr>
              <w:t>-0.02</w:t>
            </w:r>
          </w:p>
        </w:tc>
        <w:tc>
          <w:tcPr>
            <w:tcW w:w="794" w:type="pct"/>
            <w:tcBorders>
              <w:top w:val="nil"/>
              <w:left w:val="nil"/>
              <w:bottom w:val="nil"/>
              <w:right w:val="nil"/>
            </w:tcBorders>
          </w:tcPr>
          <w:p w14:paraId="2C86E844" w14:textId="77777777" w:rsidR="009362BF" w:rsidRPr="001823CC" w:rsidRDefault="009362BF" w:rsidP="00447611">
            <w:pPr>
              <w:pStyle w:val="Table"/>
              <w:rPr>
                <w:sz w:val="24"/>
              </w:rPr>
            </w:pPr>
            <w:r w:rsidRPr="001823CC">
              <w:rPr>
                <w:sz w:val="24"/>
              </w:rPr>
              <w:t>-0.22*</w:t>
            </w:r>
          </w:p>
        </w:tc>
      </w:tr>
      <w:tr w:rsidR="009362BF" w:rsidRPr="001823CC" w14:paraId="20E61429" w14:textId="77777777" w:rsidTr="00040C10">
        <w:tc>
          <w:tcPr>
            <w:tcW w:w="1030" w:type="pct"/>
            <w:tcBorders>
              <w:top w:val="nil"/>
              <w:left w:val="nil"/>
              <w:right w:val="nil"/>
            </w:tcBorders>
          </w:tcPr>
          <w:p w14:paraId="0489B7AC" w14:textId="77777777" w:rsidR="009362BF" w:rsidRPr="001823CC" w:rsidRDefault="009362BF" w:rsidP="00447611">
            <w:pPr>
              <w:pStyle w:val="Table"/>
              <w:rPr>
                <w:sz w:val="24"/>
              </w:rPr>
            </w:pPr>
            <w:r w:rsidRPr="001823CC">
              <w:rPr>
                <w:sz w:val="24"/>
              </w:rPr>
              <w:t>Sensation seeking</w:t>
            </w:r>
          </w:p>
        </w:tc>
        <w:tc>
          <w:tcPr>
            <w:tcW w:w="794" w:type="pct"/>
            <w:tcBorders>
              <w:top w:val="nil"/>
              <w:left w:val="nil"/>
              <w:right w:val="nil"/>
            </w:tcBorders>
          </w:tcPr>
          <w:p w14:paraId="3257FD5A" w14:textId="77777777" w:rsidR="009362BF" w:rsidRPr="001823CC" w:rsidRDefault="009362BF" w:rsidP="00447611">
            <w:pPr>
              <w:pStyle w:val="Table"/>
              <w:rPr>
                <w:sz w:val="24"/>
              </w:rPr>
            </w:pPr>
            <w:r w:rsidRPr="001823CC">
              <w:rPr>
                <w:sz w:val="24"/>
              </w:rPr>
              <w:t>0.44**</w:t>
            </w:r>
          </w:p>
        </w:tc>
        <w:tc>
          <w:tcPr>
            <w:tcW w:w="794" w:type="pct"/>
            <w:tcBorders>
              <w:top w:val="nil"/>
              <w:left w:val="nil"/>
              <w:right w:val="nil"/>
            </w:tcBorders>
          </w:tcPr>
          <w:p w14:paraId="749F448D" w14:textId="77777777" w:rsidR="009362BF" w:rsidRPr="001823CC" w:rsidRDefault="009362BF" w:rsidP="00447611">
            <w:pPr>
              <w:pStyle w:val="Table"/>
              <w:rPr>
                <w:sz w:val="24"/>
              </w:rPr>
            </w:pPr>
            <w:r w:rsidRPr="001823CC">
              <w:rPr>
                <w:sz w:val="24"/>
              </w:rPr>
              <w:t>0.50**</w:t>
            </w:r>
          </w:p>
        </w:tc>
        <w:tc>
          <w:tcPr>
            <w:tcW w:w="794" w:type="pct"/>
            <w:tcBorders>
              <w:top w:val="nil"/>
              <w:left w:val="nil"/>
              <w:right w:val="nil"/>
            </w:tcBorders>
          </w:tcPr>
          <w:p w14:paraId="1D15D3C7" w14:textId="77777777" w:rsidR="009362BF" w:rsidRPr="001823CC" w:rsidRDefault="009362BF" w:rsidP="00447611">
            <w:pPr>
              <w:pStyle w:val="Table"/>
              <w:rPr>
                <w:sz w:val="24"/>
              </w:rPr>
            </w:pPr>
            <w:r w:rsidRPr="001823CC">
              <w:rPr>
                <w:sz w:val="24"/>
              </w:rPr>
              <w:t>0.43**</w:t>
            </w:r>
          </w:p>
        </w:tc>
        <w:tc>
          <w:tcPr>
            <w:tcW w:w="794" w:type="pct"/>
            <w:tcBorders>
              <w:top w:val="nil"/>
              <w:left w:val="nil"/>
              <w:right w:val="nil"/>
            </w:tcBorders>
          </w:tcPr>
          <w:p w14:paraId="696A4B30" w14:textId="77777777" w:rsidR="009362BF" w:rsidRPr="001823CC" w:rsidRDefault="009362BF" w:rsidP="00447611">
            <w:pPr>
              <w:pStyle w:val="Table"/>
              <w:rPr>
                <w:sz w:val="24"/>
              </w:rPr>
            </w:pPr>
            <w:r w:rsidRPr="001823CC">
              <w:rPr>
                <w:sz w:val="24"/>
              </w:rPr>
              <w:t>0.05</w:t>
            </w:r>
          </w:p>
        </w:tc>
        <w:tc>
          <w:tcPr>
            <w:tcW w:w="794" w:type="pct"/>
            <w:tcBorders>
              <w:top w:val="nil"/>
              <w:left w:val="nil"/>
              <w:right w:val="nil"/>
            </w:tcBorders>
          </w:tcPr>
          <w:p w14:paraId="2DD35EBC" w14:textId="77777777" w:rsidR="009362BF" w:rsidRPr="001823CC" w:rsidRDefault="009362BF" w:rsidP="00447611">
            <w:pPr>
              <w:pStyle w:val="Table"/>
              <w:rPr>
                <w:sz w:val="24"/>
              </w:rPr>
            </w:pPr>
            <w:r w:rsidRPr="001823CC">
              <w:rPr>
                <w:sz w:val="24"/>
              </w:rPr>
              <w:t>-0.16</w:t>
            </w:r>
          </w:p>
        </w:tc>
      </w:tr>
    </w:tbl>
    <w:p w14:paraId="35A035C6" w14:textId="77777777" w:rsidR="009362BF" w:rsidRPr="001823CC" w:rsidRDefault="009362BF" w:rsidP="009362BF">
      <w:pPr>
        <w:spacing w:after="0" w:line="480" w:lineRule="auto"/>
        <w:rPr>
          <w:rFonts w:ascii="Times New Roman" w:hAnsi="Times New Roman" w:cs="Times New Roman"/>
          <w:sz w:val="24"/>
          <w:szCs w:val="24"/>
        </w:rPr>
      </w:pPr>
    </w:p>
    <w:p w14:paraId="5E3BAE57" w14:textId="77777777" w:rsidR="000613B5" w:rsidRPr="001823CC" w:rsidRDefault="000613B5">
      <w:pPr>
        <w:rPr>
          <w:rFonts w:ascii="Times New Roman" w:hAnsi="Times New Roman" w:cs="Times New Roman"/>
          <w:sz w:val="24"/>
          <w:szCs w:val="24"/>
        </w:rPr>
      </w:pPr>
    </w:p>
    <w:p w14:paraId="329C2F66" w14:textId="77777777" w:rsidR="009362BF" w:rsidRPr="001823CC" w:rsidRDefault="009362BF">
      <w:pPr>
        <w:rPr>
          <w:rFonts w:ascii="Times New Roman" w:hAnsi="Times New Roman" w:cs="Times New Roman"/>
          <w:sz w:val="24"/>
          <w:szCs w:val="24"/>
        </w:rPr>
      </w:pPr>
    </w:p>
    <w:p w14:paraId="2CD33632" w14:textId="77777777" w:rsidR="00281B0A" w:rsidRPr="001823CC" w:rsidRDefault="00281B0A" w:rsidP="009362BF">
      <w:pPr>
        <w:spacing w:after="0" w:line="480" w:lineRule="auto"/>
        <w:contextualSpacing/>
        <w:rPr>
          <w:rFonts w:ascii="Times New Roman" w:hAnsi="Times New Roman" w:cs="Times New Roman"/>
          <w:sz w:val="24"/>
          <w:szCs w:val="24"/>
        </w:rPr>
      </w:pPr>
    </w:p>
    <w:p w14:paraId="3DD2E359" w14:textId="77777777" w:rsidR="00281B0A" w:rsidRPr="001823CC" w:rsidRDefault="00281B0A" w:rsidP="009362BF">
      <w:pPr>
        <w:spacing w:after="0" w:line="480" w:lineRule="auto"/>
        <w:contextualSpacing/>
        <w:rPr>
          <w:rFonts w:ascii="Times New Roman" w:hAnsi="Times New Roman" w:cs="Times New Roman"/>
          <w:sz w:val="24"/>
          <w:szCs w:val="24"/>
        </w:rPr>
      </w:pPr>
    </w:p>
    <w:p w14:paraId="5E68963C" w14:textId="77777777" w:rsidR="00281B0A" w:rsidRPr="001823CC" w:rsidRDefault="00281B0A" w:rsidP="009362BF">
      <w:pPr>
        <w:spacing w:after="0" w:line="480" w:lineRule="auto"/>
        <w:contextualSpacing/>
        <w:rPr>
          <w:rFonts w:ascii="Times New Roman" w:hAnsi="Times New Roman" w:cs="Times New Roman"/>
          <w:sz w:val="24"/>
          <w:szCs w:val="24"/>
        </w:rPr>
      </w:pPr>
    </w:p>
    <w:p w14:paraId="6D5871E2" w14:textId="77777777" w:rsidR="00281B0A" w:rsidRPr="001823CC" w:rsidRDefault="00281B0A" w:rsidP="009362BF">
      <w:pPr>
        <w:spacing w:after="0" w:line="480" w:lineRule="auto"/>
        <w:contextualSpacing/>
        <w:rPr>
          <w:rFonts w:ascii="Times New Roman" w:hAnsi="Times New Roman" w:cs="Times New Roman"/>
          <w:sz w:val="24"/>
          <w:szCs w:val="24"/>
        </w:rPr>
      </w:pPr>
    </w:p>
    <w:p w14:paraId="7515CF21" w14:textId="77777777" w:rsidR="00281B0A" w:rsidRPr="001823CC" w:rsidRDefault="00281B0A" w:rsidP="009362BF">
      <w:pPr>
        <w:spacing w:after="0" w:line="480" w:lineRule="auto"/>
        <w:contextualSpacing/>
        <w:rPr>
          <w:rFonts w:ascii="Times New Roman" w:hAnsi="Times New Roman" w:cs="Times New Roman"/>
          <w:sz w:val="24"/>
          <w:szCs w:val="24"/>
        </w:rPr>
      </w:pPr>
    </w:p>
    <w:p w14:paraId="60B811B5" w14:textId="77777777" w:rsidR="00281B0A" w:rsidRPr="001823CC" w:rsidRDefault="00281B0A" w:rsidP="009362BF">
      <w:pPr>
        <w:spacing w:after="0" w:line="480" w:lineRule="auto"/>
        <w:contextualSpacing/>
        <w:rPr>
          <w:rFonts w:ascii="Times New Roman" w:hAnsi="Times New Roman" w:cs="Times New Roman"/>
          <w:sz w:val="24"/>
          <w:szCs w:val="24"/>
        </w:rPr>
      </w:pPr>
    </w:p>
    <w:p w14:paraId="108C3C2D" w14:textId="77777777" w:rsidR="00281B0A" w:rsidRPr="001823CC" w:rsidRDefault="00281B0A" w:rsidP="009362BF">
      <w:pPr>
        <w:spacing w:after="0" w:line="480" w:lineRule="auto"/>
        <w:contextualSpacing/>
        <w:rPr>
          <w:rFonts w:ascii="Times New Roman" w:hAnsi="Times New Roman" w:cs="Times New Roman"/>
          <w:sz w:val="24"/>
          <w:szCs w:val="24"/>
        </w:rPr>
      </w:pPr>
    </w:p>
    <w:p w14:paraId="6EED41A4" w14:textId="77777777" w:rsidR="00281B0A" w:rsidRPr="001823CC" w:rsidRDefault="00281B0A" w:rsidP="009362BF">
      <w:pPr>
        <w:spacing w:after="0" w:line="480" w:lineRule="auto"/>
        <w:contextualSpacing/>
        <w:rPr>
          <w:rFonts w:ascii="Times New Roman" w:hAnsi="Times New Roman" w:cs="Times New Roman"/>
          <w:sz w:val="24"/>
          <w:szCs w:val="24"/>
        </w:rPr>
      </w:pPr>
    </w:p>
    <w:p w14:paraId="1EFC32BB" w14:textId="77777777" w:rsidR="00281B0A" w:rsidRPr="001823CC" w:rsidRDefault="00281B0A" w:rsidP="009362BF">
      <w:pPr>
        <w:spacing w:after="0" w:line="480" w:lineRule="auto"/>
        <w:contextualSpacing/>
        <w:rPr>
          <w:rFonts w:ascii="Times New Roman" w:hAnsi="Times New Roman" w:cs="Times New Roman"/>
          <w:sz w:val="24"/>
          <w:szCs w:val="24"/>
        </w:rPr>
      </w:pPr>
    </w:p>
    <w:p w14:paraId="4C32F70A" w14:textId="77777777" w:rsidR="00281B0A" w:rsidRPr="001823CC" w:rsidRDefault="00281B0A" w:rsidP="009362BF">
      <w:pPr>
        <w:spacing w:after="0" w:line="480" w:lineRule="auto"/>
        <w:contextualSpacing/>
        <w:rPr>
          <w:rFonts w:ascii="Times New Roman" w:hAnsi="Times New Roman" w:cs="Times New Roman"/>
          <w:sz w:val="24"/>
          <w:szCs w:val="24"/>
        </w:rPr>
      </w:pPr>
    </w:p>
    <w:p w14:paraId="5A3C22EF" w14:textId="77777777" w:rsidR="00281B0A" w:rsidRPr="001823CC" w:rsidRDefault="00281B0A" w:rsidP="009362BF">
      <w:pPr>
        <w:spacing w:after="0" w:line="480" w:lineRule="auto"/>
        <w:contextualSpacing/>
        <w:rPr>
          <w:rFonts w:ascii="Times New Roman" w:hAnsi="Times New Roman" w:cs="Times New Roman"/>
          <w:sz w:val="24"/>
          <w:szCs w:val="24"/>
        </w:rPr>
      </w:pPr>
    </w:p>
    <w:p w14:paraId="5014FEAB" w14:textId="77777777" w:rsidR="00281B0A" w:rsidRPr="001823CC" w:rsidRDefault="00281B0A" w:rsidP="009362BF">
      <w:pPr>
        <w:spacing w:after="0" w:line="480" w:lineRule="auto"/>
        <w:contextualSpacing/>
        <w:rPr>
          <w:rFonts w:ascii="Times New Roman" w:hAnsi="Times New Roman" w:cs="Times New Roman"/>
          <w:sz w:val="24"/>
          <w:szCs w:val="24"/>
        </w:rPr>
      </w:pPr>
    </w:p>
    <w:p w14:paraId="507AC9C6" w14:textId="77777777" w:rsidR="00077780" w:rsidRPr="001823CC" w:rsidRDefault="00077780" w:rsidP="009362BF">
      <w:pPr>
        <w:spacing w:after="0" w:line="480" w:lineRule="auto"/>
        <w:contextualSpacing/>
        <w:rPr>
          <w:rFonts w:ascii="Times New Roman" w:hAnsi="Times New Roman" w:cs="Times New Roman"/>
          <w:sz w:val="24"/>
          <w:szCs w:val="24"/>
        </w:rPr>
      </w:pPr>
    </w:p>
    <w:p w14:paraId="119BA11A" w14:textId="77777777" w:rsidR="00077780" w:rsidRPr="001823CC" w:rsidRDefault="00077780" w:rsidP="009362BF">
      <w:pPr>
        <w:spacing w:after="0" w:line="480" w:lineRule="auto"/>
        <w:contextualSpacing/>
        <w:rPr>
          <w:rFonts w:ascii="Times New Roman" w:hAnsi="Times New Roman" w:cs="Times New Roman"/>
          <w:sz w:val="24"/>
          <w:szCs w:val="24"/>
        </w:rPr>
      </w:pPr>
    </w:p>
    <w:p w14:paraId="1A8012B4" w14:textId="77777777" w:rsidR="00077780" w:rsidRPr="001823CC" w:rsidRDefault="00077780" w:rsidP="009362BF">
      <w:pPr>
        <w:spacing w:after="0" w:line="480" w:lineRule="auto"/>
        <w:contextualSpacing/>
        <w:rPr>
          <w:rFonts w:ascii="Times New Roman" w:hAnsi="Times New Roman" w:cs="Times New Roman"/>
          <w:sz w:val="24"/>
          <w:szCs w:val="24"/>
        </w:rPr>
      </w:pPr>
    </w:p>
    <w:p w14:paraId="3E5A35F8" w14:textId="77777777" w:rsidR="00077780" w:rsidRPr="001823CC" w:rsidRDefault="00077780" w:rsidP="009362BF">
      <w:pPr>
        <w:spacing w:after="0" w:line="480" w:lineRule="auto"/>
        <w:contextualSpacing/>
        <w:rPr>
          <w:rFonts w:ascii="Times New Roman" w:hAnsi="Times New Roman" w:cs="Times New Roman"/>
          <w:sz w:val="24"/>
          <w:szCs w:val="24"/>
        </w:rPr>
      </w:pPr>
    </w:p>
    <w:p w14:paraId="0233FB82" w14:textId="77777777" w:rsidR="009362BF" w:rsidRPr="001823CC" w:rsidRDefault="009362BF" w:rsidP="009362BF">
      <w:pPr>
        <w:spacing w:after="0" w:line="480" w:lineRule="auto"/>
        <w:contextualSpacing/>
        <w:rPr>
          <w:rFonts w:ascii="Times New Roman" w:hAnsi="Times New Roman" w:cs="Times New Roman"/>
          <w:sz w:val="24"/>
          <w:szCs w:val="24"/>
        </w:rPr>
      </w:pPr>
      <w:r w:rsidRPr="001823CC">
        <w:rPr>
          <w:rFonts w:ascii="Times New Roman" w:hAnsi="Times New Roman" w:cs="Times New Roman"/>
          <w:sz w:val="24"/>
          <w:szCs w:val="24"/>
        </w:rPr>
        <w:lastRenderedPageBreak/>
        <w:t>Supplementary Table 3</w:t>
      </w:r>
    </w:p>
    <w:tbl>
      <w:tblPr>
        <w:tblW w:w="5000" w:type="pct"/>
        <w:tblLook w:val="04A0" w:firstRow="1" w:lastRow="0" w:firstColumn="1" w:lastColumn="0" w:noHBand="0" w:noVBand="1"/>
      </w:tblPr>
      <w:tblGrid>
        <w:gridCol w:w="6474"/>
        <w:gridCol w:w="1247"/>
        <w:gridCol w:w="1305"/>
      </w:tblGrid>
      <w:tr w:rsidR="009362BF" w:rsidRPr="001823CC" w14:paraId="49FB8CD6" w14:textId="77777777" w:rsidTr="009362BF">
        <w:tc>
          <w:tcPr>
            <w:tcW w:w="3586" w:type="pct"/>
            <w:tcBorders>
              <w:left w:val="nil"/>
              <w:bottom w:val="single" w:sz="4" w:space="0" w:color="auto"/>
              <w:right w:val="nil"/>
            </w:tcBorders>
          </w:tcPr>
          <w:p w14:paraId="1F445384" w14:textId="77777777" w:rsidR="009362BF" w:rsidRPr="001823CC" w:rsidRDefault="009362BF" w:rsidP="00447611">
            <w:pPr>
              <w:pStyle w:val="Table"/>
              <w:rPr>
                <w:sz w:val="24"/>
              </w:rPr>
            </w:pPr>
            <w:r w:rsidRPr="001823CC">
              <w:rPr>
                <w:sz w:val="24"/>
              </w:rPr>
              <w:t>Variables</w:t>
            </w:r>
          </w:p>
        </w:tc>
        <w:tc>
          <w:tcPr>
            <w:tcW w:w="691" w:type="pct"/>
            <w:tcBorders>
              <w:left w:val="nil"/>
              <w:bottom w:val="single" w:sz="4" w:space="0" w:color="auto"/>
              <w:right w:val="nil"/>
            </w:tcBorders>
          </w:tcPr>
          <w:p w14:paraId="1B44A5A8" w14:textId="77777777" w:rsidR="009362BF" w:rsidRPr="001823CC" w:rsidRDefault="009362BF" w:rsidP="00447611">
            <w:pPr>
              <w:pStyle w:val="Table"/>
              <w:rPr>
                <w:sz w:val="24"/>
              </w:rPr>
            </w:pPr>
            <w:r w:rsidRPr="001823CC">
              <w:rPr>
                <w:sz w:val="24"/>
              </w:rPr>
              <w:t>Max CI</w:t>
            </w:r>
          </w:p>
        </w:tc>
        <w:tc>
          <w:tcPr>
            <w:tcW w:w="723" w:type="pct"/>
            <w:tcBorders>
              <w:left w:val="nil"/>
              <w:bottom w:val="single" w:sz="4" w:space="0" w:color="auto"/>
              <w:right w:val="nil"/>
            </w:tcBorders>
          </w:tcPr>
          <w:p w14:paraId="3393D913" w14:textId="77777777" w:rsidR="009362BF" w:rsidRPr="001823CC" w:rsidRDefault="009362BF" w:rsidP="00447611">
            <w:pPr>
              <w:pStyle w:val="Table"/>
              <w:rPr>
                <w:sz w:val="24"/>
              </w:rPr>
            </w:pPr>
            <w:r w:rsidRPr="001823CC">
              <w:rPr>
                <w:sz w:val="24"/>
              </w:rPr>
              <w:t>Max VIF</w:t>
            </w:r>
          </w:p>
        </w:tc>
      </w:tr>
      <w:tr w:rsidR="009362BF" w:rsidRPr="001823CC" w14:paraId="23C4C7E9" w14:textId="77777777" w:rsidTr="009362BF">
        <w:tc>
          <w:tcPr>
            <w:tcW w:w="3586" w:type="pct"/>
            <w:tcBorders>
              <w:left w:val="nil"/>
              <w:bottom w:val="nil"/>
              <w:right w:val="nil"/>
            </w:tcBorders>
          </w:tcPr>
          <w:p w14:paraId="5256CCE6" w14:textId="77777777" w:rsidR="009362BF" w:rsidRPr="001823CC" w:rsidRDefault="009362BF" w:rsidP="00447611">
            <w:pPr>
              <w:pStyle w:val="Table"/>
              <w:rPr>
                <w:sz w:val="24"/>
              </w:rPr>
            </w:pPr>
            <w:r w:rsidRPr="001823CC">
              <w:rPr>
                <w:sz w:val="24"/>
                <w:lang w:val="el-GR"/>
              </w:rPr>
              <w:t>Δ</w:t>
            </w:r>
            <w:r w:rsidRPr="001823CC">
              <w:rPr>
                <w:sz w:val="24"/>
              </w:rPr>
              <w:t>AUDIT(1-0), age, sex</w:t>
            </w:r>
          </w:p>
        </w:tc>
        <w:tc>
          <w:tcPr>
            <w:tcW w:w="691" w:type="pct"/>
            <w:tcBorders>
              <w:left w:val="nil"/>
              <w:bottom w:val="nil"/>
              <w:right w:val="nil"/>
            </w:tcBorders>
          </w:tcPr>
          <w:p w14:paraId="66FF879E" w14:textId="77777777" w:rsidR="009362BF" w:rsidRPr="001823CC" w:rsidRDefault="009362BF" w:rsidP="00447611">
            <w:pPr>
              <w:pStyle w:val="Table"/>
              <w:rPr>
                <w:sz w:val="24"/>
              </w:rPr>
            </w:pPr>
            <w:r w:rsidRPr="001823CC">
              <w:rPr>
                <w:sz w:val="24"/>
              </w:rPr>
              <w:t>2</w:t>
            </w:r>
          </w:p>
        </w:tc>
        <w:tc>
          <w:tcPr>
            <w:tcW w:w="723" w:type="pct"/>
            <w:tcBorders>
              <w:left w:val="nil"/>
              <w:bottom w:val="nil"/>
              <w:right w:val="nil"/>
            </w:tcBorders>
          </w:tcPr>
          <w:p w14:paraId="7402A019" w14:textId="77777777" w:rsidR="009362BF" w:rsidRPr="001823CC" w:rsidRDefault="009362BF" w:rsidP="00447611">
            <w:pPr>
              <w:pStyle w:val="Table"/>
              <w:rPr>
                <w:sz w:val="24"/>
              </w:rPr>
            </w:pPr>
            <w:r w:rsidRPr="001823CC">
              <w:rPr>
                <w:sz w:val="24"/>
              </w:rPr>
              <w:t>1.1</w:t>
            </w:r>
          </w:p>
        </w:tc>
      </w:tr>
      <w:tr w:rsidR="009362BF" w:rsidRPr="001823CC" w14:paraId="5ECACD5F" w14:textId="77777777" w:rsidTr="009362BF">
        <w:tc>
          <w:tcPr>
            <w:tcW w:w="3586" w:type="pct"/>
            <w:tcBorders>
              <w:top w:val="nil"/>
              <w:left w:val="nil"/>
              <w:bottom w:val="nil"/>
              <w:right w:val="nil"/>
            </w:tcBorders>
          </w:tcPr>
          <w:p w14:paraId="4F35ED9E" w14:textId="77777777" w:rsidR="009362BF" w:rsidRPr="001823CC" w:rsidRDefault="009362BF" w:rsidP="00447611">
            <w:pPr>
              <w:pStyle w:val="Table"/>
              <w:rPr>
                <w:sz w:val="24"/>
                <w:lang w:val="en-GB"/>
              </w:rPr>
            </w:pPr>
            <w:r w:rsidRPr="001823CC">
              <w:rPr>
                <w:sz w:val="24"/>
                <w:lang w:val="el-GR"/>
              </w:rPr>
              <w:t>Δ</w:t>
            </w:r>
            <w:r w:rsidRPr="001823CC">
              <w:rPr>
                <w:sz w:val="24"/>
                <w:lang w:val="en-GB"/>
              </w:rPr>
              <w:t>AUDIT(1-0), age, sex, urgency, premeditation, perseveration, sensation seeking</w:t>
            </w:r>
          </w:p>
        </w:tc>
        <w:tc>
          <w:tcPr>
            <w:tcW w:w="691" w:type="pct"/>
            <w:tcBorders>
              <w:top w:val="nil"/>
              <w:left w:val="nil"/>
              <w:bottom w:val="nil"/>
              <w:right w:val="nil"/>
            </w:tcBorders>
          </w:tcPr>
          <w:p w14:paraId="62E9942C" w14:textId="77777777" w:rsidR="009362BF" w:rsidRPr="001823CC" w:rsidRDefault="009362BF" w:rsidP="00447611">
            <w:pPr>
              <w:pStyle w:val="Table"/>
              <w:rPr>
                <w:sz w:val="24"/>
              </w:rPr>
            </w:pPr>
            <w:r w:rsidRPr="001823CC">
              <w:rPr>
                <w:sz w:val="24"/>
              </w:rPr>
              <w:t>16</w:t>
            </w:r>
          </w:p>
        </w:tc>
        <w:tc>
          <w:tcPr>
            <w:tcW w:w="723" w:type="pct"/>
            <w:tcBorders>
              <w:top w:val="nil"/>
              <w:left w:val="nil"/>
              <w:bottom w:val="nil"/>
              <w:right w:val="nil"/>
            </w:tcBorders>
          </w:tcPr>
          <w:p w14:paraId="35E64AA8" w14:textId="77777777" w:rsidR="009362BF" w:rsidRPr="001823CC" w:rsidRDefault="009362BF" w:rsidP="00447611">
            <w:pPr>
              <w:pStyle w:val="Table"/>
              <w:rPr>
                <w:sz w:val="24"/>
              </w:rPr>
            </w:pPr>
            <w:r w:rsidRPr="001823CC">
              <w:rPr>
                <w:sz w:val="24"/>
              </w:rPr>
              <w:t>1.6</w:t>
            </w:r>
          </w:p>
        </w:tc>
      </w:tr>
      <w:tr w:rsidR="009362BF" w:rsidRPr="001823CC" w14:paraId="1A796556" w14:textId="77777777" w:rsidTr="009362BF">
        <w:tc>
          <w:tcPr>
            <w:tcW w:w="3586" w:type="pct"/>
            <w:tcBorders>
              <w:top w:val="nil"/>
              <w:left w:val="nil"/>
              <w:bottom w:val="nil"/>
              <w:right w:val="nil"/>
            </w:tcBorders>
          </w:tcPr>
          <w:p w14:paraId="25359426" w14:textId="77777777" w:rsidR="009362BF" w:rsidRPr="001823CC" w:rsidRDefault="009362BF" w:rsidP="00447611">
            <w:pPr>
              <w:pStyle w:val="Table"/>
              <w:rPr>
                <w:sz w:val="24"/>
                <w:lang w:val="en-GB"/>
              </w:rPr>
            </w:pPr>
            <w:r w:rsidRPr="001823CC">
              <w:rPr>
                <w:sz w:val="24"/>
                <w:lang w:val="el-GR"/>
              </w:rPr>
              <w:t>Δ</w:t>
            </w:r>
            <w:r w:rsidRPr="001823CC">
              <w:rPr>
                <w:sz w:val="24"/>
                <w:lang w:val="en-GB"/>
              </w:rPr>
              <w:t xml:space="preserve">AUDIT(1-0), age, sex, </w:t>
            </w:r>
            <w:r w:rsidRPr="001823CC">
              <w:rPr>
                <w:sz w:val="24"/>
                <w:lang w:val="el-GR"/>
              </w:rPr>
              <w:t>Δ</w:t>
            </w:r>
            <w:r w:rsidRPr="001823CC">
              <w:rPr>
                <w:sz w:val="24"/>
                <w:lang w:val="en-GB"/>
              </w:rPr>
              <w:t xml:space="preserve">CUDIT(1-0), </w:t>
            </w:r>
            <w:r w:rsidRPr="001823CC">
              <w:rPr>
                <w:sz w:val="24"/>
                <w:lang w:val="el-GR"/>
              </w:rPr>
              <w:t>Δ</w:t>
            </w:r>
            <w:r w:rsidRPr="001823CC">
              <w:rPr>
                <w:sz w:val="24"/>
                <w:lang w:val="en-GB"/>
              </w:rPr>
              <w:t xml:space="preserve">DUDIT(1-0), </w:t>
            </w:r>
            <w:r w:rsidRPr="001823CC">
              <w:rPr>
                <w:sz w:val="24"/>
                <w:lang w:val="el-GR"/>
              </w:rPr>
              <w:t>Δ</w:t>
            </w:r>
            <w:r w:rsidRPr="001823CC">
              <w:rPr>
                <w:sz w:val="24"/>
                <w:lang w:val="en-GB"/>
              </w:rPr>
              <w:t xml:space="preserve">IGD, </w:t>
            </w:r>
            <w:r w:rsidRPr="001823CC">
              <w:rPr>
                <w:sz w:val="24"/>
                <w:lang w:val="el-GR"/>
              </w:rPr>
              <w:t>Δ</w:t>
            </w:r>
            <w:r w:rsidRPr="001823CC">
              <w:rPr>
                <w:sz w:val="24"/>
                <w:lang w:val="en-GB"/>
              </w:rPr>
              <w:t xml:space="preserve">PCQ(1-0), </w:t>
            </w:r>
            <w:r w:rsidRPr="001823CC">
              <w:rPr>
                <w:sz w:val="24"/>
                <w:lang w:val="el-GR"/>
              </w:rPr>
              <w:t>Δ</w:t>
            </w:r>
            <w:r w:rsidRPr="001823CC">
              <w:rPr>
                <w:sz w:val="24"/>
                <w:lang w:val="en-GB"/>
              </w:rPr>
              <w:t>BES(1-0)</w:t>
            </w:r>
          </w:p>
        </w:tc>
        <w:tc>
          <w:tcPr>
            <w:tcW w:w="691" w:type="pct"/>
            <w:tcBorders>
              <w:top w:val="nil"/>
              <w:left w:val="nil"/>
              <w:bottom w:val="nil"/>
              <w:right w:val="nil"/>
            </w:tcBorders>
          </w:tcPr>
          <w:p w14:paraId="13813918" w14:textId="77777777" w:rsidR="009362BF" w:rsidRPr="001823CC" w:rsidRDefault="009362BF" w:rsidP="00447611">
            <w:pPr>
              <w:pStyle w:val="Table"/>
              <w:rPr>
                <w:sz w:val="24"/>
              </w:rPr>
            </w:pPr>
            <w:r w:rsidRPr="001823CC">
              <w:rPr>
                <w:sz w:val="24"/>
              </w:rPr>
              <w:t>3</w:t>
            </w:r>
          </w:p>
        </w:tc>
        <w:tc>
          <w:tcPr>
            <w:tcW w:w="723" w:type="pct"/>
            <w:tcBorders>
              <w:top w:val="nil"/>
              <w:left w:val="nil"/>
              <w:bottom w:val="nil"/>
              <w:right w:val="nil"/>
            </w:tcBorders>
          </w:tcPr>
          <w:p w14:paraId="5F78058A" w14:textId="77777777" w:rsidR="009362BF" w:rsidRPr="001823CC" w:rsidRDefault="009362BF" w:rsidP="00447611">
            <w:pPr>
              <w:pStyle w:val="Table"/>
              <w:rPr>
                <w:sz w:val="24"/>
              </w:rPr>
            </w:pPr>
            <w:r w:rsidRPr="001823CC">
              <w:rPr>
                <w:sz w:val="24"/>
              </w:rPr>
              <w:t>1.9</w:t>
            </w:r>
          </w:p>
        </w:tc>
      </w:tr>
      <w:tr w:rsidR="009362BF" w:rsidRPr="001823CC" w14:paraId="497CF0DE" w14:textId="77777777" w:rsidTr="009362BF">
        <w:tc>
          <w:tcPr>
            <w:tcW w:w="3586" w:type="pct"/>
            <w:tcBorders>
              <w:top w:val="nil"/>
              <w:left w:val="nil"/>
              <w:bottom w:val="nil"/>
              <w:right w:val="nil"/>
            </w:tcBorders>
          </w:tcPr>
          <w:p w14:paraId="3E3164CA" w14:textId="77777777" w:rsidR="009362BF" w:rsidRPr="001823CC" w:rsidRDefault="009362BF" w:rsidP="00447611">
            <w:pPr>
              <w:pStyle w:val="Table"/>
              <w:rPr>
                <w:sz w:val="24"/>
              </w:rPr>
            </w:pPr>
            <w:r w:rsidRPr="001823CC">
              <w:rPr>
                <w:sz w:val="24"/>
                <w:lang w:val="el-GR"/>
              </w:rPr>
              <w:t>Δ</w:t>
            </w:r>
            <w:r w:rsidRPr="001823CC">
              <w:rPr>
                <w:sz w:val="24"/>
              </w:rPr>
              <w:t>AUDIT(2-0), age, sex</w:t>
            </w:r>
          </w:p>
        </w:tc>
        <w:tc>
          <w:tcPr>
            <w:tcW w:w="691" w:type="pct"/>
            <w:tcBorders>
              <w:top w:val="nil"/>
              <w:left w:val="nil"/>
              <w:bottom w:val="nil"/>
              <w:right w:val="nil"/>
            </w:tcBorders>
          </w:tcPr>
          <w:p w14:paraId="07F47D57" w14:textId="77777777" w:rsidR="009362BF" w:rsidRPr="001823CC" w:rsidRDefault="009362BF" w:rsidP="00447611">
            <w:pPr>
              <w:pStyle w:val="Table"/>
              <w:rPr>
                <w:sz w:val="24"/>
              </w:rPr>
            </w:pPr>
            <w:r w:rsidRPr="001823CC">
              <w:rPr>
                <w:sz w:val="24"/>
              </w:rPr>
              <w:t>2</w:t>
            </w:r>
          </w:p>
        </w:tc>
        <w:tc>
          <w:tcPr>
            <w:tcW w:w="723" w:type="pct"/>
            <w:tcBorders>
              <w:top w:val="nil"/>
              <w:left w:val="nil"/>
              <w:bottom w:val="nil"/>
              <w:right w:val="nil"/>
            </w:tcBorders>
          </w:tcPr>
          <w:p w14:paraId="497931EB" w14:textId="77777777" w:rsidR="009362BF" w:rsidRPr="001823CC" w:rsidRDefault="009362BF" w:rsidP="00447611">
            <w:pPr>
              <w:pStyle w:val="Table"/>
              <w:rPr>
                <w:sz w:val="24"/>
              </w:rPr>
            </w:pPr>
            <w:r w:rsidRPr="001823CC">
              <w:rPr>
                <w:sz w:val="24"/>
              </w:rPr>
              <w:t>1.0</w:t>
            </w:r>
          </w:p>
        </w:tc>
      </w:tr>
      <w:tr w:rsidR="009362BF" w:rsidRPr="001823CC" w14:paraId="40DEEDAA" w14:textId="77777777" w:rsidTr="009362BF">
        <w:tc>
          <w:tcPr>
            <w:tcW w:w="3586" w:type="pct"/>
            <w:tcBorders>
              <w:top w:val="nil"/>
              <w:left w:val="nil"/>
              <w:bottom w:val="nil"/>
              <w:right w:val="nil"/>
            </w:tcBorders>
          </w:tcPr>
          <w:p w14:paraId="59314F16" w14:textId="77777777" w:rsidR="009362BF" w:rsidRPr="001823CC" w:rsidRDefault="009362BF" w:rsidP="00447611">
            <w:pPr>
              <w:pStyle w:val="Table"/>
              <w:rPr>
                <w:sz w:val="24"/>
                <w:lang w:val="en-GB"/>
              </w:rPr>
            </w:pPr>
            <w:r w:rsidRPr="001823CC">
              <w:rPr>
                <w:sz w:val="24"/>
                <w:lang w:val="el-GR"/>
              </w:rPr>
              <w:t>Δ</w:t>
            </w:r>
            <w:r w:rsidRPr="001823CC">
              <w:rPr>
                <w:sz w:val="24"/>
                <w:lang w:val="en-GB"/>
              </w:rPr>
              <w:t>AUDIT(2-0), age, sex, urgency, premeditation, perseveration, sensation seeking</w:t>
            </w:r>
          </w:p>
        </w:tc>
        <w:tc>
          <w:tcPr>
            <w:tcW w:w="691" w:type="pct"/>
            <w:tcBorders>
              <w:top w:val="nil"/>
              <w:left w:val="nil"/>
              <w:bottom w:val="nil"/>
              <w:right w:val="nil"/>
            </w:tcBorders>
          </w:tcPr>
          <w:p w14:paraId="53B3E20C" w14:textId="77777777" w:rsidR="009362BF" w:rsidRPr="001823CC" w:rsidRDefault="009362BF" w:rsidP="00447611">
            <w:pPr>
              <w:pStyle w:val="Table"/>
              <w:rPr>
                <w:sz w:val="24"/>
              </w:rPr>
            </w:pPr>
            <w:r w:rsidRPr="001823CC">
              <w:rPr>
                <w:sz w:val="24"/>
              </w:rPr>
              <w:t>16</w:t>
            </w:r>
          </w:p>
        </w:tc>
        <w:tc>
          <w:tcPr>
            <w:tcW w:w="723" w:type="pct"/>
            <w:tcBorders>
              <w:top w:val="nil"/>
              <w:left w:val="nil"/>
              <w:bottom w:val="nil"/>
              <w:right w:val="nil"/>
            </w:tcBorders>
          </w:tcPr>
          <w:p w14:paraId="36F3C525" w14:textId="77777777" w:rsidR="009362BF" w:rsidRPr="001823CC" w:rsidRDefault="009362BF" w:rsidP="00447611">
            <w:pPr>
              <w:pStyle w:val="Table"/>
              <w:rPr>
                <w:sz w:val="24"/>
              </w:rPr>
            </w:pPr>
            <w:r w:rsidRPr="001823CC">
              <w:rPr>
                <w:sz w:val="24"/>
              </w:rPr>
              <w:t>1.6</w:t>
            </w:r>
          </w:p>
        </w:tc>
      </w:tr>
      <w:tr w:rsidR="009362BF" w:rsidRPr="001823CC" w14:paraId="7E31981E" w14:textId="77777777" w:rsidTr="009362BF">
        <w:tc>
          <w:tcPr>
            <w:tcW w:w="3586" w:type="pct"/>
            <w:tcBorders>
              <w:top w:val="nil"/>
              <w:left w:val="nil"/>
              <w:right w:val="nil"/>
            </w:tcBorders>
          </w:tcPr>
          <w:p w14:paraId="435068B3" w14:textId="77777777" w:rsidR="009362BF" w:rsidRPr="001823CC" w:rsidRDefault="009362BF" w:rsidP="00447611">
            <w:pPr>
              <w:pStyle w:val="Table"/>
              <w:rPr>
                <w:sz w:val="24"/>
                <w:lang w:val="en-GB"/>
              </w:rPr>
            </w:pPr>
            <w:r w:rsidRPr="001823CC">
              <w:rPr>
                <w:sz w:val="24"/>
                <w:lang w:val="el-GR"/>
              </w:rPr>
              <w:t>Δ</w:t>
            </w:r>
            <w:r w:rsidRPr="001823CC">
              <w:rPr>
                <w:sz w:val="24"/>
                <w:lang w:val="en-GB"/>
              </w:rPr>
              <w:t xml:space="preserve">AUDIT(2-0), age, sex, </w:t>
            </w:r>
            <w:r w:rsidRPr="001823CC">
              <w:rPr>
                <w:sz w:val="24"/>
                <w:lang w:val="el-GR"/>
              </w:rPr>
              <w:t>Δ</w:t>
            </w:r>
            <w:r w:rsidRPr="001823CC">
              <w:rPr>
                <w:sz w:val="24"/>
                <w:lang w:val="en-GB"/>
              </w:rPr>
              <w:t xml:space="preserve">CUDIT(2-0), </w:t>
            </w:r>
            <w:r w:rsidRPr="001823CC">
              <w:rPr>
                <w:sz w:val="24"/>
                <w:lang w:val="el-GR"/>
              </w:rPr>
              <w:t>Δ</w:t>
            </w:r>
            <w:r w:rsidRPr="001823CC">
              <w:rPr>
                <w:sz w:val="24"/>
                <w:lang w:val="en-GB"/>
              </w:rPr>
              <w:t xml:space="preserve">DUDIT(2-0), </w:t>
            </w:r>
            <w:r w:rsidRPr="001823CC">
              <w:rPr>
                <w:sz w:val="24"/>
                <w:lang w:val="el-GR"/>
              </w:rPr>
              <w:t>Δ</w:t>
            </w:r>
            <w:r w:rsidRPr="001823CC">
              <w:rPr>
                <w:sz w:val="24"/>
                <w:lang w:val="en-GB"/>
              </w:rPr>
              <w:t xml:space="preserve">IGD(2-0), </w:t>
            </w:r>
            <w:r w:rsidRPr="001823CC">
              <w:rPr>
                <w:sz w:val="24"/>
                <w:lang w:val="el-GR"/>
              </w:rPr>
              <w:t>Δ</w:t>
            </w:r>
            <w:r w:rsidRPr="001823CC">
              <w:rPr>
                <w:sz w:val="24"/>
                <w:lang w:val="en-GB"/>
              </w:rPr>
              <w:t xml:space="preserve">PCQ(2-0), </w:t>
            </w:r>
            <w:r w:rsidRPr="001823CC">
              <w:rPr>
                <w:sz w:val="24"/>
                <w:lang w:val="el-GR"/>
              </w:rPr>
              <w:t>Δ</w:t>
            </w:r>
            <w:r w:rsidRPr="001823CC">
              <w:rPr>
                <w:sz w:val="24"/>
                <w:lang w:val="en-GB"/>
              </w:rPr>
              <w:t>BES(2-0)</w:t>
            </w:r>
          </w:p>
        </w:tc>
        <w:tc>
          <w:tcPr>
            <w:tcW w:w="691" w:type="pct"/>
            <w:tcBorders>
              <w:top w:val="nil"/>
              <w:left w:val="nil"/>
              <w:right w:val="nil"/>
            </w:tcBorders>
          </w:tcPr>
          <w:p w14:paraId="7ECD81FA" w14:textId="77777777" w:rsidR="009362BF" w:rsidRPr="001823CC" w:rsidRDefault="009362BF" w:rsidP="00447611">
            <w:pPr>
              <w:pStyle w:val="Table"/>
              <w:rPr>
                <w:sz w:val="24"/>
              </w:rPr>
            </w:pPr>
            <w:r w:rsidRPr="001823CC">
              <w:rPr>
                <w:sz w:val="24"/>
              </w:rPr>
              <w:t>4</w:t>
            </w:r>
          </w:p>
        </w:tc>
        <w:tc>
          <w:tcPr>
            <w:tcW w:w="723" w:type="pct"/>
            <w:tcBorders>
              <w:top w:val="nil"/>
              <w:left w:val="nil"/>
              <w:right w:val="nil"/>
            </w:tcBorders>
          </w:tcPr>
          <w:p w14:paraId="2D0043B1" w14:textId="77777777" w:rsidR="009362BF" w:rsidRPr="001823CC" w:rsidRDefault="009362BF" w:rsidP="00447611">
            <w:pPr>
              <w:pStyle w:val="Table"/>
              <w:rPr>
                <w:sz w:val="24"/>
              </w:rPr>
            </w:pPr>
            <w:r w:rsidRPr="001823CC">
              <w:rPr>
                <w:sz w:val="24"/>
              </w:rPr>
              <w:t>1.1</w:t>
            </w:r>
          </w:p>
        </w:tc>
      </w:tr>
    </w:tbl>
    <w:p w14:paraId="4FA5A74A" w14:textId="77777777" w:rsidR="009362BF" w:rsidRPr="001823CC" w:rsidRDefault="009362BF" w:rsidP="009362BF">
      <w:pPr>
        <w:rPr>
          <w:rFonts w:ascii="Times New Roman" w:hAnsi="Times New Roman" w:cs="Times New Roman"/>
          <w:b/>
          <w:sz w:val="24"/>
          <w:szCs w:val="24"/>
        </w:rPr>
      </w:pPr>
    </w:p>
    <w:p w14:paraId="210FAD68" w14:textId="77777777" w:rsidR="009362BF" w:rsidRPr="001823CC" w:rsidRDefault="009362BF" w:rsidP="00054133">
      <w:pPr>
        <w:spacing w:after="0" w:line="480" w:lineRule="auto"/>
        <w:contextualSpacing/>
        <w:rPr>
          <w:rFonts w:ascii="Times New Roman" w:hAnsi="Times New Roman" w:cs="Times New Roman"/>
          <w:sz w:val="24"/>
          <w:szCs w:val="24"/>
        </w:rPr>
      </w:pPr>
    </w:p>
    <w:p w14:paraId="717C3B5B" w14:textId="77777777" w:rsidR="00281B0A" w:rsidRPr="001823CC" w:rsidRDefault="00281B0A" w:rsidP="009362BF">
      <w:pPr>
        <w:spacing w:after="0" w:line="480" w:lineRule="auto"/>
        <w:rPr>
          <w:rFonts w:ascii="Times New Roman" w:hAnsi="Times New Roman" w:cs="Times New Roman"/>
          <w:b/>
          <w:sz w:val="24"/>
          <w:szCs w:val="24"/>
        </w:rPr>
      </w:pPr>
    </w:p>
    <w:p w14:paraId="45FE0453" w14:textId="77777777" w:rsidR="00281B0A" w:rsidRPr="001823CC" w:rsidRDefault="00281B0A" w:rsidP="009362BF">
      <w:pPr>
        <w:spacing w:after="0" w:line="480" w:lineRule="auto"/>
        <w:rPr>
          <w:rFonts w:ascii="Times New Roman" w:hAnsi="Times New Roman" w:cs="Times New Roman"/>
          <w:b/>
          <w:sz w:val="24"/>
          <w:szCs w:val="24"/>
        </w:rPr>
      </w:pPr>
    </w:p>
    <w:p w14:paraId="3CF8BE24" w14:textId="77777777" w:rsidR="00281B0A" w:rsidRPr="001823CC" w:rsidRDefault="00281B0A" w:rsidP="009362BF">
      <w:pPr>
        <w:spacing w:after="0" w:line="480" w:lineRule="auto"/>
        <w:rPr>
          <w:rFonts w:ascii="Times New Roman" w:hAnsi="Times New Roman" w:cs="Times New Roman"/>
          <w:b/>
          <w:sz w:val="24"/>
          <w:szCs w:val="24"/>
        </w:rPr>
      </w:pPr>
    </w:p>
    <w:p w14:paraId="2DA34AB0" w14:textId="77777777" w:rsidR="00281B0A" w:rsidRPr="001823CC" w:rsidRDefault="00281B0A" w:rsidP="009362BF">
      <w:pPr>
        <w:spacing w:after="0" w:line="480" w:lineRule="auto"/>
        <w:rPr>
          <w:rFonts w:ascii="Times New Roman" w:hAnsi="Times New Roman" w:cs="Times New Roman"/>
          <w:b/>
          <w:sz w:val="24"/>
          <w:szCs w:val="24"/>
        </w:rPr>
      </w:pPr>
    </w:p>
    <w:p w14:paraId="6C751315" w14:textId="77777777" w:rsidR="00281B0A" w:rsidRPr="001823CC" w:rsidRDefault="00281B0A" w:rsidP="009362BF">
      <w:pPr>
        <w:spacing w:after="0" w:line="480" w:lineRule="auto"/>
        <w:rPr>
          <w:rFonts w:ascii="Times New Roman" w:hAnsi="Times New Roman" w:cs="Times New Roman"/>
          <w:b/>
          <w:sz w:val="24"/>
          <w:szCs w:val="24"/>
        </w:rPr>
      </w:pPr>
    </w:p>
    <w:p w14:paraId="626A01F7" w14:textId="77777777" w:rsidR="00281B0A" w:rsidRPr="001823CC" w:rsidRDefault="00281B0A" w:rsidP="009362BF">
      <w:pPr>
        <w:spacing w:after="0" w:line="480" w:lineRule="auto"/>
        <w:rPr>
          <w:rFonts w:ascii="Times New Roman" w:hAnsi="Times New Roman" w:cs="Times New Roman"/>
          <w:b/>
          <w:sz w:val="24"/>
          <w:szCs w:val="24"/>
        </w:rPr>
      </w:pPr>
    </w:p>
    <w:p w14:paraId="17DA4BF5" w14:textId="77777777" w:rsidR="00281B0A" w:rsidRPr="001823CC" w:rsidRDefault="00281B0A" w:rsidP="009362BF">
      <w:pPr>
        <w:spacing w:after="0" w:line="480" w:lineRule="auto"/>
        <w:rPr>
          <w:rFonts w:ascii="Times New Roman" w:hAnsi="Times New Roman" w:cs="Times New Roman"/>
          <w:b/>
          <w:sz w:val="24"/>
          <w:szCs w:val="24"/>
        </w:rPr>
      </w:pPr>
    </w:p>
    <w:p w14:paraId="2CA0A6B5" w14:textId="77777777" w:rsidR="00281B0A" w:rsidRPr="001823CC" w:rsidRDefault="00281B0A" w:rsidP="009362BF">
      <w:pPr>
        <w:spacing w:after="0" w:line="480" w:lineRule="auto"/>
        <w:rPr>
          <w:rFonts w:ascii="Times New Roman" w:hAnsi="Times New Roman" w:cs="Times New Roman"/>
          <w:b/>
          <w:sz w:val="24"/>
          <w:szCs w:val="24"/>
        </w:rPr>
      </w:pPr>
    </w:p>
    <w:p w14:paraId="2A284A24" w14:textId="77777777" w:rsidR="00281B0A" w:rsidRPr="001823CC" w:rsidRDefault="00281B0A" w:rsidP="009362BF">
      <w:pPr>
        <w:spacing w:after="0" w:line="480" w:lineRule="auto"/>
        <w:rPr>
          <w:rFonts w:ascii="Times New Roman" w:hAnsi="Times New Roman" w:cs="Times New Roman"/>
          <w:b/>
          <w:sz w:val="24"/>
          <w:szCs w:val="24"/>
        </w:rPr>
      </w:pPr>
    </w:p>
    <w:p w14:paraId="66B11F7E" w14:textId="77777777" w:rsidR="00281B0A" w:rsidRPr="001823CC" w:rsidRDefault="00281B0A" w:rsidP="009362BF">
      <w:pPr>
        <w:spacing w:after="0" w:line="480" w:lineRule="auto"/>
        <w:rPr>
          <w:rFonts w:ascii="Times New Roman" w:hAnsi="Times New Roman" w:cs="Times New Roman"/>
          <w:b/>
          <w:sz w:val="24"/>
          <w:szCs w:val="24"/>
        </w:rPr>
      </w:pPr>
    </w:p>
    <w:p w14:paraId="34120B80" w14:textId="77777777" w:rsidR="00077780" w:rsidRPr="001823CC" w:rsidRDefault="00077780" w:rsidP="009362BF">
      <w:pPr>
        <w:spacing w:after="0" w:line="480" w:lineRule="auto"/>
        <w:rPr>
          <w:rFonts w:ascii="Times New Roman" w:hAnsi="Times New Roman" w:cs="Times New Roman"/>
          <w:b/>
          <w:sz w:val="24"/>
          <w:szCs w:val="24"/>
        </w:rPr>
      </w:pPr>
    </w:p>
    <w:p w14:paraId="33500877" w14:textId="77777777" w:rsidR="00077780" w:rsidRPr="001823CC" w:rsidRDefault="00077780" w:rsidP="009362BF">
      <w:pPr>
        <w:spacing w:after="0" w:line="480" w:lineRule="auto"/>
        <w:rPr>
          <w:rFonts w:ascii="Times New Roman" w:hAnsi="Times New Roman" w:cs="Times New Roman"/>
          <w:b/>
          <w:sz w:val="24"/>
          <w:szCs w:val="24"/>
        </w:rPr>
      </w:pPr>
    </w:p>
    <w:p w14:paraId="20618457" w14:textId="77777777" w:rsidR="00077780" w:rsidRPr="001823CC" w:rsidRDefault="00077780" w:rsidP="009362BF">
      <w:pPr>
        <w:spacing w:after="0" w:line="480" w:lineRule="auto"/>
        <w:rPr>
          <w:rFonts w:ascii="Times New Roman" w:hAnsi="Times New Roman" w:cs="Times New Roman"/>
          <w:b/>
          <w:sz w:val="24"/>
          <w:szCs w:val="24"/>
        </w:rPr>
      </w:pPr>
    </w:p>
    <w:p w14:paraId="581EBF8B" w14:textId="77777777" w:rsidR="00077780" w:rsidRPr="001823CC" w:rsidRDefault="00077780" w:rsidP="009362BF">
      <w:pPr>
        <w:spacing w:after="0" w:line="480" w:lineRule="auto"/>
        <w:rPr>
          <w:rFonts w:ascii="Times New Roman" w:hAnsi="Times New Roman" w:cs="Times New Roman"/>
          <w:b/>
          <w:sz w:val="24"/>
          <w:szCs w:val="24"/>
        </w:rPr>
      </w:pPr>
    </w:p>
    <w:p w14:paraId="0F04B210" w14:textId="77777777" w:rsidR="009362BF" w:rsidRPr="001823CC" w:rsidRDefault="009362BF" w:rsidP="009362BF">
      <w:pPr>
        <w:spacing w:after="0" w:line="480" w:lineRule="auto"/>
        <w:rPr>
          <w:rFonts w:ascii="Times New Roman" w:hAnsi="Times New Roman" w:cs="Times New Roman"/>
          <w:b/>
          <w:sz w:val="24"/>
          <w:szCs w:val="24"/>
        </w:rPr>
      </w:pPr>
      <w:bookmarkStart w:id="11" w:name="_GoBack"/>
      <w:bookmarkEnd w:id="11"/>
      <w:r w:rsidRPr="001823CC">
        <w:rPr>
          <w:rFonts w:ascii="Times New Roman" w:hAnsi="Times New Roman" w:cs="Times New Roman"/>
          <w:b/>
          <w:sz w:val="24"/>
          <w:szCs w:val="24"/>
        </w:rPr>
        <w:lastRenderedPageBreak/>
        <w:t>Supplementary Figure 1</w:t>
      </w:r>
    </w:p>
    <w:p w14:paraId="422FC264" w14:textId="77777777" w:rsidR="009362BF" w:rsidRPr="001823CC" w:rsidRDefault="009362BF" w:rsidP="009362BF">
      <w:pPr>
        <w:pStyle w:val="figure"/>
        <w:rPr>
          <w:rFonts w:ascii="Times New Roman" w:hAnsi="Times New Roman" w:cs="Times New Roman"/>
          <w:sz w:val="24"/>
          <w:szCs w:val="24"/>
        </w:rPr>
      </w:pPr>
      <w:r w:rsidRPr="001823CC">
        <w:rPr>
          <w:rFonts w:ascii="Times New Roman" w:hAnsi="Times New Roman" w:cs="Times New Roman"/>
          <w:sz w:val="24"/>
          <w:szCs w:val="24"/>
          <w:lang w:eastAsia="en-GB"/>
        </w:rPr>
        <w:drawing>
          <wp:inline distT="0" distB="0" distL="0" distR="0" wp14:anchorId="061A40A6" wp14:editId="382EE65D">
            <wp:extent cx="6184900" cy="2851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3.png"/>
                    <pic:cNvPicPr/>
                  </pic:nvPicPr>
                  <pic:blipFill>
                    <a:blip r:embed="rId4"/>
                    <a:stretch>
                      <a:fillRect/>
                    </a:stretch>
                  </pic:blipFill>
                  <pic:spPr>
                    <a:xfrm>
                      <a:off x="0" y="0"/>
                      <a:ext cx="6184900" cy="2851785"/>
                    </a:xfrm>
                    <a:prstGeom prst="rect">
                      <a:avLst/>
                    </a:prstGeom>
                  </pic:spPr>
                </pic:pic>
              </a:graphicData>
            </a:graphic>
          </wp:inline>
        </w:drawing>
      </w:r>
    </w:p>
    <w:p w14:paraId="3D41411B" w14:textId="77777777" w:rsidR="009362BF" w:rsidRPr="001823CC" w:rsidRDefault="009362BF" w:rsidP="009362BF">
      <w:pPr>
        <w:rPr>
          <w:rFonts w:ascii="Times New Roman" w:hAnsi="Times New Roman" w:cs="Times New Roman"/>
          <w:sz w:val="24"/>
          <w:szCs w:val="24"/>
        </w:rPr>
      </w:pPr>
    </w:p>
    <w:p w14:paraId="0B6B8D4A" w14:textId="77777777" w:rsidR="009362BF" w:rsidRPr="001823CC" w:rsidRDefault="009362BF" w:rsidP="009362BF">
      <w:pPr>
        <w:rPr>
          <w:rFonts w:ascii="Times New Roman" w:hAnsi="Times New Roman" w:cs="Times New Roman"/>
          <w:sz w:val="24"/>
          <w:szCs w:val="24"/>
        </w:rPr>
      </w:pPr>
    </w:p>
    <w:p w14:paraId="3818199D" w14:textId="77777777" w:rsidR="009362BF" w:rsidRPr="001823CC" w:rsidRDefault="009362BF" w:rsidP="009362BF">
      <w:pPr>
        <w:rPr>
          <w:rFonts w:ascii="Times New Roman" w:hAnsi="Times New Roman" w:cs="Times New Roman"/>
          <w:sz w:val="24"/>
          <w:szCs w:val="24"/>
        </w:rPr>
      </w:pPr>
    </w:p>
    <w:p w14:paraId="0F9B6BB0" w14:textId="77777777" w:rsidR="009362BF" w:rsidRPr="001823CC" w:rsidRDefault="009362BF" w:rsidP="009362BF">
      <w:pPr>
        <w:rPr>
          <w:rFonts w:ascii="Times New Roman" w:hAnsi="Times New Roman" w:cs="Times New Roman"/>
          <w:sz w:val="24"/>
          <w:szCs w:val="24"/>
        </w:rPr>
      </w:pPr>
    </w:p>
    <w:p w14:paraId="587EF5A2" w14:textId="77777777" w:rsidR="009362BF" w:rsidRPr="001823CC" w:rsidRDefault="009362BF" w:rsidP="009362BF">
      <w:pPr>
        <w:rPr>
          <w:rFonts w:ascii="Times New Roman" w:hAnsi="Times New Roman" w:cs="Times New Roman"/>
          <w:sz w:val="24"/>
          <w:szCs w:val="24"/>
        </w:rPr>
      </w:pPr>
    </w:p>
    <w:p w14:paraId="19A2389F" w14:textId="77777777" w:rsidR="009362BF" w:rsidRPr="001823CC" w:rsidRDefault="009362BF" w:rsidP="009362BF">
      <w:pPr>
        <w:rPr>
          <w:rFonts w:ascii="Times New Roman" w:hAnsi="Times New Roman" w:cs="Times New Roman"/>
          <w:sz w:val="24"/>
          <w:szCs w:val="24"/>
        </w:rPr>
      </w:pPr>
    </w:p>
    <w:p w14:paraId="7F62ED65" w14:textId="77777777" w:rsidR="009362BF" w:rsidRPr="001823CC" w:rsidRDefault="009362BF" w:rsidP="009362BF">
      <w:pPr>
        <w:rPr>
          <w:rFonts w:ascii="Times New Roman" w:hAnsi="Times New Roman" w:cs="Times New Roman"/>
          <w:sz w:val="24"/>
          <w:szCs w:val="24"/>
        </w:rPr>
      </w:pPr>
    </w:p>
    <w:p w14:paraId="113A4065" w14:textId="77777777" w:rsidR="00281B0A" w:rsidRPr="001823CC" w:rsidRDefault="00281B0A" w:rsidP="009362BF">
      <w:pPr>
        <w:rPr>
          <w:rFonts w:ascii="Times New Roman" w:hAnsi="Times New Roman" w:cs="Times New Roman"/>
          <w:sz w:val="24"/>
          <w:szCs w:val="24"/>
        </w:rPr>
      </w:pPr>
    </w:p>
    <w:p w14:paraId="02C50A2F" w14:textId="77777777" w:rsidR="00281B0A" w:rsidRPr="001823CC" w:rsidRDefault="00281B0A" w:rsidP="009362BF">
      <w:pPr>
        <w:rPr>
          <w:rFonts w:ascii="Times New Roman" w:hAnsi="Times New Roman" w:cs="Times New Roman"/>
          <w:sz w:val="24"/>
          <w:szCs w:val="24"/>
        </w:rPr>
      </w:pPr>
    </w:p>
    <w:p w14:paraId="5C2455FC" w14:textId="77777777" w:rsidR="00281B0A" w:rsidRPr="001823CC" w:rsidRDefault="00281B0A" w:rsidP="009362BF">
      <w:pPr>
        <w:rPr>
          <w:rFonts w:ascii="Times New Roman" w:hAnsi="Times New Roman" w:cs="Times New Roman"/>
          <w:sz w:val="24"/>
          <w:szCs w:val="24"/>
        </w:rPr>
      </w:pPr>
    </w:p>
    <w:p w14:paraId="79038521" w14:textId="77777777" w:rsidR="00281B0A" w:rsidRPr="001823CC" w:rsidRDefault="00281B0A" w:rsidP="009362BF">
      <w:pPr>
        <w:rPr>
          <w:rFonts w:ascii="Times New Roman" w:hAnsi="Times New Roman" w:cs="Times New Roman"/>
          <w:sz w:val="24"/>
          <w:szCs w:val="24"/>
        </w:rPr>
      </w:pPr>
    </w:p>
    <w:p w14:paraId="17173901" w14:textId="77777777" w:rsidR="00281B0A" w:rsidRPr="001823CC" w:rsidRDefault="00281B0A" w:rsidP="009362BF">
      <w:pPr>
        <w:rPr>
          <w:rFonts w:ascii="Times New Roman" w:hAnsi="Times New Roman" w:cs="Times New Roman"/>
          <w:sz w:val="24"/>
          <w:szCs w:val="24"/>
        </w:rPr>
      </w:pPr>
    </w:p>
    <w:p w14:paraId="70F29222" w14:textId="77777777" w:rsidR="00281B0A" w:rsidRPr="001823CC" w:rsidRDefault="00281B0A" w:rsidP="009362BF">
      <w:pPr>
        <w:rPr>
          <w:rFonts w:ascii="Times New Roman" w:hAnsi="Times New Roman" w:cs="Times New Roman"/>
          <w:sz w:val="24"/>
          <w:szCs w:val="24"/>
        </w:rPr>
      </w:pPr>
    </w:p>
    <w:p w14:paraId="24DD1A17" w14:textId="77777777" w:rsidR="00281B0A" w:rsidRPr="001823CC" w:rsidRDefault="00281B0A" w:rsidP="009362BF">
      <w:pPr>
        <w:rPr>
          <w:rFonts w:ascii="Times New Roman" w:hAnsi="Times New Roman" w:cs="Times New Roman"/>
          <w:sz w:val="24"/>
          <w:szCs w:val="24"/>
        </w:rPr>
      </w:pPr>
    </w:p>
    <w:p w14:paraId="513EA205" w14:textId="77777777" w:rsidR="00281B0A" w:rsidRPr="001823CC" w:rsidRDefault="00281B0A" w:rsidP="009362BF">
      <w:pPr>
        <w:rPr>
          <w:rFonts w:ascii="Times New Roman" w:hAnsi="Times New Roman" w:cs="Times New Roman"/>
          <w:sz w:val="24"/>
          <w:szCs w:val="24"/>
        </w:rPr>
      </w:pPr>
    </w:p>
    <w:p w14:paraId="6ADA8676" w14:textId="77777777" w:rsidR="009362BF" w:rsidRPr="001823CC" w:rsidRDefault="009362BF" w:rsidP="009362BF">
      <w:pPr>
        <w:rPr>
          <w:rFonts w:ascii="Times New Roman" w:hAnsi="Times New Roman" w:cs="Times New Roman"/>
          <w:sz w:val="24"/>
          <w:szCs w:val="24"/>
        </w:rPr>
      </w:pPr>
    </w:p>
    <w:p w14:paraId="5C65453E" w14:textId="61E8B6C8" w:rsidR="009362BF" w:rsidRPr="001823CC" w:rsidRDefault="009362BF" w:rsidP="009362BF">
      <w:pPr>
        <w:rPr>
          <w:rFonts w:ascii="Times New Roman" w:hAnsi="Times New Roman" w:cs="Times New Roman"/>
          <w:b/>
          <w:sz w:val="24"/>
          <w:szCs w:val="24"/>
        </w:rPr>
      </w:pPr>
      <w:r w:rsidRPr="001823CC">
        <w:rPr>
          <w:rFonts w:ascii="Times New Roman" w:hAnsi="Times New Roman" w:cs="Times New Roman"/>
          <w:b/>
          <w:sz w:val="24"/>
          <w:szCs w:val="24"/>
        </w:rPr>
        <w:lastRenderedPageBreak/>
        <w:t xml:space="preserve">Supplementary Figure 2 </w:t>
      </w:r>
      <w:r w:rsidRPr="001823CC">
        <w:rPr>
          <w:rFonts w:ascii="Times New Roman" w:hAnsi="Times New Roman" w:cs="Times New Roman"/>
          <w:noProof/>
          <w:sz w:val="24"/>
          <w:szCs w:val="24"/>
          <w:lang w:eastAsia="en-GB"/>
        </w:rPr>
        <w:drawing>
          <wp:inline distT="0" distB="0" distL="0" distR="0" wp14:anchorId="7A485141" wp14:editId="436211CA">
            <wp:extent cx="5219700" cy="2082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_audits copy.png"/>
                    <pic:cNvPicPr/>
                  </pic:nvPicPr>
                  <pic:blipFill>
                    <a:blip r:embed="rId5" cstate="print"/>
                    <a:stretch>
                      <a:fillRect/>
                    </a:stretch>
                  </pic:blipFill>
                  <pic:spPr>
                    <a:xfrm>
                      <a:off x="0" y="0"/>
                      <a:ext cx="5219700" cy="2082800"/>
                    </a:xfrm>
                    <a:prstGeom prst="rect">
                      <a:avLst/>
                    </a:prstGeom>
                  </pic:spPr>
                </pic:pic>
              </a:graphicData>
            </a:graphic>
          </wp:inline>
        </w:drawing>
      </w:r>
    </w:p>
    <w:p w14:paraId="7BB58655" w14:textId="77777777" w:rsidR="00D47B01" w:rsidRPr="001823CC" w:rsidRDefault="00D47B01" w:rsidP="009362BF">
      <w:pPr>
        <w:rPr>
          <w:rFonts w:ascii="Times New Roman" w:hAnsi="Times New Roman" w:cs="Times New Roman"/>
          <w:b/>
          <w:sz w:val="24"/>
          <w:szCs w:val="24"/>
        </w:rPr>
      </w:pPr>
    </w:p>
    <w:p w14:paraId="653C52C1" w14:textId="77777777" w:rsidR="00D47B01" w:rsidRPr="001823CC" w:rsidRDefault="00D47B01">
      <w:pPr>
        <w:spacing w:after="200" w:line="276" w:lineRule="auto"/>
        <w:rPr>
          <w:rFonts w:ascii="Times New Roman" w:hAnsi="Times New Roman" w:cs="Times New Roman"/>
          <w:b/>
          <w:sz w:val="24"/>
          <w:szCs w:val="24"/>
        </w:rPr>
      </w:pPr>
      <w:r w:rsidRPr="001823CC">
        <w:rPr>
          <w:rFonts w:ascii="Times New Roman" w:hAnsi="Times New Roman" w:cs="Times New Roman"/>
          <w:b/>
          <w:sz w:val="24"/>
          <w:szCs w:val="24"/>
        </w:rPr>
        <w:br w:type="page"/>
      </w:r>
    </w:p>
    <w:p w14:paraId="37B90BEB" w14:textId="7DEF6D2D" w:rsidR="00D47B01" w:rsidRPr="001823CC" w:rsidRDefault="00D47B01" w:rsidP="009362BF">
      <w:pPr>
        <w:rPr>
          <w:rFonts w:ascii="Times New Roman" w:hAnsi="Times New Roman" w:cs="Times New Roman"/>
          <w:sz w:val="24"/>
          <w:szCs w:val="24"/>
        </w:rPr>
      </w:pPr>
      <w:r w:rsidRPr="001823CC">
        <w:rPr>
          <w:rFonts w:ascii="Times New Roman" w:hAnsi="Times New Roman" w:cs="Times New Roman"/>
          <w:b/>
          <w:sz w:val="24"/>
          <w:szCs w:val="24"/>
        </w:rPr>
        <w:lastRenderedPageBreak/>
        <w:t>Supplementary Figure 3</w:t>
      </w:r>
    </w:p>
    <w:p w14:paraId="0BED3DB9" w14:textId="77777777" w:rsidR="00D47B01" w:rsidRPr="001823CC" w:rsidRDefault="00D47B01" w:rsidP="00D47B01">
      <w:pPr>
        <w:pStyle w:val="review"/>
        <w:rPr>
          <w:rFonts w:ascii="Times New Roman" w:hAnsi="Times New Roman" w:cs="Times New Roman"/>
          <w:sz w:val="24"/>
          <w:szCs w:val="24"/>
          <w:lang w:val="en-US"/>
        </w:rPr>
      </w:pPr>
      <w:r w:rsidRPr="001823CC">
        <w:rPr>
          <w:rFonts w:ascii="Times New Roman" w:hAnsi="Times New Roman" w:cs="Times New Roman"/>
          <w:noProof/>
          <w:sz w:val="24"/>
          <w:szCs w:val="24"/>
          <w:lang w:val="en-US"/>
        </w:rPr>
        <w:drawing>
          <wp:inline distT="0" distB="0" distL="0" distR="0" wp14:anchorId="7D1E23E9" wp14:editId="0854944A">
            <wp:extent cx="5731510" cy="1518920"/>
            <wp:effectExtent l="0" t="0" r="0" b="5080"/>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_R1.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518920"/>
                    </a:xfrm>
                    <a:prstGeom prst="rect">
                      <a:avLst/>
                    </a:prstGeom>
                  </pic:spPr>
                </pic:pic>
              </a:graphicData>
            </a:graphic>
          </wp:inline>
        </w:drawing>
      </w:r>
    </w:p>
    <w:sectPr w:rsidR="00D47B01" w:rsidRPr="001823CC" w:rsidSect="00061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Hebrew">
    <w:altName w:val="Times New Roman"/>
    <w:panose1 w:val="00000000000000000000"/>
    <w:charset w:val="B1"/>
    <w:family w:val="roman"/>
    <w:notTrueType/>
    <w:pitch w:val="variable"/>
    <w:sig w:usb0="8000086F" w:usb1="4000204A" w:usb2="00000000" w:usb3="00000000" w:csb0="0000002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BF"/>
    <w:rsid w:val="000039BF"/>
    <w:rsid w:val="00054133"/>
    <w:rsid w:val="000613B5"/>
    <w:rsid w:val="00061DC7"/>
    <w:rsid w:val="00077780"/>
    <w:rsid w:val="000B0330"/>
    <w:rsid w:val="000D7521"/>
    <w:rsid w:val="000E5118"/>
    <w:rsid w:val="001823CC"/>
    <w:rsid w:val="001A282D"/>
    <w:rsid w:val="002060C3"/>
    <w:rsid w:val="00281B0A"/>
    <w:rsid w:val="002D067C"/>
    <w:rsid w:val="002D50BF"/>
    <w:rsid w:val="00346759"/>
    <w:rsid w:val="003B5AD8"/>
    <w:rsid w:val="00447611"/>
    <w:rsid w:val="004A0966"/>
    <w:rsid w:val="004A7975"/>
    <w:rsid w:val="005D0C7E"/>
    <w:rsid w:val="00615C4E"/>
    <w:rsid w:val="006473FA"/>
    <w:rsid w:val="00685BC8"/>
    <w:rsid w:val="007C580B"/>
    <w:rsid w:val="007E2C9F"/>
    <w:rsid w:val="0086355C"/>
    <w:rsid w:val="008E3EDE"/>
    <w:rsid w:val="009362BF"/>
    <w:rsid w:val="009555B6"/>
    <w:rsid w:val="009A254F"/>
    <w:rsid w:val="009C6E98"/>
    <w:rsid w:val="009E36FA"/>
    <w:rsid w:val="009E3A0B"/>
    <w:rsid w:val="00A17EF4"/>
    <w:rsid w:val="00A30083"/>
    <w:rsid w:val="00A46E83"/>
    <w:rsid w:val="00A565AF"/>
    <w:rsid w:val="00AB14C0"/>
    <w:rsid w:val="00AF339E"/>
    <w:rsid w:val="00B22F18"/>
    <w:rsid w:val="00B6689C"/>
    <w:rsid w:val="00C378AE"/>
    <w:rsid w:val="00D0697B"/>
    <w:rsid w:val="00D47B01"/>
    <w:rsid w:val="00DA3839"/>
    <w:rsid w:val="00DC7FAA"/>
    <w:rsid w:val="00E31BCC"/>
    <w:rsid w:val="00E42760"/>
    <w:rsid w:val="00E944A7"/>
    <w:rsid w:val="00EA7930"/>
    <w:rsid w:val="00FA1507"/>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305C"/>
  <w15:docId w15:val="{2C8F9C18-0018-46C0-8926-A40926C1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B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autoRedefine/>
    <w:qFormat/>
    <w:rsid w:val="00447611"/>
    <w:pPr>
      <w:spacing w:line="276" w:lineRule="auto"/>
      <w:jc w:val="both"/>
    </w:pPr>
    <w:rPr>
      <w:rFonts w:ascii="Times New Roman" w:eastAsia="Times New Roman" w:hAnsi="Times New Roman" w:cs="Times New Roman"/>
      <w:color w:val="000000"/>
      <w:sz w:val="18"/>
      <w:szCs w:val="24"/>
      <w:lang w:val="de-DE" w:eastAsia="ko-KR"/>
    </w:rPr>
  </w:style>
  <w:style w:type="character" w:styleId="CommentReference">
    <w:name w:val="annotation reference"/>
    <w:basedOn w:val="DefaultParagraphFont"/>
    <w:uiPriority w:val="99"/>
    <w:semiHidden/>
    <w:unhideWhenUsed/>
    <w:rsid w:val="009362BF"/>
    <w:rPr>
      <w:sz w:val="18"/>
      <w:szCs w:val="18"/>
    </w:rPr>
  </w:style>
  <w:style w:type="character" w:customStyle="1" w:styleId="CommentTextChar">
    <w:name w:val="Comment Text Char"/>
    <w:basedOn w:val="DefaultParagraphFont"/>
    <w:link w:val="CommentText"/>
    <w:uiPriority w:val="99"/>
    <w:rsid w:val="009362BF"/>
    <w:rPr>
      <w:rFonts w:ascii="Adobe Hebrew" w:hAnsi="Adobe Hebrew"/>
    </w:rPr>
  </w:style>
  <w:style w:type="paragraph" w:styleId="CommentText">
    <w:name w:val="annotation text"/>
    <w:basedOn w:val="Normal"/>
    <w:link w:val="CommentTextChar"/>
    <w:uiPriority w:val="99"/>
    <w:unhideWhenUsed/>
    <w:rsid w:val="009362BF"/>
    <w:rPr>
      <w:rFonts w:ascii="Adobe Hebrew" w:hAnsi="Adobe Hebrew"/>
    </w:rPr>
  </w:style>
  <w:style w:type="character" w:customStyle="1" w:styleId="CommentTextChar1">
    <w:name w:val="Comment Text Char1"/>
    <w:basedOn w:val="DefaultParagraphFont"/>
    <w:uiPriority w:val="99"/>
    <w:semiHidden/>
    <w:rsid w:val="009362BF"/>
    <w:rPr>
      <w:sz w:val="20"/>
      <w:szCs w:val="20"/>
    </w:rPr>
  </w:style>
  <w:style w:type="table" w:customStyle="1" w:styleId="GridTable1Light1">
    <w:name w:val="Grid Table 1 Light1"/>
    <w:basedOn w:val="TableNormal"/>
    <w:uiPriority w:val="46"/>
    <w:rsid w:val="009362BF"/>
    <w:pPr>
      <w:spacing w:after="0" w:line="240" w:lineRule="auto"/>
    </w:pPr>
    <w:rPr>
      <w:rFonts w:eastAsiaTheme="minorEastAsia"/>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36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2BF"/>
    <w:rPr>
      <w:rFonts w:ascii="Tahoma" w:hAnsi="Tahoma" w:cs="Tahoma"/>
      <w:sz w:val="16"/>
      <w:szCs w:val="16"/>
    </w:rPr>
  </w:style>
  <w:style w:type="table" w:styleId="TableGrid">
    <w:name w:val="Table Grid"/>
    <w:basedOn w:val="TableNormal"/>
    <w:uiPriority w:val="59"/>
    <w:rsid w:val="009362B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62BF"/>
    <w:pPr>
      <w:autoSpaceDE w:val="0"/>
      <w:autoSpaceDN w:val="0"/>
      <w:adjustRightInd w:val="0"/>
      <w:spacing w:after="0" w:line="240" w:lineRule="auto"/>
    </w:pPr>
    <w:rPr>
      <w:rFonts w:ascii="Book Antiqua" w:hAnsi="Book Antiqua" w:cs="Book Antiqua"/>
      <w:color w:val="000000"/>
      <w:sz w:val="24"/>
      <w:szCs w:val="24"/>
    </w:rPr>
  </w:style>
  <w:style w:type="paragraph" w:styleId="CommentSubject">
    <w:name w:val="annotation subject"/>
    <w:basedOn w:val="CommentText"/>
    <w:next w:val="CommentText"/>
    <w:link w:val="CommentSubjectChar"/>
    <w:uiPriority w:val="99"/>
    <w:semiHidden/>
    <w:unhideWhenUsed/>
    <w:rsid w:val="009362BF"/>
    <w:pPr>
      <w:spacing w:line="240" w:lineRule="auto"/>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9362BF"/>
    <w:rPr>
      <w:rFonts w:ascii="Adobe Hebrew" w:hAnsi="Adobe Hebrew"/>
      <w:b/>
      <w:bCs/>
      <w:sz w:val="20"/>
      <w:szCs w:val="20"/>
    </w:rPr>
  </w:style>
  <w:style w:type="paragraph" w:styleId="Revision">
    <w:name w:val="Revision"/>
    <w:hidden/>
    <w:uiPriority w:val="99"/>
    <w:semiHidden/>
    <w:rsid w:val="009362BF"/>
    <w:pPr>
      <w:spacing w:after="0" w:line="240" w:lineRule="auto"/>
    </w:pPr>
  </w:style>
  <w:style w:type="paragraph" w:styleId="Caption">
    <w:name w:val="caption"/>
    <w:basedOn w:val="Normal"/>
    <w:next w:val="Normal"/>
    <w:autoRedefine/>
    <w:uiPriority w:val="35"/>
    <w:unhideWhenUsed/>
    <w:qFormat/>
    <w:rsid w:val="009362BF"/>
    <w:pPr>
      <w:spacing w:after="0" w:line="480" w:lineRule="auto"/>
      <w:contextualSpacing/>
    </w:pPr>
    <w:rPr>
      <w:rFonts w:ascii="Times New Roman" w:eastAsia="Malgun Gothic" w:hAnsi="Times New Roman" w:cs="Times New Roman"/>
      <w:sz w:val="24"/>
      <w:szCs w:val="24"/>
      <w:lang w:eastAsia="ko-KR"/>
    </w:rPr>
  </w:style>
  <w:style w:type="paragraph" w:customStyle="1" w:styleId="figure">
    <w:name w:val="figure"/>
    <w:basedOn w:val="Normal"/>
    <w:next w:val="Normal"/>
    <w:qFormat/>
    <w:rsid w:val="009362BF"/>
    <w:pPr>
      <w:spacing w:before="400"/>
      <w:jc w:val="center"/>
    </w:pPr>
    <w:rPr>
      <w:noProof/>
    </w:rPr>
  </w:style>
  <w:style w:type="paragraph" w:customStyle="1" w:styleId="review">
    <w:name w:val="review"/>
    <w:basedOn w:val="Normal"/>
    <w:qFormat/>
    <w:rsid w:val="00D47B01"/>
    <w:rPr>
      <w:i/>
      <w:iCs/>
    </w:rPr>
  </w:style>
  <w:style w:type="paragraph" w:customStyle="1" w:styleId="2ndparagraphs">
    <w:name w:val="2nd paragraphs"/>
    <w:basedOn w:val="Normal"/>
    <w:autoRedefine/>
    <w:qFormat/>
    <w:rsid w:val="009A254F"/>
    <w:pPr>
      <w:spacing w:after="0" w:line="480" w:lineRule="auto"/>
      <w:contextualSpacing/>
    </w:pPr>
    <w:rPr>
      <w:rFonts w:ascii="Times New Roman" w:eastAsia="Malgun Gothic" w:hAnsi="Times New Roman" w:cs="Times New Roman"/>
    </w:rPr>
  </w:style>
  <w:style w:type="paragraph" w:customStyle="1" w:styleId="Heading1">
    <w:name w:val="Heading1"/>
    <w:basedOn w:val="Normal"/>
    <w:qFormat/>
    <w:rsid w:val="001823CC"/>
    <w:pPr>
      <w:spacing w:after="0" w:line="480" w:lineRule="auto"/>
      <w:contextualSpacing/>
    </w:pPr>
    <w:rPr>
      <w:rFonts w:ascii="Times New Roman" w:hAnsi="Times New Roman" w:cs="Times New Roman"/>
      <w:b/>
      <w:lang w:val="en-US"/>
    </w:rPr>
  </w:style>
  <w:style w:type="character" w:styleId="LineNumber">
    <w:name w:val="line number"/>
    <w:basedOn w:val="DefaultParagraphFont"/>
    <w:uiPriority w:val="99"/>
    <w:semiHidden/>
    <w:unhideWhenUsed/>
    <w:rsid w:val="004A7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2227</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kathrin</dc:creator>
  <cp:lastModifiedBy>kathrin</cp:lastModifiedBy>
  <cp:revision>4</cp:revision>
  <dcterms:created xsi:type="dcterms:W3CDTF">2020-03-07T17:46:00Z</dcterms:created>
  <dcterms:modified xsi:type="dcterms:W3CDTF">2020-03-07T19:05:00Z</dcterms:modified>
</cp:coreProperties>
</file>