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1273" w14:textId="77777777" w:rsidR="00EE69F6" w:rsidRDefault="00EE69F6" w:rsidP="0018094C">
      <w:pPr>
        <w:rPr>
          <w:rFonts w:eastAsia="Calibri" w:cs="Calibri"/>
          <w:b/>
          <w:color w:val="000000"/>
          <w:sz w:val="36"/>
          <w:szCs w:val="36"/>
          <w:u w:color="000000"/>
          <w:lang w:eastAsia="en-GB"/>
        </w:rPr>
      </w:pPr>
      <w:r>
        <w:rPr>
          <w:rFonts w:eastAsia="Calibri" w:cs="Calibri"/>
          <w:b/>
          <w:color w:val="000000"/>
          <w:sz w:val="36"/>
          <w:szCs w:val="36"/>
          <w:u w:color="000000"/>
          <w:lang w:eastAsia="en-GB"/>
        </w:rPr>
        <w:t>Table of contents</w:t>
      </w:r>
    </w:p>
    <w:p w14:paraId="4E3DEF13" w14:textId="77777777" w:rsidR="00EE69F6" w:rsidRDefault="00EE69F6" w:rsidP="0018094C">
      <w:pPr>
        <w:rPr>
          <w:rFonts w:eastAsia="Calibri" w:cs="Calibri"/>
          <w:b/>
          <w:color w:val="000000"/>
          <w:sz w:val="36"/>
          <w:szCs w:val="36"/>
          <w:u w:color="000000"/>
          <w:lang w:eastAsia="en-GB"/>
        </w:rPr>
      </w:pPr>
    </w:p>
    <w:tbl>
      <w:tblPr>
        <w:tblStyle w:val="TableGrid"/>
        <w:tblW w:w="9252" w:type="dxa"/>
        <w:tblLook w:val="04A0" w:firstRow="1" w:lastRow="0" w:firstColumn="1" w:lastColumn="0" w:noHBand="0" w:noVBand="1"/>
      </w:tblPr>
      <w:tblGrid>
        <w:gridCol w:w="8542"/>
        <w:gridCol w:w="710"/>
      </w:tblGrid>
      <w:tr w:rsidR="00EE69F6" w14:paraId="79673BDE" w14:textId="77777777" w:rsidTr="00603D2D">
        <w:tc>
          <w:tcPr>
            <w:tcW w:w="8926" w:type="dxa"/>
          </w:tcPr>
          <w:p w14:paraId="695A765C" w14:textId="77777777" w:rsidR="00EE69F6" w:rsidRDefault="00EE69F6"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u w:color="000000"/>
                <w:lang w:eastAsia="en-GB"/>
              </w:rPr>
            </w:pPr>
            <w:r w:rsidRPr="00654A38">
              <w:rPr>
                <w:rFonts w:eastAsia="Calibri" w:cs="Calibri"/>
                <w:b/>
                <w:color w:val="000000"/>
                <w:u w:color="000000"/>
                <w:lang w:eastAsia="en-GB"/>
              </w:rPr>
              <w:t xml:space="preserve">Content </w:t>
            </w:r>
          </w:p>
          <w:p w14:paraId="60296214" w14:textId="6ED7D6DB" w:rsidR="00CC5667" w:rsidRPr="00654A38" w:rsidRDefault="00CC5667"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u w:color="000000"/>
                <w:lang w:eastAsia="en-GB"/>
              </w:rPr>
            </w:pPr>
          </w:p>
        </w:tc>
        <w:tc>
          <w:tcPr>
            <w:tcW w:w="326" w:type="dxa"/>
          </w:tcPr>
          <w:p w14:paraId="2EA48AA2" w14:textId="46B54A1F" w:rsidR="00EE69F6" w:rsidRPr="00654A38" w:rsidRDefault="00EE69F6"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u w:color="000000"/>
                <w:lang w:eastAsia="en-GB"/>
              </w:rPr>
            </w:pPr>
            <w:r w:rsidRPr="00654A38">
              <w:rPr>
                <w:rFonts w:eastAsia="Calibri" w:cs="Calibri"/>
                <w:b/>
                <w:color w:val="000000"/>
                <w:u w:color="000000"/>
                <w:lang w:eastAsia="en-GB"/>
              </w:rPr>
              <w:t xml:space="preserve">Page </w:t>
            </w:r>
          </w:p>
        </w:tc>
      </w:tr>
      <w:tr w:rsidR="00EE69F6" w14:paraId="79112E79" w14:textId="77777777" w:rsidTr="00603D2D">
        <w:tc>
          <w:tcPr>
            <w:tcW w:w="8926" w:type="dxa"/>
          </w:tcPr>
          <w:p w14:paraId="125CC3E2" w14:textId="77777777" w:rsidR="00EE69F6" w:rsidRDefault="00EE69F6"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EE69F6">
              <w:rPr>
                <w:rFonts w:eastAsia="Calibri" w:cs="Calibri"/>
                <w:bCs/>
                <w:color w:val="000000"/>
                <w:u w:color="000000"/>
                <w:lang w:eastAsia="en-GB"/>
              </w:rPr>
              <w:t>Figure 1, sample flowchart</w:t>
            </w:r>
          </w:p>
          <w:p w14:paraId="0870BDBF" w14:textId="352CCA61" w:rsidR="00603D2D" w:rsidRPr="00EE69F6"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682BF2DE" w14:textId="24654EA3" w:rsidR="00EE69F6" w:rsidRPr="00654A38" w:rsidRDefault="00654A38"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654A38">
              <w:rPr>
                <w:rFonts w:eastAsia="Calibri" w:cs="Calibri"/>
                <w:bCs/>
                <w:color w:val="000000"/>
                <w:u w:color="000000"/>
                <w:lang w:eastAsia="en-GB"/>
              </w:rPr>
              <w:t>2</w:t>
            </w:r>
          </w:p>
        </w:tc>
      </w:tr>
      <w:tr w:rsidR="00EE69F6" w14:paraId="6550C4B6" w14:textId="77777777" w:rsidTr="00603D2D">
        <w:tc>
          <w:tcPr>
            <w:tcW w:w="8926" w:type="dxa"/>
          </w:tcPr>
          <w:p w14:paraId="00BEDCE4" w14:textId="77777777" w:rsidR="00EE69F6" w:rsidRDefault="00EE69F6"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EE69F6">
              <w:rPr>
                <w:rFonts w:eastAsia="Calibri" w:cs="Calibri"/>
                <w:bCs/>
                <w:color w:val="000000"/>
                <w:u w:color="000000"/>
                <w:lang w:eastAsia="en-GB"/>
              </w:rPr>
              <w:t>Figure 2, CGT example</w:t>
            </w:r>
          </w:p>
          <w:p w14:paraId="2330D384" w14:textId="2D8FCD2C" w:rsidR="00603D2D" w:rsidRPr="00EE69F6"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232F36A9" w14:textId="5D868FB7" w:rsidR="00EE69F6" w:rsidRPr="00654A38" w:rsidRDefault="00654A38"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654A38">
              <w:rPr>
                <w:rFonts w:eastAsia="Calibri" w:cs="Calibri"/>
                <w:bCs/>
                <w:color w:val="000000"/>
                <w:u w:color="000000"/>
                <w:lang w:eastAsia="en-GB"/>
              </w:rPr>
              <w:t>3</w:t>
            </w:r>
          </w:p>
        </w:tc>
      </w:tr>
      <w:tr w:rsidR="00EE69F6" w14:paraId="230CD222" w14:textId="77777777" w:rsidTr="00603D2D">
        <w:tc>
          <w:tcPr>
            <w:tcW w:w="8926" w:type="dxa"/>
          </w:tcPr>
          <w:p w14:paraId="7950D888" w14:textId="77777777" w:rsidR="00EE69F6" w:rsidRDefault="00654A38"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654A38">
              <w:rPr>
                <w:rFonts w:eastAsia="Calibri" w:cs="Calibri"/>
                <w:bCs/>
                <w:color w:val="000000"/>
                <w:u w:color="000000"/>
                <w:lang w:eastAsia="en-GB"/>
              </w:rPr>
              <w:t>Measurement of potential confounders</w:t>
            </w:r>
          </w:p>
          <w:p w14:paraId="669779B8" w14:textId="260DC525" w:rsidR="00603D2D" w:rsidRPr="00654A38"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5C256E7E" w14:textId="39DAF17F" w:rsidR="00EE69F6" w:rsidRPr="00654A38" w:rsidRDefault="00654A38"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654A38">
              <w:rPr>
                <w:rFonts w:eastAsia="Calibri" w:cs="Calibri"/>
                <w:bCs/>
                <w:color w:val="000000"/>
                <w:u w:color="000000"/>
                <w:lang w:eastAsia="en-GB"/>
              </w:rPr>
              <w:t>4</w:t>
            </w:r>
            <w:r w:rsidR="00196801">
              <w:rPr>
                <w:rFonts w:eastAsia="Calibri" w:cs="Calibri"/>
                <w:bCs/>
                <w:color w:val="000000"/>
                <w:u w:color="000000"/>
                <w:lang w:eastAsia="en-GB"/>
              </w:rPr>
              <w:t>-5</w:t>
            </w:r>
          </w:p>
        </w:tc>
      </w:tr>
      <w:tr w:rsidR="0077334A" w14:paraId="2277C7D7" w14:textId="77777777" w:rsidTr="00603D2D">
        <w:tc>
          <w:tcPr>
            <w:tcW w:w="8926" w:type="dxa"/>
          </w:tcPr>
          <w:p w14:paraId="3C4D3E52" w14:textId="77777777" w:rsidR="0077334A" w:rsidRDefault="0077334A"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Post-hoc sample size calculation and minimum detectable effect</w:t>
            </w:r>
          </w:p>
          <w:p w14:paraId="608B07FA" w14:textId="55691B68" w:rsidR="0077334A" w:rsidRPr="00654A38" w:rsidRDefault="0077334A"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50BDF549" w14:textId="7A5CABF3" w:rsidR="0077334A" w:rsidRPr="00654A38" w:rsidRDefault="0077334A"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5</w:t>
            </w:r>
          </w:p>
        </w:tc>
      </w:tr>
      <w:tr w:rsidR="005D1EC2" w14:paraId="70895A31" w14:textId="77777777" w:rsidTr="00603D2D">
        <w:tc>
          <w:tcPr>
            <w:tcW w:w="8926" w:type="dxa"/>
          </w:tcPr>
          <w:p w14:paraId="5034BAA5" w14:textId="389D585B" w:rsidR="005D1EC2" w:rsidRDefault="005D1EC2"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 xml:space="preserve">Table 1: Differences between samples with complete and missing data </w:t>
            </w:r>
          </w:p>
          <w:p w14:paraId="7A90B020" w14:textId="4CEA365F" w:rsidR="005D1EC2" w:rsidRPr="0043105A" w:rsidRDefault="005D1EC2"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1BC1AFFE" w14:textId="35BA880A" w:rsidR="005D1EC2" w:rsidRDefault="00196801"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6</w:t>
            </w:r>
          </w:p>
        </w:tc>
      </w:tr>
      <w:tr w:rsidR="00EE69F6" w14:paraId="47F653AB" w14:textId="77777777" w:rsidTr="00603D2D">
        <w:tc>
          <w:tcPr>
            <w:tcW w:w="8926" w:type="dxa"/>
          </w:tcPr>
          <w:p w14:paraId="5D627ACC" w14:textId="77777777" w:rsidR="00EE69F6" w:rsidRDefault="0043105A"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3105A">
              <w:rPr>
                <w:rFonts w:eastAsia="Calibri" w:cs="Calibri"/>
                <w:bCs/>
                <w:color w:val="000000"/>
                <w:u w:color="000000"/>
                <w:lang w:eastAsia="en-GB"/>
              </w:rPr>
              <w:t>Table 1</w:t>
            </w:r>
            <w:r w:rsidR="00603D2D">
              <w:rPr>
                <w:rFonts w:eastAsia="Calibri" w:cs="Calibri"/>
                <w:bCs/>
                <w:color w:val="000000"/>
                <w:u w:color="000000"/>
                <w:lang w:eastAsia="en-GB"/>
              </w:rPr>
              <w:t>:</w:t>
            </w:r>
            <w:r w:rsidR="00603D2D" w:rsidRPr="0043105A">
              <w:rPr>
                <w:rFonts w:eastAsia="Calibri" w:cs="Calibri"/>
                <w:bCs/>
                <w:color w:val="000000"/>
                <w:u w:color="000000"/>
                <w:lang w:eastAsia="en-GB"/>
              </w:rPr>
              <w:t xml:space="preserve"> Mean SDQ scores according to risk taking and risk adjustment at age 11</w:t>
            </w:r>
          </w:p>
          <w:p w14:paraId="3DE62D94" w14:textId="76D17AD7" w:rsidR="00603D2D" w:rsidRPr="0043105A"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426F6EB1" w14:textId="51AF2AF0" w:rsidR="00EE69F6" w:rsidRPr="0043105A" w:rsidRDefault="00196801"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7</w:t>
            </w:r>
          </w:p>
        </w:tc>
      </w:tr>
      <w:tr w:rsidR="00EE69F6" w14:paraId="741EB39C" w14:textId="77777777" w:rsidTr="00603D2D">
        <w:tc>
          <w:tcPr>
            <w:tcW w:w="8926" w:type="dxa"/>
          </w:tcPr>
          <w:p w14:paraId="45B2C8E3" w14:textId="77777777" w:rsidR="00EE69F6" w:rsidRDefault="0043105A"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3105A">
              <w:rPr>
                <w:rFonts w:eastAsia="Calibri" w:cs="Calibri"/>
                <w:bCs/>
                <w:color w:val="000000"/>
                <w:u w:color="000000"/>
                <w:lang w:eastAsia="en-GB"/>
              </w:rPr>
              <w:t>Table 2</w:t>
            </w:r>
            <w:r w:rsidR="00603D2D">
              <w:rPr>
                <w:rFonts w:eastAsia="Calibri" w:cs="Calibri"/>
                <w:bCs/>
                <w:color w:val="000000"/>
                <w:u w:color="000000"/>
                <w:lang w:eastAsia="en-GB"/>
              </w:rPr>
              <w:t>:</w:t>
            </w:r>
            <w:r w:rsidR="00603D2D" w:rsidRPr="0043105A">
              <w:rPr>
                <w:rFonts w:eastAsia="Calibri" w:cs="Calibri"/>
                <w:bCs/>
                <w:color w:val="000000"/>
                <w:u w:color="000000"/>
                <w:lang w:eastAsia="en-GB"/>
              </w:rPr>
              <w:t xml:space="preserve"> Mean </w:t>
            </w:r>
            <w:proofErr w:type="spellStart"/>
            <w:r w:rsidR="00603D2D" w:rsidRPr="0043105A">
              <w:rPr>
                <w:rFonts w:eastAsia="Calibri" w:cs="Calibri"/>
                <w:bCs/>
                <w:color w:val="000000"/>
                <w:u w:color="000000"/>
                <w:lang w:eastAsia="en-GB"/>
              </w:rPr>
              <w:t>sMFQ</w:t>
            </w:r>
            <w:proofErr w:type="spellEnd"/>
            <w:r w:rsidR="00603D2D" w:rsidRPr="0043105A">
              <w:rPr>
                <w:rFonts w:eastAsia="Calibri" w:cs="Calibri"/>
                <w:bCs/>
                <w:color w:val="000000"/>
                <w:u w:color="000000"/>
                <w:lang w:eastAsia="en-GB"/>
              </w:rPr>
              <w:t xml:space="preserve"> scores according to risk taking and risk adjustment at age 11</w:t>
            </w:r>
          </w:p>
          <w:p w14:paraId="4FF49904" w14:textId="0281B96A" w:rsidR="00603D2D" w:rsidRPr="0043105A"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759F1CBF" w14:textId="480F1978" w:rsidR="00EE69F6" w:rsidRPr="0043105A" w:rsidRDefault="006D2022"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7</w:t>
            </w:r>
          </w:p>
        </w:tc>
      </w:tr>
      <w:tr w:rsidR="00EE69F6" w14:paraId="5A2F366D" w14:textId="77777777" w:rsidTr="00603D2D">
        <w:tc>
          <w:tcPr>
            <w:tcW w:w="8926" w:type="dxa"/>
          </w:tcPr>
          <w:p w14:paraId="58DD5AFC" w14:textId="0CAAB398" w:rsidR="00EE69F6" w:rsidRDefault="00BC6FA3"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sz w:val="36"/>
                <w:szCs w:val="36"/>
                <w:u w:color="000000"/>
                <w:lang w:eastAsia="en-GB"/>
              </w:rPr>
            </w:pPr>
            <w:r w:rsidRPr="0043105A">
              <w:rPr>
                <w:rFonts w:eastAsia="Calibri" w:cs="Calibri"/>
                <w:bCs/>
                <w:color w:val="000000"/>
                <w:u w:color="000000"/>
                <w:lang w:eastAsia="en-GB"/>
              </w:rPr>
              <w:t>Table</w:t>
            </w:r>
            <w:r>
              <w:rPr>
                <w:rFonts w:eastAsia="Calibri" w:cs="Calibri"/>
                <w:bCs/>
                <w:color w:val="000000"/>
                <w:u w:color="000000"/>
                <w:lang w:eastAsia="en-GB"/>
              </w:rPr>
              <w:t xml:space="preserve"> 3</w:t>
            </w:r>
            <w:r w:rsidR="00603D2D">
              <w:rPr>
                <w:rFonts w:eastAsia="Calibri" w:cs="Calibri"/>
                <w:bCs/>
                <w:color w:val="000000"/>
                <w:u w:color="000000"/>
                <w:lang w:eastAsia="en-GB"/>
              </w:rPr>
              <w:t>:</w:t>
            </w:r>
            <w:r w:rsidR="00603D2D" w:rsidRPr="0043105A">
              <w:rPr>
                <w:rFonts w:eastAsia="Calibri" w:cs="Calibri"/>
                <w:bCs/>
                <w:color w:val="000000"/>
                <w:u w:color="000000"/>
                <w:lang w:eastAsia="en-GB"/>
              </w:rPr>
              <w:t xml:space="preserve"> Mean </w:t>
            </w:r>
            <w:proofErr w:type="spellStart"/>
            <w:r w:rsidR="00603D2D" w:rsidRPr="0043105A">
              <w:rPr>
                <w:rFonts w:eastAsia="Calibri" w:cs="Calibri"/>
                <w:bCs/>
                <w:color w:val="000000"/>
                <w:u w:color="000000"/>
                <w:lang w:eastAsia="en-GB"/>
              </w:rPr>
              <w:t>sMFQ</w:t>
            </w:r>
            <w:proofErr w:type="spellEnd"/>
            <w:r w:rsidR="00603D2D" w:rsidRPr="0043105A">
              <w:rPr>
                <w:rFonts w:eastAsia="Calibri" w:cs="Calibri"/>
                <w:bCs/>
                <w:color w:val="000000"/>
                <w:u w:color="000000"/>
                <w:lang w:eastAsia="en-GB"/>
              </w:rPr>
              <w:t xml:space="preserve"> scores </w:t>
            </w:r>
            <w:r w:rsidR="00603D2D">
              <w:rPr>
                <w:rFonts w:eastAsia="Calibri" w:cs="Calibri"/>
                <w:bCs/>
                <w:color w:val="000000"/>
                <w:u w:color="000000"/>
                <w:lang w:eastAsia="en-GB"/>
              </w:rPr>
              <w:t xml:space="preserve">at age 14 </w:t>
            </w:r>
            <w:r w:rsidR="00603D2D" w:rsidRPr="0043105A">
              <w:rPr>
                <w:rFonts w:eastAsia="Calibri" w:cs="Calibri"/>
                <w:bCs/>
                <w:color w:val="000000"/>
                <w:u w:color="000000"/>
                <w:lang w:eastAsia="en-GB"/>
              </w:rPr>
              <w:t>according to risk taking and risk adjustment at age 11</w:t>
            </w:r>
          </w:p>
        </w:tc>
        <w:tc>
          <w:tcPr>
            <w:tcW w:w="326" w:type="dxa"/>
          </w:tcPr>
          <w:p w14:paraId="3EF8645E" w14:textId="0650FA19" w:rsidR="00EE69F6" w:rsidRDefault="006D2022"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sz w:val="36"/>
                <w:szCs w:val="36"/>
                <w:u w:color="000000"/>
                <w:lang w:eastAsia="en-GB"/>
              </w:rPr>
            </w:pPr>
            <w:r>
              <w:rPr>
                <w:rFonts w:eastAsia="Calibri" w:cs="Calibri"/>
                <w:bCs/>
                <w:color w:val="000000"/>
                <w:u w:color="000000"/>
                <w:lang w:eastAsia="en-GB"/>
              </w:rPr>
              <w:t>8</w:t>
            </w:r>
          </w:p>
        </w:tc>
      </w:tr>
      <w:tr w:rsidR="0087224E" w14:paraId="048CA7CF" w14:textId="77777777" w:rsidTr="00603D2D">
        <w:tc>
          <w:tcPr>
            <w:tcW w:w="8926" w:type="dxa"/>
          </w:tcPr>
          <w:p w14:paraId="5D723C57" w14:textId="77777777" w:rsidR="0087224E" w:rsidRDefault="00BC6FA3"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3105A">
              <w:rPr>
                <w:rFonts w:eastAsia="Calibri" w:cs="Calibri"/>
                <w:bCs/>
                <w:color w:val="000000"/>
                <w:u w:color="000000"/>
                <w:lang w:eastAsia="en-GB"/>
              </w:rPr>
              <w:t>Table</w:t>
            </w:r>
            <w:r>
              <w:rPr>
                <w:rFonts w:eastAsia="Calibri" w:cs="Calibri"/>
                <w:bCs/>
                <w:color w:val="000000"/>
                <w:u w:color="000000"/>
                <w:lang w:eastAsia="en-GB"/>
              </w:rPr>
              <w:t xml:space="preserve"> 4</w:t>
            </w:r>
            <w:r w:rsidR="00603D2D">
              <w:rPr>
                <w:rFonts w:eastAsia="Calibri" w:cs="Calibri"/>
                <w:bCs/>
                <w:color w:val="000000"/>
                <w:u w:color="000000"/>
                <w:lang w:eastAsia="en-GB"/>
              </w:rPr>
              <w:t>: Risk adjustment as exposure, cross-sectional associations at age 11</w:t>
            </w:r>
          </w:p>
          <w:p w14:paraId="013C7EB5" w14:textId="61358668" w:rsidR="00603D2D"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sz w:val="36"/>
                <w:szCs w:val="36"/>
                <w:u w:color="000000"/>
                <w:lang w:eastAsia="en-GB"/>
              </w:rPr>
            </w:pPr>
          </w:p>
        </w:tc>
        <w:tc>
          <w:tcPr>
            <w:tcW w:w="326" w:type="dxa"/>
          </w:tcPr>
          <w:p w14:paraId="08D5939D" w14:textId="6B973AF7" w:rsidR="0087224E" w:rsidRPr="0043105A" w:rsidRDefault="006D2022"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9</w:t>
            </w:r>
          </w:p>
        </w:tc>
      </w:tr>
      <w:tr w:rsidR="0087224E" w14:paraId="42568A68" w14:textId="77777777" w:rsidTr="00603D2D">
        <w:tc>
          <w:tcPr>
            <w:tcW w:w="8926" w:type="dxa"/>
          </w:tcPr>
          <w:p w14:paraId="3A5EC843" w14:textId="77777777" w:rsidR="0087224E" w:rsidRDefault="00BC6FA3"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3105A">
              <w:rPr>
                <w:rFonts w:eastAsia="Calibri" w:cs="Calibri"/>
                <w:bCs/>
                <w:color w:val="000000"/>
                <w:u w:color="000000"/>
                <w:lang w:eastAsia="en-GB"/>
              </w:rPr>
              <w:t>Table</w:t>
            </w:r>
            <w:r>
              <w:rPr>
                <w:rFonts w:eastAsia="Calibri" w:cs="Calibri"/>
                <w:bCs/>
                <w:color w:val="000000"/>
                <w:u w:color="000000"/>
                <w:lang w:eastAsia="en-GB"/>
              </w:rPr>
              <w:t xml:space="preserve"> 5</w:t>
            </w:r>
            <w:r w:rsidR="00603D2D">
              <w:rPr>
                <w:rFonts w:eastAsia="Calibri" w:cs="Calibri"/>
                <w:bCs/>
                <w:color w:val="000000"/>
                <w:u w:color="000000"/>
                <w:lang w:eastAsia="en-GB"/>
              </w:rPr>
              <w:t>: Risk adjustment as exposure, cross-sectional associations at age 14</w:t>
            </w:r>
          </w:p>
          <w:p w14:paraId="230E70E7" w14:textId="2A66873C" w:rsidR="00603D2D"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sz w:val="36"/>
                <w:szCs w:val="36"/>
                <w:u w:color="000000"/>
                <w:lang w:eastAsia="en-GB"/>
              </w:rPr>
            </w:pPr>
          </w:p>
        </w:tc>
        <w:tc>
          <w:tcPr>
            <w:tcW w:w="326" w:type="dxa"/>
          </w:tcPr>
          <w:p w14:paraId="7C0E0EB1" w14:textId="23BE042D" w:rsidR="0087224E" w:rsidRPr="0043105A" w:rsidRDefault="00196801"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1</w:t>
            </w:r>
            <w:r w:rsidR="006D2022">
              <w:rPr>
                <w:rFonts w:eastAsia="Calibri" w:cs="Calibri"/>
                <w:bCs/>
                <w:color w:val="000000"/>
                <w:u w:color="000000"/>
                <w:lang w:eastAsia="en-GB"/>
              </w:rPr>
              <w:t>0</w:t>
            </w:r>
          </w:p>
        </w:tc>
      </w:tr>
      <w:tr w:rsidR="0087224E" w14:paraId="311B9E19" w14:textId="77777777" w:rsidTr="00603D2D">
        <w:tc>
          <w:tcPr>
            <w:tcW w:w="8926" w:type="dxa"/>
          </w:tcPr>
          <w:p w14:paraId="5F786FD1" w14:textId="77777777" w:rsidR="0087224E" w:rsidRDefault="00BC6FA3"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3105A">
              <w:rPr>
                <w:rFonts w:eastAsia="Calibri" w:cs="Calibri"/>
                <w:bCs/>
                <w:color w:val="000000"/>
                <w:u w:color="000000"/>
                <w:lang w:eastAsia="en-GB"/>
              </w:rPr>
              <w:t>Table</w:t>
            </w:r>
            <w:r>
              <w:rPr>
                <w:rFonts w:eastAsia="Calibri" w:cs="Calibri"/>
                <w:bCs/>
                <w:color w:val="000000"/>
                <w:u w:color="000000"/>
                <w:lang w:eastAsia="en-GB"/>
              </w:rPr>
              <w:t xml:space="preserve"> 6</w:t>
            </w:r>
            <w:r w:rsidR="00603D2D">
              <w:rPr>
                <w:rFonts w:eastAsia="Calibri" w:cs="Calibri"/>
                <w:bCs/>
                <w:color w:val="000000"/>
                <w:u w:color="000000"/>
                <w:lang w:eastAsia="en-GB"/>
              </w:rPr>
              <w:t>: Risk adjustment as exposure, longitudinal associations</w:t>
            </w:r>
          </w:p>
          <w:p w14:paraId="0D08A1CF" w14:textId="3888497F" w:rsidR="00603D2D"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
                <w:color w:val="000000"/>
                <w:sz w:val="36"/>
                <w:szCs w:val="36"/>
                <w:u w:color="000000"/>
                <w:lang w:eastAsia="en-GB"/>
              </w:rPr>
            </w:pPr>
          </w:p>
        </w:tc>
        <w:tc>
          <w:tcPr>
            <w:tcW w:w="326" w:type="dxa"/>
          </w:tcPr>
          <w:p w14:paraId="1F343680" w14:textId="4BB3024C" w:rsidR="00196801" w:rsidRPr="0043105A" w:rsidRDefault="00196801"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1</w:t>
            </w:r>
            <w:r w:rsidR="006D2022">
              <w:rPr>
                <w:rFonts w:eastAsia="Calibri" w:cs="Calibri"/>
                <w:bCs/>
                <w:color w:val="000000"/>
                <w:u w:color="000000"/>
                <w:lang w:eastAsia="en-GB"/>
              </w:rPr>
              <w:t>1</w:t>
            </w:r>
          </w:p>
        </w:tc>
      </w:tr>
      <w:tr w:rsidR="0087224E" w14:paraId="2895FCFF" w14:textId="77777777" w:rsidTr="00603D2D">
        <w:tc>
          <w:tcPr>
            <w:tcW w:w="8926" w:type="dxa"/>
          </w:tcPr>
          <w:p w14:paraId="0F5E87B1" w14:textId="77777777" w:rsidR="0087224E" w:rsidRDefault="0046039F"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6039F">
              <w:rPr>
                <w:rFonts w:eastAsia="Calibri" w:cs="Calibri"/>
                <w:bCs/>
                <w:color w:val="000000"/>
                <w:u w:color="000000"/>
                <w:lang w:eastAsia="en-GB"/>
              </w:rPr>
              <w:t>Table 7</w:t>
            </w:r>
            <w:r w:rsidR="00603D2D">
              <w:rPr>
                <w:rFonts w:eastAsia="Calibri" w:cs="Calibri"/>
                <w:bCs/>
                <w:color w:val="000000"/>
                <w:u w:color="000000"/>
                <w:lang w:eastAsia="en-GB"/>
              </w:rPr>
              <w:t xml:space="preserve">: Imputed model: cross-sectional </w:t>
            </w:r>
            <w:proofErr w:type="gramStart"/>
            <w:r w:rsidR="00603D2D">
              <w:rPr>
                <w:rFonts w:eastAsia="Calibri" w:cs="Calibri"/>
                <w:bCs/>
                <w:color w:val="000000"/>
                <w:u w:color="000000"/>
                <w:lang w:eastAsia="en-GB"/>
              </w:rPr>
              <w:t>risk taking</w:t>
            </w:r>
            <w:proofErr w:type="gramEnd"/>
            <w:r w:rsidR="00603D2D">
              <w:rPr>
                <w:rFonts w:eastAsia="Calibri" w:cs="Calibri"/>
                <w:bCs/>
                <w:color w:val="000000"/>
                <w:u w:color="000000"/>
                <w:lang w:eastAsia="en-GB"/>
              </w:rPr>
              <w:t xml:space="preserve"> association at age 11</w:t>
            </w:r>
          </w:p>
          <w:p w14:paraId="0B8CF782" w14:textId="1C26963E" w:rsidR="00603D2D" w:rsidRPr="0046039F"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39FFE236" w14:textId="2D6BF02F" w:rsidR="0087224E" w:rsidRPr="0043105A" w:rsidRDefault="00C46125"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1</w:t>
            </w:r>
            <w:r w:rsidR="006D2022">
              <w:rPr>
                <w:rFonts w:eastAsia="Calibri" w:cs="Calibri"/>
                <w:bCs/>
                <w:color w:val="000000"/>
                <w:u w:color="000000"/>
                <w:lang w:eastAsia="en-GB"/>
              </w:rPr>
              <w:t>2</w:t>
            </w:r>
          </w:p>
        </w:tc>
      </w:tr>
      <w:tr w:rsidR="0087224E" w14:paraId="4AF565C0" w14:textId="77777777" w:rsidTr="00603D2D">
        <w:tc>
          <w:tcPr>
            <w:tcW w:w="8926" w:type="dxa"/>
          </w:tcPr>
          <w:p w14:paraId="5355C2FF" w14:textId="77777777" w:rsidR="0087224E" w:rsidRDefault="0046039F"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6039F">
              <w:rPr>
                <w:rFonts w:eastAsia="Calibri" w:cs="Calibri"/>
                <w:bCs/>
                <w:color w:val="000000"/>
                <w:u w:color="000000"/>
                <w:lang w:eastAsia="en-GB"/>
              </w:rPr>
              <w:t>Table 8</w:t>
            </w:r>
            <w:r w:rsidR="00603D2D">
              <w:rPr>
                <w:rFonts w:eastAsia="Calibri" w:cs="Calibri"/>
                <w:bCs/>
                <w:color w:val="000000"/>
                <w:u w:color="000000"/>
                <w:lang w:eastAsia="en-GB"/>
              </w:rPr>
              <w:t xml:space="preserve">: Imputed model: cross-sectional </w:t>
            </w:r>
            <w:proofErr w:type="gramStart"/>
            <w:r w:rsidR="00603D2D">
              <w:rPr>
                <w:rFonts w:eastAsia="Calibri" w:cs="Calibri"/>
                <w:bCs/>
                <w:color w:val="000000"/>
                <w:u w:color="000000"/>
                <w:lang w:eastAsia="en-GB"/>
              </w:rPr>
              <w:t>risk taking</w:t>
            </w:r>
            <w:proofErr w:type="gramEnd"/>
            <w:r w:rsidR="00603D2D">
              <w:rPr>
                <w:rFonts w:eastAsia="Calibri" w:cs="Calibri"/>
                <w:bCs/>
                <w:color w:val="000000"/>
                <w:u w:color="000000"/>
                <w:lang w:eastAsia="en-GB"/>
              </w:rPr>
              <w:t xml:space="preserve"> association at age 14</w:t>
            </w:r>
          </w:p>
          <w:p w14:paraId="1D179223" w14:textId="117F1503" w:rsidR="00603D2D" w:rsidRPr="0046039F"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2C4E17D7" w14:textId="20E9F4FF" w:rsidR="0087224E" w:rsidRPr="0043105A" w:rsidRDefault="00196801"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1</w:t>
            </w:r>
            <w:r w:rsidR="006D2022">
              <w:rPr>
                <w:rFonts w:eastAsia="Calibri" w:cs="Calibri"/>
                <w:bCs/>
                <w:color w:val="000000"/>
                <w:u w:color="000000"/>
                <w:lang w:eastAsia="en-GB"/>
              </w:rPr>
              <w:t>3</w:t>
            </w:r>
          </w:p>
        </w:tc>
      </w:tr>
      <w:tr w:rsidR="0087224E" w14:paraId="70ED58DC" w14:textId="77777777" w:rsidTr="00603D2D">
        <w:tc>
          <w:tcPr>
            <w:tcW w:w="8926" w:type="dxa"/>
          </w:tcPr>
          <w:p w14:paraId="020EEBF7" w14:textId="77777777" w:rsidR="0087224E" w:rsidRDefault="0046039F"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sidRPr="0046039F">
              <w:rPr>
                <w:rFonts w:eastAsia="Calibri" w:cs="Calibri"/>
                <w:bCs/>
                <w:color w:val="000000"/>
                <w:u w:color="000000"/>
                <w:lang w:eastAsia="en-GB"/>
              </w:rPr>
              <w:t>Table 9</w:t>
            </w:r>
            <w:r w:rsidR="00603D2D">
              <w:rPr>
                <w:rFonts w:eastAsia="Calibri" w:cs="Calibri"/>
                <w:bCs/>
                <w:color w:val="000000"/>
                <w:u w:color="000000"/>
                <w:lang w:eastAsia="en-GB"/>
              </w:rPr>
              <w:t xml:space="preserve">: Imputed model: Longitudinal </w:t>
            </w:r>
            <w:proofErr w:type="gramStart"/>
            <w:r w:rsidR="00603D2D">
              <w:rPr>
                <w:rFonts w:eastAsia="Calibri" w:cs="Calibri"/>
                <w:bCs/>
                <w:color w:val="000000"/>
                <w:u w:color="000000"/>
                <w:lang w:eastAsia="en-GB"/>
              </w:rPr>
              <w:t>risk taking</w:t>
            </w:r>
            <w:proofErr w:type="gramEnd"/>
            <w:r w:rsidR="00603D2D">
              <w:rPr>
                <w:rFonts w:eastAsia="Calibri" w:cs="Calibri"/>
                <w:bCs/>
                <w:color w:val="000000"/>
                <w:u w:color="000000"/>
                <w:lang w:eastAsia="en-GB"/>
              </w:rPr>
              <w:t xml:space="preserve"> association at age 11</w:t>
            </w:r>
          </w:p>
          <w:p w14:paraId="434D5E00" w14:textId="7BF1B08C" w:rsidR="00603D2D" w:rsidRPr="0046039F" w:rsidRDefault="00603D2D"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p>
        </w:tc>
        <w:tc>
          <w:tcPr>
            <w:tcW w:w="326" w:type="dxa"/>
          </w:tcPr>
          <w:p w14:paraId="0A1C0B62" w14:textId="4A689DC6" w:rsidR="0087224E" w:rsidRPr="0043105A" w:rsidRDefault="00C46125" w:rsidP="0018094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bCs/>
                <w:color w:val="000000"/>
                <w:u w:color="000000"/>
                <w:lang w:eastAsia="en-GB"/>
              </w:rPr>
            </w:pPr>
            <w:r>
              <w:rPr>
                <w:rFonts w:eastAsia="Calibri" w:cs="Calibri"/>
                <w:bCs/>
                <w:color w:val="000000"/>
                <w:u w:color="000000"/>
                <w:lang w:eastAsia="en-GB"/>
              </w:rPr>
              <w:t>1</w:t>
            </w:r>
            <w:r w:rsidR="006D2022">
              <w:rPr>
                <w:rFonts w:eastAsia="Calibri" w:cs="Calibri"/>
                <w:bCs/>
                <w:color w:val="000000"/>
                <w:u w:color="000000"/>
                <w:lang w:eastAsia="en-GB"/>
              </w:rPr>
              <w:t>4</w:t>
            </w:r>
          </w:p>
        </w:tc>
      </w:tr>
    </w:tbl>
    <w:p w14:paraId="3F7EC320" w14:textId="77777777" w:rsidR="00EE69F6" w:rsidRDefault="00EE69F6" w:rsidP="0018094C">
      <w:pPr>
        <w:rPr>
          <w:rFonts w:eastAsia="Calibri" w:cs="Calibri"/>
          <w:b/>
          <w:color w:val="000000"/>
          <w:sz w:val="36"/>
          <w:szCs w:val="36"/>
          <w:u w:color="000000"/>
          <w:lang w:eastAsia="en-GB"/>
        </w:rPr>
      </w:pPr>
    </w:p>
    <w:p w14:paraId="7A16CED5" w14:textId="77777777" w:rsidR="00EE69F6" w:rsidRDefault="00EE69F6" w:rsidP="0018094C">
      <w:pPr>
        <w:rPr>
          <w:rFonts w:eastAsia="Calibri" w:cs="Calibri"/>
          <w:b/>
          <w:color w:val="000000"/>
          <w:sz w:val="36"/>
          <w:szCs w:val="36"/>
          <w:u w:color="000000"/>
          <w:lang w:eastAsia="en-GB"/>
        </w:rPr>
      </w:pPr>
    </w:p>
    <w:p w14:paraId="0A73B5F2" w14:textId="77777777" w:rsidR="00EE69F6" w:rsidRDefault="00EE69F6" w:rsidP="0018094C">
      <w:pPr>
        <w:rPr>
          <w:rFonts w:eastAsia="Calibri" w:cs="Calibri"/>
          <w:b/>
          <w:color w:val="000000"/>
          <w:sz w:val="36"/>
          <w:szCs w:val="36"/>
          <w:u w:color="000000"/>
          <w:lang w:eastAsia="en-GB"/>
        </w:rPr>
      </w:pPr>
    </w:p>
    <w:p w14:paraId="6F7F29AD" w14:textId="77777777" w:rsidR="00EE69F6" w:rsidRDefault="00EE69F6" w:rsidP="0018094C">
      <w:pPr>
        <w:rPr>
          <w:rFonts w:eastAsia="Calibri" w:cs="Calibri"/>
          <w:b/>
          <w:color w:val="000000"/>
          <w:sz w:val="36"/>
          <w:szCs w:val="36"/>
          <w:u w:color="000000"/>
          <w:lang w:eastAsia="en-GB"/>
        </w:rPr>
      </w:pPr>
    </w:p>
    <w:p w14:paraId="3F6691F6" w14:textId="77777777" w:rsidR="00EE69F6" w:rsidRDefault="00EE69F6" w:rsidP="0018094C">
      <w:pPr>
        <w:rPr>
          <w:rFonts w:eastAsia="Calibri" w:cs="Calibri"/>
          <w:b/>
          <w:color w:val="000000"/>
          <w:sz w:val="36"/>
          <w:szCs w:val="36"/>
          <w:u w:color="000000"/>
          <w:lang w:eastAsia="en-GB"/>
        </w:rPr>
      </w:pPr>
    </w:p>
    <w:p w14:paraId="0A3135F8" w14:textId="77777777" w:rsidR="00EE69F6" w:rsidRDefault="00EE69F6" w:rsidP="0018094C">
      <w:pPr>
        <w:rPr>
          <w:rFonts w:eastAsia="Calibri" w:cs="Calibri"/>
          <w:b/>
          <w:color w:val="000000"/>
          <w:sz w:val="36"/>
          <w:szCs w:val="36"/>
          <w:u w:color="000000"/>
          <w:lang w:eastAsia="en-GB"/>
        </w:rPr>
      </w:pPr>
    </w:p>
    <w:p w14:paraId="417E67F9" w14:textId="77777777" w:rsidR="00EE69F6" w:rsidRDefault="00EE69F6" w:rsidP="0018094C">
      <w:pPr>
        <w:rPr>
          <w:rFonts w:eastAsia="Calibri" w:cs="Calibri"/>
          <w:b/>
          <w:color w:val="000000"/>
          <w:sz w:val="36"/>
          <w:szCs w:val="36"/>
          <w:u w:color="000000"/>
          <w:lang w:eastAsia="en-GB"/>
        </w:rPr>
      </w:pPr>
    </w:p>
    <w:p w14:paraId="03E8EC87" w14:textId="77777777" w:rsidR="00EE69F6" w:rsidRDefault="00EE69F6" w:rsidP="0018094C">
      <w:pPr>
        <w:rPr>
          <w:rFonts w:eastAsia="Calibri" w:cs="Calibri"/>
          <w:b/>
          <w:color w:val="000000"/>
          <w:sz w:val="36"/>
          <w:szCs w:val="36"/>
          <w:u w:color="000000"/>
          <w:lang w:eastAsia="en-GB"/>
        </w:rPr>
      </w:pPr>
    </w:p>
    <w:p w14:paraId="7834A335" w14:textId="77777777" w:rsidR="00EE69F6" w:rsidRDefault="00EE69F6" w:rsidP="0018094C">
      <w:pPr>
        <w:rPr>
          <w:rFonts w:eastAsia="Calibri" w:cs="Calibri"/>
          <w:b/>
          <w:color w:val="000000"/>
          <w:sz w:val="36"/>
          <w:szCs w:val="36"/>
          <w:u w:color="000000"/>
          <w:lang w:eastAsia="en-GB"/>
        </w:rPr>
      </w:pPr>
    </w:p>
    <w:p w14:paraId="64D80887" w14:textId="77777777" w:rsidR="00EE69F6" w:rsidRDefault="00EE69F6" w:rsidP="0018094C">
      <w:pPr>
        <w:rPr>
          <w:rFonts w:eastAsia="Calibri" w:cs="Calibri"/>
          <w:b/>
          <w:color w:val="000000"/>
          <w:sz w:val="36"/>
          <w:szCs w:val="36"/>
          <w:u w:color="000000"/>
          <w:lang w:eastAsia="en-GB"/>
        </w:rPr>
      </w:pPr>
    </w:p>
    <w:p w14:paraId="33AE2D8D" w14:textId="017695B3" w:rsidR="0018094C" w:rsidRPr="008E2485" w:rsidRDefault="008E2485" w:rsidP="0018094C">
      <w:pPr>
        <w:rPr>
          <w:rFonts w:eastAsia="Calibri" w:cs="Calibri"/>
          <w:b/>
          <w:color w:val="000000"/>
          <w:sz w:val="36"/>
          <w:szCs w:val="36"/>
          <w:u w:color="000000"/>
          <w:lang w:eastAsia="en-GB"/>
        </w:rPr>
      </w:pPr>
      <w:r w:rsidRPr="008E2485">
        <w:rPr>
          <w:rFonts w:eastAsia="Calibri" w:cs="Calibri"/>
          <w:b/>
          <w:color w:val="000000"/>
          <w:sz w:val="36"/>
          <w:szCs w:val="36"/>
          <w:u w:color="000000"/>
          <w:lang w:eastAsia="en-GB"/>
        </w:rPr>
        <w:lastRenderedPageBreak/>
        <w:t>Supplementary Figures</w:t>
      </w:r>
    </w:p>
    <w:p w14:paraId="2004756B" w14:textId="0169B61C" w:rsidR="0018094C" w:rsidRDefault="0018094C" w:rsidP="00F24315">
      <w:pPr>
        <w:pStyle w:val="Body"/>
        <w:spacing w:line="240" w:lineRule="auto"/>
        <w:rPr>
          <w:rFonts w:ascii="Times New Roman" w:hAnsi="Times New Roman"/>
          <w:b/>
          <w:sz w:val="36"/>
          <w:szCs w:val="36"/>
          <w:lang w:val="en-US"/>
        </w:rPr>
      </w:pPr>
    </w:p>
    <w:p w14:paraId="75330462" w14:textId="5BFFFB9E" w:rsidR="0018094C" w:rsidRDefault="0018094C" w:rsidP="00F24315">
      <w:pPr>
        <w:pStyle w:val="Body"/>
        <w:spacing w:line="240" w:lineRule="auto"/>
        <w:rPr>
          <w:rFonts w:ascii="Times New Roman" w:hAnsi="Times New Roman"/>
          <w:b/>
          <w:sz w:val="36"/>
          <w:szCs w:val="36"/>
          <w:lang w:val="en-US"/>
        </w:rPr>
      </w:pPr>
    </w:p>
    <w:p w14:paraId="3ACC0C71" w14:textId="615399E8" w:rsidR="0018094C" w:rsidRDefault="00EE36ED" w:rsidP="00F24315">
      <w:pPr>
        <w:pStyle w:val="Body"/>
        <w:spacing w:line="240" w:lineRule="auto"/>
        <w:rPr>
          <w:rFonts w:ascii="Times New Roman" w:hAnsi="Times New Roman"/>
          <w:b/>
          <w:sz w:val="36"/>
          <w:szCs w:val="36"/>
          <w:lang w:val="en-US"/>
        </w:rPr>
      </w:pPr>
      <w:r>
        <w:rPr>
          <w:rFonts w:ascii="Times New Roman" w:hAnsi="Times New Roman"/>
          <w:b/>
          <w:sz w:val="36"/>
          <w:szCs w:val="36"/>
          <w:lang w:val="en-US"/>
        </w:rPr>
        <w:t>&lt;Insert supplementary figure 1 here&gt;</w:t>
      </w:r>
    </w:p>
    <w:p w14:paraId="25A21AE8" w14:textId="77777777" w:rsidR="0018094C" w:rsidRDefault="0018094C" w:rsidP="00F24315">
      <w:pPr>
        <w:pStyle w:val="Body"/>
        <w:spacing w:line="240" w:lineRule="auto"/>
        <w:rPr>
          <w:rFonts w:ascii="Times New Roman" w:hAnsi="Times New Roman"/>
          <w:b/>
          <w:sz w:val="36"/>
          <w:szCs w:val="36"/>
          <w:lang w:val="en-US"/>
        </w:rPr>
      </w:pPr>
    </w:p>
    <w:p w14:paraId="26D265EB" w14:textId="77777777" w:rsidR="0018094C" w:rsidRDefault="0018094C" w:rsidP="00F24315">
      <w:pPr>
        <w:pStyle w:val="Body"/>
        <w:spacing w:line="240" w:lineRule="auto"/>
        <w:rPr>
          <w:rFonts w:ascii="Times New Roman" w:hAnsi="Times New Roman"/>
          <w:b/>
          <w:sz w:val="36"/>
          <w:szCs w:val="36"/>
          <w:lang w:val="en-US"/>
        </w:rPr>
      </w:pPr>
    </w:p>
    <w:p w14:paraId="44D13175" w14:textId="77777777" w:rsidR="0018094C" w:rsidRDefault="0018094C" w:rsidP="00F24315">
      <w:pPr>
        <w:pStyle w:val="Body"/>
        <w:spacing w:line="240" w:lineRule="auto"/>
        <w:rPr>
          <w:rFonts w:ascii="Times New Roman" w:hAnsi="Times New Roman"/>
          <w:b/>
          <w:sz w:val="36"/>
          <w:szCs w:val="36"/>
          <w:lang w:val="en-US"/>
        </w:rPr>
      </w:pPr>
    </w:p>
    <w:p w14:paraId="02103E24" w14:textId="77777777" w:rsidR="0018094C" w:rsidRDefault="0018094C" w:rsidP="00F24315">
      <w:pPr>
        <w:pStyle w:val="Body"/>
        <w:spacing w:line="240" w:lineRule="auto"/>
        <w:rPr>
          <w:rFonts w:ascii="Times New Roman" w:hAnsi="Times New Roman"/>
          <w:b/>
          <w:sz w:val="36"/>
          <w:szCs w:val="36"/>
          <w:lang w:val="en-US"/>
        </w:rPr>
      </w:pPr>
    </w:p>
    <w:p w14:paraId="00806B9B" w14:textId="77777777" w:rsidR="0018094C" w:rsidRDefault="0018094C" w:rsidP="00F24315">
      <w:pPr>
        <w:pStyle w:val="Body"/>
        <w:spacing w:line="240" w:lineRule="auto"/>
        <w:rPr>
          <w:rFonts w:ascii="Times New Roman" w:hAnsi="Times New Roman"/>
          <w:b/>
          <w:sz w:val="36"/>
          <w:szCs w:val="36"/>
          <w:lang w:val="en-US"/>
        </w:rPr>
      </w:pPr>
    </w:p>
    <w:p w14:paraId="56B75B7E" w14:textId="77777777" w:rsidR="0018094C" w:rsidRDefault="0018094C" w:rsidP="00F24315">
      <w:pPr>
        <w:pStyle w:val="Body"/>
        <w:spacing w:line="240" w:lineRule="auto"/>
        <w:rPr>
          <w:rFonts w:ascii="Times New Roman" w:hAnsi="Times New Roman"/>
          <w:b/>
          <w:sz w:val="36"/>
          <w:szCs w:val="36"/>
          <w:lang w:val="en-US"/>
        </w:rPr>
      </w:pPr>
    </w:p>
    <w:p w14:paraId="0492BAB6" w14:textId="77777777" w:rsidR="0018094C" w:rsidRDefault="0018094C" w:rsidP="00F24315">
      <w:pPr>
        <w:pStyle w:val="Body"/>
        <w:spacing w:line="240" w:lineRule="auto"/>
        <w:rPr>
          <w:rFonts w:ascii="Times New Roman" w:hAnsi="Times New Roman"/>
          <w:b/>
          <w:sz w:val="36"/>
          <w:szCs w:val="36"/>
          <w:lang w:val="en-US"/>
        </w:rPr>
      </w:pPr>
    </w:p>
    <w:p w14:paraId="1813D8AB" w14:textId="77777777" w:rsidR="0018094C" w:rsidRDefault="0018094C" w:rsidP="00F24315">
      <w:pPr>
        <w:pStyle w:val="Body"/>
        <w:spacing w:line="240" w:lineRule="auto"/>
        <w:rPr>
          <w:rFonts w:ascii="Times New Roman" w:hAnsi="Times New Roman"/>
          <w:b/>
          <w:sz w:val="36"/>
          <w:szCs w:val="36"/>
          <w:lang w:val="en-US"/>
        </w:rPr>
      </w:pPr>
    </w:p>
    <w:p w14:paraId="6211D45A" w14:textId="77777777" w:rsidR="0018094C" w:rsidRDefault="0018094C" w:rsidP="00F24315">
      <w:pPr>
        <w:pStyle w:val="Body"/>
        <w:spacing w:line="240" w:lineRule="auto"/>
        <w:rPr>
          <w:rFonts w:ascii="Times New Roman" w:hAnsi="Times New Roman"/>
          <w:b/>
          <w:sz w:val="36"/>
          <w:szCs w:val="36"/>
          <w:lang w:val="en-US"/>
        </w:rPr>
      </w:pPr>
    </w:p>
    <w:p w14:paraId="33083F49" w14:textId="77777777" w:rsidR="0018094C" w:rsidRDefault="0018094C" w:rsidP="00F24315">
      <w:pPr>
        <w:pStyle w:val="Body"/>
        <w:spacing w:line="240" w:lineRule="auto"/>
        <w:rPr>
          <w:rFonts w:ascii="Times New Roman" w:hAnsi="Times New Roman"/>
          <w:b/>
          <w:sz w:val="36"/>
          <w:szCs w:val="36"/>
          <w:lang w:val="en-US"/>
        </w:rPr>
      </w:pPr>
    </w:p>
    <w:p w14:paraId="23167B57" w14:textId="77777777" w:rsidR="0018094C" w:rsidRDefault="0018094C" w:rsidP="00F24315">
      <w:pPr>
        <w:pStyle w:val="Body"/>
        <w:spacing w:line="240" w:lineRule="auto"/>
        <w:rPr>
          <w:rFonts w:ascii="Times New Roman" w:hAnsi="Times New Roman"/>
          <w:b/>
          <w:sz w:val="36"/>
          <w:szCs w:val="36"/>
          <w:lang w:val="en-US"/>
        </w:rPr>
      </w:pPr>
    </w:p>
    <w:p w14:paraId="2FF2F30B" w14:textId="77777777" w:rsidR="0018094C" w:rsidRDefault="0018094C" w:rsidP="00F24315">
      <w:pPr>
        <w:pStyle w:val="Body"/>
        <w:spacing w:line="240" w:lineRule="auto"/>
        <w:rPr>
          <w:rFonts w:ascii="Times New Roman" w:hAnsi="Times New Roman"/>
          <w:b/>
          <w:sz w:val="36"/>
          <w:szCs w:val="36"/>
          <w:lang w:val="en-US"/>
        </w:rPr>
      </w:pPr>
    </w:p>
    <w:p w14:paraId="6525606A" w14:textId="77777777" w:rsidR="0018094C" w:rsidRDefault="0018094C" w:rsidP="00F24315">
      <w:pPr>
        <w:pStyle w:val="Body"/>
        <w:spacing w:line="240" w:lineRule="auto"/>
        <w:rPr>
          <w:rFonts w:ascii="Times New Roman" w:hAnsi="Times New Roman"/>
          <w:b/>
          <w:sz w:val="36"/>
          <w:szCs w:val="36"/>
          <w:lang w:val="en-US"/>
        </w:rPr>
      </w:pPr>
    </w:p>
    <w:p w14:paraId="5D3FF642" w14:textId="77777777" w:rsidR="0018094C" w:rsidRDefault="0018094C" w:rsidP="00F24315">
      <w:pPr>
        <w:pStyle w:val="Body"/>
        <w:spacing w:line="240" w:lineRule="auto"/>
        <w:rPr>
          <w:rFonts w:ascii="Times New Roman" w:hAnsi="Times New Roman"/>
          <w:b/>
          <w:sz w:val="36"/>
          <w:szCs w:val="36"/>
          <w:lang w:val="en-US"/>
        </w:rPr>
      </w:pPr>
    </w:p>
    <w:p w14:paraId="4DF0DFF9" w14:textId="77777777" w:rsidR="0018094C" w:rsidRDefault="0018094C" w:rsidP="00F24315">
      <w:pPr>
        <w:pStyle w:val="Body"/>
        <w:spacing w:line="240" w:lineRule="auto"/>
        <w:rPr>
          <w:rFonts w:ascii="Times New Roman" w:hAnsi="Times New Roman"/>
          <w:b/>
          <w:sz w:val="36"/>
          <w:szCs w:val="36"/>
          <w:lang w:val="en-US"/>
        </w:rPr>
      </w:pPr>
    </w:p>
    <w:p w14:paraId="5951EB9F" w14:textId="77777777" w:rsidR="0018094C" w:rsidRDefault="0018094C" w:rsidP="00F24315">
      <w:pPr>
        <w:pStyle w:val="Body"/>
        <w:spacing w:line="240" w:lineRule="auto"/>
        <w:rPr>
          <w:rFonts w:ascii="Times New Roman" w:hAnsi="Times New Roman"/>
          <w:b/>
          <w:sz w:val="36"/>
          <w:szCs w:val="36"/>
          <w:lang w:val="en-US"/>
        </w:rPr>
      </w:pPr>
    </w:p>
    <w:p w14:paraId="5B1A746D" w14:textId="77777777" w:rsidR="0018094C" w:rsidRDefault="0018094C" w:rsidP="00F24315">
      <w:pPr>
        <w:pStyle w:val="Body"/>
        <w:spacing w:line="240" w:lineRule="auto"/>
        <w:rPr>
          <w:rFonts w:ascii="Times New Roman" w:hAnsi="Times New Roman"/>
          <w:b/>
          <w:sz w:val="36"/>
          <w:szCs w:val="36"/>
          <w:lang w:val="en-US"/>
        </w:rPr>
      </w:pPr>
    </w:p>
    <w:p w14:paraId="6548BF4A" w14:textId="77777777" w:rsidR="0018094C" w:rsidRDefault="0018094C" w:rsidP="00F24315">
      <w:pPr>
        <w:pStyle w:val="Body"/>
        <w:spacing w:line="240" w:lineRule="auto"/>
        <w:rPr>
          <w:rFonts w:ascii="Times New Roman" w:hAnsi="Times New Roman"/>
          <w:b/>
          <w:sz w:val="36"/>
          <w:szCs w:val="36"/>
          <w:lang w:val="en-US"/>
        </w:rPr>
      </w:pPr>
    </w:p>
    <w:p w14:paraId="3E286008" w14:textId="77777777" w:rsidR="0018094C" w:rsidRDefault="0018094C" w:rsidP="00F24315">
      <w:pPr>
        <w:pStyle w:val="Body"/>
        <w:spacing w:line="240" w:lineRule="auto"/>
        <w:rPr>
          <w:rFonts w:ascii="Times New Roman" w:hAnsi="Times New Roman"/>
          <w:b/>
          <w:sz w:val="36"/>
          <w:szCs w:val="36"/>
          <w:lang w:val="en-US"/>
        </w:rPr>
      </w:pPr>
    </w:p>
    <w:p w14:paraId="7A0F8115" w14:textId="663D4AE0" w:rsidR="001A4C77" w:rsidRDefault="001A4C77" w:rsidP="00F24315">
      <w:pPr>
        <w:pStyle w:val="Body"/>
        <w:spacing w:line="240" w:lineRule="auto"/>
        <w:rPr>
          <w:rFonts w:ascii="Times New Roman" w:hAnsi="Times New Roman"/>
          <w:b/>
          <w:sz w:val="36"/>
          <w:szCs w:val="36"/>
          <w:lang w:val="en-US"/>
        </w:rPr>
      </w:pPr>
    </w:p>
    <w:p w14:paraId="74BEC7F6" w14:textId="77777777" w:rsidR="008E2485" w:rsidRDefault="008E2485" w:rsidP="008E2485">
      <w:pPr>
        <w:pStyle w:val="Default"/>
        <w:spacing w:line="480" w:lineRule="auto"/>
        <w:rPr>
          <w:rFonts w:ascii="Times New Roman" w:hAnsi="Times New Roman" w:cs="Times New Roman"/>
        </w:rPr>
      </w:pPr>
    </w:p>
    <w:p w14:paraId="0E5AA3FA" w14:textId="77777777" w:rsidR="008E2485" w:rsidRPr="009433A3" w:rsidRDefault="008E2485" w:rsidP="008E2485">
      <w:pPr>
        <w:pStyle w:val="Default"/>
        <w:spacing w:line="480" w:lineRule="auto"/>
        <w:rPr>
          <w:rFonts w:ascii="Times New Roman" w:hAnsi="Times New Roman" w:cs="Times New Roman"/>
        </w:rPr>
      </w:pPr>
    </w:p>
    <w:p w14:paraId="465171C8" w14:textId="77777777" w:rsidR="008E2485" w:rsidRPr="009433A3" w:rsidRDefault="008E2485" w:rsidP="008E2485"/>
    <w:p w14:paraId="5DF9EB3A" w14:textId="77777777" w:rsidR="001A4C77" w:rsidRDefault="001A4C77" w:rsidP="00F24315">
      <w:pPr>
        <w:pStyle w:val="Body"/>
        <w:spacing w:line="240" w:lineRule="auto"/>
        <w:rPr>
          <w:rFonts w:ascii="Times New Roman" w:hAnsi="Times New Roman"/>
          <w:b/>
          <w:sz w:val="36"/>
          <w:szCs w:val="36"/>
          <w:lang w:val="en-US"/>
        </w:rPr>
      </w:pPr>
    </w:p>
    <w:p w14:paraId="46DDEE4E" w14:textId="77777777" w:rsidR="001A4C77" w:rsidRDefault="001A4C77" w:rsidP="00F24315">
      <w:pPr>
        <w:pStyle w:val="Body"/>
        <w:spacing w:line="240" w:lineRule="auto"/>
        <w:rPr>
          <w:rFonts w:ascii="Times New Roman" w:hAnsi="Times New Roman"/>
          <w:b/>
          <w:sz w:val="36"/>
          <w:szCs w:val="36"/>
          <w:lang w:val="en-US"/>
        </w:rPr>
      </w:pPr>
    </w:p>
    <w:p w14:paraId="2791E2F6" w14:textId="77777777" w:rsidR="001A4C77" w:rsidRDefault="001A4C77" w:rsidP="00F24315">
      <w:pPr>
        <w:pStyle w:val="Body"/>
        <w:spacing w:line="240" w:lineRule="auto"/>
        <w:rPr>
          <w:rFonts w:ascii="Times New Roman" w:hAnsi="Times New Roman"/>
          <w:b/>
          <w:sz w:val="36"/>
          <w:szCs w:val="36"/>
          <w:lang w:val="en-US"/>
        </w:rPr>
      </w:pPr>
    </w:p>
    <w:p w14:paraId="3BBF08F6" w14:textId="77777777" w:rsidR="001A4C77" w:rsidRDefault="001A4C77" w:rsidP="00F24315">
      <w:pPr>
        <w:pStyle w:val="Body"/>
        <w:spacing w:line="240" w:lineRule="auto"/>
        <w:rPr>
          <w:rFonts w:ascii="Times New Roman" w:hAnsi="Times New Roman"/>
          <w:b/>
          <w:sz w:val="36"/>
          <w:szCs w:val="36"/>
          <w:lang w:val="en-US"/>
        </w:rPr>
      </w:pPr>
    </w:p>
    <w:p w14:paraId="6C605333" w14:textId="789EA42B" w:rsidR="00EE36ED" w:rsidRDefault="00EE36ED" w:rsidP="00EE36ED">
      <w:pPr>
        <w:pStyle w:val="Body"/>
        <w:spacing w:line="240" w:lineRule="auto"/>
        <w:rPr>
          <w:rFonts w:ascii="Times New Roman" w:hAnsi="Times New Roman"/>
          <w:b/>
          <w:sz w:val="36"/>
          <w:szCs w:val="36"/>
          <w:lang w:val="en-US"/>
        </w:rPr>
      </w:pPr>
      <w:r>
        <w:rPr>
          <w:rFonts w:ascii="Times New Roman" w:hAnsi="Times New Roman"/>
          <w:b/>
          <w:sz w:val="36"/>
          <w:szCs w:val="36"/>
          <w:lang w:val="en-US"/>
        </w:rPr>
        <w:t>&lt;Insert supplementary figure 2 here&gt;</w:t>
      </w:r>
    </w:p>
    <w:p w14:paraId="43879037" w14:textId="77777777" w:rsidR="001A4C77" w:rsidRDefault="001A4C77" w:rsidP="00F24315">
      <w:pPr>
        <w:pStyle w:val="Body"/>
        <w:spacing w:line="240" w:lineRule="auto"/>
        <w:rPr>
          <w:rFonts w:ascii="Times New Roman" w:hAnsi="Times New Roman"/>
          <w:b/>
          <w:sz w:val="36"/>
          <w:szCs w:val="36"/>
          <w:lang w:val="en-US"/>
        </w:rPr>
      </w:pPr>
    </w:p>
    <w:p w14:paraId="1EA94D55" w14:textId="77777777" w:rsidR="001A4C77" w:rsidRDefault="001A4C77" w:rsidP="00F24315">
      <w:pPr>
        <w:pStyle w:val="Body"/>
        <w:spacing w:line="240" w:lineRule="auto"/>
        <w:rPr>
          <w:rFonts w:ascii="Times New Roman" w:hAnsi="Times New Roman"/>
          <w:b/>
          <w:sz w:val="36"/>
          <w:szCs w:val="36"/>
          <w:lang w:val="en-US"/>
        </w:rPr>
      </w:pPr>
    </w:p>
    <w:p w14:paraId="417BCEAA" w14:textId="77777777" w:rsidR="001A4C77" w:rsidRDefault="001A4C77" w:rsidP="00F24315">
      <w:pPr>
        <w:pStyle w:val="Body"/>
        <w:spacing w:line="240" w:lineRule="auto"/>
        <w:rPr>
          <w:rFonts w:ascii="Times New Roman" w:hAnsi="Times New Roman"/>
          <w:b/>
          <w:sz w:val="36"/>
          <w:szCs w:val="36"/>
          <w:lang w:val="en-US"/>
        </w:rPr>
      </w:pPr>
    </w:p>
    <w:p w14:paraId="2CEBB5E6" w14:textId="77777777" w:rsidR="001A4C77" w:rsidRDefault="001A4C77" w:rsidP="00F24315">
      <w:pPr>
        <w:pStyle w:val="Body"/>
        <w:spacing w:line="240" w:lineRule="auto"/>
        <w:rPr>
          <w:rFonts w:ascii="Times New Roman" w:hAnsi="Times New Roman"/>
          <w:b/>
          <w:sz w:val="36"/>
          <w:szCs w:val="36"/>
          <w:lang w:val="en-US"/>
        </w:rPr>
      </w:pPr>
    </w:p>
    <w:p w14:paraId="56635A18" w14:textId="77777777" w:rsidR="001A4C77" w:rsidRDefault="001A4C77" w:rsidP="00F24315">
      <w:pPr>
        <w:pStyle w:val="Body"/>
        <w:spacing w:line="240" w:lineRule="auto"/>
        <w:rPr>
          <w:rFonts w:ascii="Times New Roman" w:hAnsi="Times New Roman"/>
          <w:b/>
          <w:sz w:val="36"/>
          <w:szCs w:val="36"/>
          <w:lang w:val="en-US"/>
        </w:rPr>
      </w:pPr>
    </w:p>
    <w:p w14:paraId="3707D644" w14:textId="77777777" w:rsidR="001A4C77" w:rsidRDefault="001A4C77" w:rsidP="00F24315">
      <w:pPr>
        <w:pStyle w:val="Body"/>
        <w:spacing w:line="240" w:lineRule="auto"/>
        <w:rPr>
          <w:rFonts w:ascii="Times New Roman" w:hAnsi="Times New Roman"/>
          <w:b/>
          <w:sz w:val="36"/>
          <w:szCs w:val="36"/>
          <w:lang w:val="en-US"/>
        </w:rPr>
      </w:pPr>
    </w:p>
    <w:p w14:paraId="2DC7E9C5" w14:textId="77777777" w:rsidR="0077334A" w:rsidRDefault="0077334A" w:rsidP="008E2485">
      <w:pPr>
        <w:pStyle w:val="Default"/>
        <w:spacing w:line="480" w:lineRule="auto"/>
        <w:rPr>
          <w:rFonts w:ascii="Times New Roman" w:eastAsia="Calibri" w:hAnsi="Times New Roman" w:cs="Calibri"/>
          <w:b/>
          <w:sz w:val="36"/>
          <w:szCs w:val="36"/>
        </w:rPr>
      </w:pPr>
    </w:p>
    <w:p w14:paraId="0C5C5F8D" w14:textId="77777777" w:rsidR="00196801" w:rsidRDefault="00196801" w:rsidP="008E2485">
      <w:pPr>
        <w:pStyle w:val="Default"/>
        <w:spacing w:line="480" w:lineRule="auto"/>
        <w:rPr>
          <w:rFonts w:ascii="Times New Roman" w:eastAsia="Calibri" w:hAnsi="Times New Roman" w:cs="Calibri"/>
          <w:b/>
          <w:sz w:val="36"/>
          <w:szCs w:val="36"/>
        </w:rPr>
      </w:pPr>
    </w:p>
    <w:p w14:paraId="1DD2F59F" w14:textId="77777777" w:rsidR="00EE36ED" w:rsidRDefault="00EE36ED" w:rsidP="008E2485">
      <w:pPr>
        <w:pStyle w:val="Default"/>
        <w:spacing w:line="480" w:lineRule="auto"/>
        <w:rPr>
          <w:rFonts w:ascii="Times New Roman" w:eastAsia="Calibri" w:hAnsi="Times New Roman" w:cs="Calibri"/>
          <w:b/>
          <w:sz w:val="36"/>
          <w:szCs w:val="36"/>
        </w:rPr>
      </w:pPr>
    </w:p>
    <w:p w14:paraId="577E1101" w14:textId="77777777" w:rsidR="00EE36ED" w:rsidRDefault="00EE36ED" w:rsidP="008E2485">
      <w:pPr>
        <w:pStyle w:val="Default"/>
        <w:spacing w:line="480" w:lineRule="auto"/>
        <w:rPr>
          <w:rFonts w:ascii="Times New Roman" w:eastAsia="Calibri" w:hAnsi="Times New Roman" w:cs="Calibri"/>
          <w:b/>
          <w:sz w:val="36"/>
          <w:szCs w:val="36"/>
        </w:rPr>
      </w:pPr>
    </w:p>
    <w:p w14:paraId="4F67604C" w14:textId="77777777" w:rsidR="00EE36ED" w:rsidRDefault="00EE36ED" w:rsidP="008E2485">
      <w:pPr>
        <w:pStyle w:val="Default"/>
        <w:spacing w:line="480" w:lineRule="auto"/>
        <w:rPr>
          <w:rFonts w:ascii="Times New Roman" w:eastAsia="Calibri" w:hAnsi="Times New Roman" w:cs="Calibri"/>
          <w:b/>
          <w:sz w:val="36"/>
          <w:szCs w:val="36"/>
        </w:rPr>
      </w:pPr>
    </w:p>
    <w:p w14:paraId="5577BCC9" w14:textId="77777777" w:rsidR="00EE36ED" w:rsidRDefault="00EE36ED" w:rsidP="008E2485">
      <w:pPr>
        <w:pStyle w:val="Default"/>
        <w:spacing w:line="480" w:lineRule="auto"/>
        <w:rPr>
          <w:rFonts w:ascii="Times New Roman" w:eastAsia="Calibri" w:hAnsi="Times New Roman" w:cs="Calibri"/>
          <w:b/>
          <w:sz w:val="36"/>
          <w:szCs w:val="36"/>
        </w:rPr>
      </w:pPr>
    </w:p>
    <w:p w14:paraId="20DB4CEA" w14:textId="77777777" w:rsidR="00EE36ED" w:rsidRDefault="00EE36ED" w:rsidP="008E2485">
      <w:pPr>
        <w:pStyle w:val="Default"/>
        <w:spacing w:line="480" w:lineRule="auto"/>
        <w:rPr>
          <w:rFonts w:ascii="Times New Roman" w:eastAsia="Calibri" w:hAnsi="Times New Roman" w:cs="Calibri"/>
          <w:b/>
          <w:sz w:val="36"/>
          <w:szCs w:val="36"/>
        </w:rPr>
      </w:pPr>
    </w:p>
    <w:p w14:paraId="7A9FBDEC" w14:textId="77777777" w:rsidR="00EE36ED" w:rsidRDefault="00EE36ED" w:rsidP="008E2485">
      <w:pPr>
        <w:pStyle w:val="Default"/>
        <w:spacing w:line="480" w:lineRule="auto"/>
        <w:rPr>
          <w:rFonts w:ascii="Times New Roman" w:eastAsia="Calibri" w:hAnsi="Times New Roman" w:cs="Calibri"/>
          <w:b/>
          <w:sz w:val="36"/>
          <w:szCs w:val="36"/>
        </w:rPr>
      </w:pPr>
    </w:p>
    <w:p w14:paraId="489290BE" w14:textId="18226595" w:rsidR="008E2485" w:rsidRDefault="008E2485" w:rsidP="008E2485">
      <w:pPr>
        <w:pStyle w:val="Default"/>
        <w:spacing w:line="480" w:lineRule="auto"/>
        <w:rPr>
          <w:rFonts w:ascii="Times New Roman" w:hAnsi="Times New Roman" w:cs="Times New Roman"/>
          <w:b/>
          <w:bCs/>
        </w:rPr>
      </w:pPr>
      <w:r w:rsidRPr="008E2485">
        <w:rPr>
          <w:rFonts w:ascii="Times New Roman" w:eastAsia="Calibri" w:hAnsi="Times New Roman" w:cs="Calibri"/>
          <w:b/>
          <w:sz w:val="36"/>
          <w:szCs w:val="36"/>
        </w:rPr>
        <w:lastRenderedPageBreak/>
        <w:t>Measurement of potential confounders</w:t>
      </w:r>
    </w:p>
    <w:p w14:paraId="68A366EC" w14:textId="12F6FDCC" w:rsidR="008E2485" w:rsidRPr="00BD1D06" w:rsidRDefault="008E2485" w:rsidP="00BD1D0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bdr w:val="none" w:sz="0" w:space="0" w:color="auto"/>
          <w:lang w:val="en-GB" w:eastAsia="en-GB"/>
        </w:rPr>
      </w:pPr>
      <w:r w:rsidRPr="009433A3">
        <w:t xml:space="preserve">Family income was total income adjusted for household size and composition, in quintiles. Maternal education ranged from 1 (none or compulsory education) to 6 (postgraduate), classified into compulsory and non-compulsory. Ethnic background was classified as white or ethnic minority due to small numbers. </w:t>
      </w:r>
      <w:r w:rsidR="00625F1B" w:rsidRPr="00340080">
        <w:t>An adapted version of the pubertal development scale (PDS)</w:t>
      </w:r>
      <w:r w:rsidR="00160529">
        <w:t xml:space="preserve"> </w:t>
      </w:r>
      <w:r w:rsidR="00160529">
        <w:fldChar w:fldCharType="begin" w:fldLock="1"/>
      </w:r>
      <w:r w:rsidR="00043965">
        <w:instrText>ADDIN CSL_CITATION {"citationItems":[{"id":"ITEM-1","itemData":{"DOI":"10.1007/BF01537962","ISSN":"00472891","abstract":"Puberty is a central process in the complex set of changes that constitutes the transition from childhood to adolescence. Research on the role of pubertal change in this transition has been impeded by the difficulty of assessing puberty in ways acceptable to young adolescents and others involved. Addressing this problem, this paper describes and presents norms for a selfreport measure of pubertal status. The measure was used twice annually over a period of three years in a longitudinal study of 335 young adolescent boys and girls. Data on a longitudinal subsample of 253 subjects are reported. The scale shows good reliability, as indicated by coefficient alpha. In addition, several sources of data suggest that these reports are valid. The availability of such a measure is important for studies, such as those based in schools, in which more direct measures of puberty may not be possible. © 1988 Plenum Publishing Corporation.","author":[{"dropping-particle":"","family":"Petersen","given":"Anne C.","non-dropping-particle":"","parse-names":false,"suffix":""},{"dropping-particle":"","family":"Crockett","given":"Lisa","non-dropping-particle":"","parse-names":false,"suffix":""},{"dropping-particle":"","family":"Richards","given":"Maryse","non-dropping-particle":"","parse-names":false,"suffix":""},{"dropping-particle":"","family":"Boxer","given":"Andrew","non-dropping-particle":"","parse-names":false,"suffix":""}],"container-title":"Journal of Youth and Adolescence","id":"ITEM-1","issue":"2","issued":{"date-parts":[["1988","4"]]},"page":"117-133","publisher":"Kluwer Academic Publishers","title":"A self-report measure of pubertal status: Reliability, validity, and initial norms","type":"article-journal","volume":"17"},"uris":["http://www.mendeley.com/documents/?uuid=d9d0146d-cf88-3f1e-a3ca-4f712f535c6f"]}],"mendeley":{"formattedCitation":"(Petersen, Crockett, Richards, &amp; Boxer, 1988)","plainTextFormattedCitation":"(Petersen, Crockett, Richards, &amp; Boxer, 1988)","previouslyFormattedCitation":"(Petersen, Crockett, Richards, &amp; Boxer, 1988)"},"properties":{"noteIndex":0},"schema":"https://github.com/citation-style-language/schema/raw/master/csl-citation.json"}</w:instrText>
      </w:r>
      <w:r w:rsidR="00160529">
        <w:fldChar w:fldCharType="separate"/>
      </w:r>
      <w:r w:rsidR="00160529" w:rsidRPr="00160529">
        <w:rPr>
          <w:noProof/>
        </w:rPr>
        <w:t>(Petersen, Crockett, Richards, &amp; Boxer, 1988)</w:t>
      </w:r>
      <w:r w:rsidR="00160529">
        <w:fldChar w:fldCharType="end"/>
      </w:r>
      <w:r w:rsidR="00625F1B" w:rsidRPr="00340080">
        <w:t xml:space="preserve"> was used in MCS at ages 11 (parent reported) and 14 (adolescent reported). </w:t>
      </w:r>
      <w:r w:rsidR="00986B95">
        <w:t>Consistent with prior studies</w:t>
      </w:r>
      <w:r w:rsidR="00043965">
        <w:t xml:space="preserve"> </w:t>
      </w:r>
      <w:r w:rsidR="00043965">
        <w:fldChar w:fldCharType="begin" w:fldLock="1"/>
      </w:r>
      <w:r w:rsidR="00043965">
        <w:instrText>ADDIN CSL_CITATION {"citationItems":[{"id":"ITEM-1","itemData":{"DOI":"10.1136/archdischild-2016-310475","ISSN":"14682044","PMID":"27672135","abstract":"Objective Early puberty in girls is linked to some adverse outcomes in adolescence and mid-life. We address two research questions: (1) Are socioeconomic circumstances and ethnicity associated with early onset puberty? (2) Are adiposity and/or psychosocial stress associated with observed associations? Design Longitudinal data on 5839 girls from the UK Millennium Cohort Study were used to estimate associations between ethnicity, family income, adiposity and psychosocial stress with a marker of puberty. Main outcome measure Reported menstruation at age 11 years. Results All quoted ORs are statistically significant. Girls in the poorest income quintile were twice as likely (OR=2.1), and the second poorest quintile nearly twice as likely (OR=1.9) to have begun menstruation compared with girls in the richest income quintile. Estimates were roughly halved on adjustment for Body Mass Index and markers of psychosocial stress (poorest, OR=1.5; second poorest, OR=1.5). Indian girls were over 3 times as likely compared with whites to have started menstruation (OR=3.5) and statistical adjustments did not attenuate estimates. The raised odds of menstruation for Pakistani (OR=1.9), Bangladeshi (OR=3.3) and black African (OR=3.0) girls were attenuated to varying extents, from about a third to a half, on adjustment for income and adiposity. Conclusions In contemporary UK, excess adiposity and psychosocial stress were associated with social inequalities in early puberty, while material disadvantage and adiposity were linked to ethnic inequalities in early puberty among girls.","author":[{"dropping-particle":"","family":"Kelly","given":"Yvonne","non-dropping-particle":"","parse-names":false,"suffix":""},{"dropping-particle":"","family":"Zilanawala","given":"Afshin","non-dropping-particle":"","parse-names":false,"suffix":""},{"dropping-particle":"","family":"Sacker","given":"Amanda","non-dropping-particle":"","parse-names":false,"suffix":""},{"dropping-particle":"","family":"Hiatt","given":"Robert","non-dropping-particle":"","parse-names":false,"suffix":""},{"dropping-particle":"","family":"Viner","given":"Russell","non-dropping-particle":"","parse-names":false,"suffix":""}],"container-title":"Archives of Disease in Childhood","id":"ITEM-1","issue":"3","issued":{"date-parts":[["2017","3","1"]]},"page":"232-237","publisher":"BMJ Publishing Group","title":"Early puberty in 11-year-old girls: Millennium Cohort Study findings","type":"article-journal","volume":"102"},"uris":["http://www.mendeley.com/documents/?uuid=f916709d-7458-3020-9a53-3f60c1b7d4bd"]},{"id":"ITEM-2","itemData":{"DOI":"10.1007/s00787-017-1043-6","ISBN":"0123456789","abstract":"in childhood may be a useful approach to reducing future externalising and health-risk behaviours in offspring.","author":[{"dropping-particle":"","family":"Flouri","given":"Eirini","non-dropping-particle":"","parse-names":false,"suffix":""},{"dropping-particle":"","family":"Ioakeimidi","given":"Sofia","non-dropping-particle":"","parse-names":false,"suffix":""}],"container-title":"European Child &amp; Adolescent Psychiatry","id":"ITEM-2","issued":{"date-parts":[["2018"]]},"page":"301-308","title":"Maternal depressive symptoms in childhood and risky behaviours in early adolescence","type":"article-journal","volume":"27"},"uris":["http://www.mendeley.com/documents/?uuid=9b45a57c-7435-3324-a1c2-7863a0ef8e4a"]}],"mendeley":{"formattedCitation":"(Flouri &amp; Ioakeimidi, 2018; Kelly, Zilanawala, Sacker, Hiatt, &amp; Viner, 2017)","plainTextFormattedCitation":"(Flouri &amp; Ioakeimidi, 2018; Kelly, Zilanawala, Sacker, Hiatt, &amp; Viner, 2017)","previouslyFormattedCitation":"(Flouri &amp; Ioakeimidi, 2018; Kelly, Zilanawala, Sacker, Hiatt, &amp; Viner, 2017)"},"properties":{"noteIndex":0},"schema":"https://github.com/citation-style-language/schema/raw/master/csl-citation.json"}</w:instrText>
      </w:r>
      <w:r w:rsidR="00043965">
        <w:fldChar w:fldCharType="separate"/>
      </w:r>
      <w:r w:rsidR="00043965" w:rsidRPr="00043965">
        <w:rPr>
          <w:noProof/>
        </w:rPr>
        <w:t>(Flouri &amp; Ioakeimidi, 2018; Kelly, Zilanawala, Sacker, Hiatt, &amp; Viner, 2017)</w:t>
      </w:r>
      <w:r w:rsidR="00043965">
        <w:fldChar w:fldCharType="end"/>
      </w:r>
      <w:r w:rsidR="00043965">
        <w:t>,</w:t>
      </w:r>
      <w:r w:rsidR="00986B95">
        <w:t xml:space="preserve"> we selected </w:t>
      </w:r>
      <w:r w:rsidR="00043965">
        <w:t xml:space="preserve">certain </w:t>
      </w:r>
      <w:r w:rsidR="00986B95">
        <w:t xml:space="preserve">indicators of pubertal development rather than using a sum score. </w:t>
      </w:r>
      <w:r w:rsidR="00340080" w:rsidRPr="00340080">
        <w:t>We selected indicators of pubertal stage</w:t>
      </w:r>
      <w:r w:rsidR="00043965">
        <w:t>/status</w:t>
      </w:r>
      <w:r w:rsidR="00340080" w:rsidRPr="00340080">
        <w:t xml:space="preserve"> because this has been found to be more strongly associated with adolescent depressive symptoms than pubertal timing</w:t>
      </w:r>
      <w:r w:rsidR="00692CFC">
        <w:t xml:space="preserve"> </w:t>
      </w:r>
      <w:r w:rsidR="00340080" w:rsidRPr="00340080">
        <w:rPr>
          <w:vertAlign w:val="superscript"/>
        </w:rPr>
        <w:fldChar w:fldCharType="begin" w:fldLock="1"/>
      </w:r>
      <w:r w:rsidR="00692CFC">
        <w:rPr>
          <w:vertAlign w:val="superscript"/>
        </w:rPr>
        <w:instrText>ADDIN CSL_CITATION {"citationItems":[{"id":"ITEM-1","itemData":{"ISSN":"1932-6203","PMID":"29912985","abstract":"BACKGROUND There is an association between puberty and depression, but many things remain poorly understood. When assessing puberty in females, most studies combine indicators of breast and pubic hair development which are controlled by different hormonal pathways. The contributions of pubertal timing (age at onset) and pubertal status (stage of development, irrespective of timing) are also poorly understood. We tested the hypothesis that stage of breast development in female adolescents, controlled largely by increased estradiol, would be more strongly associated with depression than pubic hair development which occurs in both males and females, and is controlled by adrenal androgens. We investigated whether this association was independent of pubertal timing. METHODS ROOTS is an ongoing cohort of 1,238 adolescents (54% female) recruited in Cambridgeshire (UK) at age 14.5, and followed-up at ages 16 and 17.5. Depression was assessed using the Mood and Feelings Questionnaire (MFQ) and clinical interview. Breast and pubic hair development were assessed at 14.5, using Tanner rating scales. RESULTS For each increase in Tanner breast stage at 14.5, depressive symptoms increased by 1.4 MFQ points (95% CI 0.6 to 2.3), irrespective of age at onset. Pubic hair status was only associated with depressive symptoms before adjustment for breast status, and was not associated with depression in males. The same pattern was observed longitudinally, and for depression diagnoses. LIMITATIONS We did not directly measure hormone levels, our findings are observational, and the study had a relatively low response rate. CONCLUSIONS Females at more advanced stages of breast development are at increased risk of depression, even if their age at pubertal onset is not early. Alongside social and psychological factors, hormones controlling breast but not pubic hair development may contribute to increased incidence of female depression during puberty.","author":[{"dropping-particle":"","family":"Lewis","given":"Gemma","non-dropping-particle":"","parse-names":false,"suffix":""},{"dropping-particle":"","family":"Ioannidis","given":"Konstantinos","non-dropping-particle":"","parse-names":false,"suffix":""},{"dropping-particle":"","family":"Harmelen","given":"Anne-Laura","non-dropping-particle":"van","parse-names":false,"suffix":""},{"dropping-particle":"","family":"Neufeld","given":"Sharon","non-dropping-particle":"","parse-names":false,"suffix":""},{"dropping-particle":"","family":"Stochl","given":"Jan","non-dropping-particle":"","parse-names":false,"suffix":""},{"dropping-particle":"","family":"Lewis","given":"Glyn","non-dropping-particle":"","parse-names":false,"suffix":""},{"dropping-particle":"","family":"Jones","given":"Peter B.","non-dropping-particle":"","parse-names":false,"suffix":""},{"dropping-particle":"","family":"Goodyer","given":"Ian","non-dropping-particle":"","parse-names":false,"suffix":""}],"container-title":"PLOS ONE","editor":[{"dropping-particle":"","family":"Schooling","given":"C. Mary","non-dropping-particle":"","parse-names":false,"suffix":""}],"id":"ITEM-1","issue":"6","issued":{"date-parts":[["2018","6","18"]]},"page":"e0198804","title":"The association between pubertal status and depressive symptoms and diagnoses in adolescent females: A population-based cohort study","type":"article-journal","volume":"13"},"uris":["http://www.mendeley.com/documents/?uuid=f57a092a-ccd3-3588-89d2-0a3e3298656e"]},{"id":"ITEM-2","itemData":{"DOI":"10.1017/S003329171200061X","ISBN":"0033291712000","ISSN":"0033-2917","PMID":"22717026","abstract":"BACKGROUND: It is unclear whether pubertal status or timing of puberty explains the increase in depressive symptoms in girls during adolescence.\\n\\nMETHOD: This is a longitudinal study based on 2506 girls from the Avon Longitudinal Study of Parents and Children (ALSPAC). Self-reported depressive symptoms at 10.5, 13 and 14 years were assessed using the Short Mood and Feelings Questionnaire (SMFQ). Pubertal status (Tanner breast and pubic hair stage) and timing of menarche were derived from questionnaires administered from age 8 to 14 years. We used multivariable regression models to examine the relative contributions of pubertal status and timing in accounting for increases in level of depressive symptoms at 14 years.\\n\\nRESULTS: With increasing age, the association between breast development and depressive symptoms strengthened. Pubertal status (breast stage), rather than timing of menarche, was independently associated with depressive symptoms at 14 years. There was strong evidence for a linear relationship between breast stage and depressive symptoms at 14 years [increase in 0.17 S.D. (range 0.10-0.24) of depressive symptoms for advancement of each breast stage].\\n\\nCONCLUSIONS: Depressive symptoms in mid-adolescence were more strongly influenced by breast stage than timing of menarche. This could imply that the female rise in depression during adolescence is due to increasing estrogen levels, and might explain why the gender difference in rates of depression emerges at this stage. Future research should be aimed at identifying the mechanism of action of pubertal change, including direct effects of pubertal hormones and indirect effects mediated by psychosocial factors.","author":[{"dropping-particle":"","family":"Joinson","given":"C.","non-dropping-particle":"","parse-names":false,"suffix":""},{"dropping-particle":"","family":"Heron","given":"J.","non-dropping-particle":"","parse-names":false,"suffix":""},{"dropping-particle":"","family":"Araya","given":"R.","non-dropping-particle":"","parse-names":false,"suffix":""},{"dropping-particle":"","family":"Paus","given":"T.","non-dropping-particle":"","parse-names":false,"suffix":""},{"dropping-particle":"","family":"Croudace","given":"T.","non-dropping-particle":"","parse-names":false,"suffix":""},{"dropping-particle":"","family":"Rubin","given":"C.","non-dropping-particle":"","parse-names":false,"suffix":""},{"dropping-particle":"","family":"Marcus","given":"M.","non-dropping-particle":"","parse-names":false,"suffix":""},{"dropping-particle":"","family":"Lewis","given":"G.","non-dropping-particle":"","parse-names":false,"suffix":""}],"container-title":"Psychological Medicine","id":"ITEM-2","issue":"12","issued":{"date-parts":[["2012"]]},"page":"2579-2589","title":"Association between pubertal development and depressive symptoms in girls from a UK cohort","type":"article-journal","volume":"42"},"uris":["http://www.mendeley.com/documents/?uuid=74704399-a245-4cef-a47c-195d03aba503"]}],"mendeley":{"formattedCitation":"(Joinson et al., 2012; Lewis et al., 2018)","plainTextFormattedCitation":"(Joinson et al., 2012; Lewis et al., 2018)","previouslyFormattedCitation":"(Joinson et al., 2012; Lewis et al., 2018)"},"properties":{"noteIndex":0},"schema":"https://github.com/citation-style-language/schema/raw/master/csl-citation.json"}</w:instrText>
      </w:r>
      <w:r w:rsidR="00340080" w:rsidRPr="00340080">
        <w:rPr>
          <w:vertAlign w:val="superscript"/>
        </w:rPr>
        <w:fldChar w:fldCharType="separate"/>
      </w:r>
      <w:r w:rsidR="00692CFC" w:rsidRPr="00692CFC">
        <w:rPr>
          <w:noProof/>
        </w:rPr>
        <w:t>(Joinson et al., 2012; Lewis et al., 2018)</w:t>
      </w:r>
      <w:r w:rsidR="00340080" w:rsidRPr="00340080">
        <w:rPr>
          <w:vertAlign w:val="superscript"/>
        </w:rPr>
        <w:fldChar w:fldCharType="end"/>
      </w:r>
      <w:r w:rsidR="00692CFC">
        <w:t>.</w:t>
      </w:r>
      <w:r w:rsidR="00340080" w:rsidRPr="00340080">
        <w:t xml:space="preserve"> </w:t>
      </w:r>
      <w:r w:rsidR="00043965" w:rsidRPr="00340080">
        <w:t>We chose stage of breast development in females because it is more strongly associated with depression than age at menarche</w:t>
      </w:r>
      <w:r w:rsidR="00043965">
        <w:t xml:space="preserve"> </w:t>
      </w:r>
      <w:r w:rsidR="00043965">
        <w:fldChar w:fldCharType="begin" w:fldLock="1"/>
      </w:r>
      <w:r w:rsidR="00043965">
        <w:instrText>ADDIN CSL_CITATION {"citationItems":[{"id":"ITEM-1","itemData":{"DOI":"10.1017/S003329171200061X","ISBN":"0033291712000","ISSN":"0033-2917","PMID":"22717026","abstract":"BACKGROUND: It is unclear whether pubertal status or timing of puberty explains the increase in depressive symptoms in girls during adolescence.\\n\\nMETHOD: This is a longitudinal study based on 2506 girls from the Avon Longitudinal Study of Parents and Children (ALSPAC). Self-reported depressive symptoms at 10.5, 13 and 14 years were assessed using the Short Mood and Feelings Questionnaire (SMFQ). Pubertal status (Tanner breast and pubic hair stage) and timing of menarche were derived from questionnaires administered from age 8 to 14 years. We used multivariable regression models to examine the relative contributions of pubertal status and timing in accounting for increases in level of depressive symptoms at 14 years.\\n\\nRESULTS: With increasing age, the association between breast development and depressive symptoms strengthened. Pubertal status (breast stage), rather than timing of menarche, was independently associated with depressive symptoms at 14 years. There was strong evidence for a linear relationship between breast stage and depressive symptoms at 14 years [increase in 0.17 S.D. (range 0.10-0.24) of depressive symptoms for advancement of each breast stage].\\n\\nCONCLUSIONS: Depressive symptoms in mid-adolescence were more strongly influenced by breast stage than timing of menarche. This could imply that the female rise in depression during adolescence is due to increasing estrogen levels, and might explain why the gender difference in rates of depression emerges at this stage. Future research should be aimed at identifying the mechanism of action of pubertal change, including direct effects of pubertal hormones and indirect effects mediated by psychosocial factors.","author":[{"dropping-particle":"","family":"Joinson","given":"C.","non-dropping-particle":"","parse-names":false,"suffix":""},{"dropping-particle":"","family":"Heron","given":"J.","non-dropping-particle":"","parse-names":false,"suffix":""},{"dropping-particle":"","family":"Araya","given":"R.","non-dropping-particle":"","parse-names":false,"suffix":""},{"dropping-particle":"","family":"Paus","given":"T.","non-dropping-particle":"","parse-names":false,"suffix":""},{"dropping-particle":"","family":"Croudace","given":"T.","non-dropping-particle":"","parse-names":false,"suffix":""},{"dropping-particle":"","family":"Rubin","given":"C.","non-dropping-particle":"","parse-names":false,"suffix":""},{"dropping-particle":"","family":"Marcus","given":"M.","non-dropping-particle":"","parse-names":false,"suffix":""},{"dropping-particle":"","family":"Lewis","given":"G.","non-dropping-particle":"","parse-names":false,"suffix":""}],"container-title":"Psychological Medicine","id":"ITEM-1","issue":"12","issued":{"date-parts":[["2012"]]},"page":"2579-2589","title":"Association between pubertal development and depressive symptoms in girls from a UK cohort","type":"article-journal","volume":"42"},"uris":["http://www.mendeley.com/documents/?uuid=74704399-a245-4cef-a47c-195d03aba503"]}],"mendeley":{"formattedCitation":"(Joinson et al., 2012)","plainTextFormattedCitation":"(Joinson et al., 2012)"},"properties":{"noteIndex":0},"schema":"https://github.com/citation-style-language/schema/raw/master/csl-citation.json"}</w:instrText>
      </w:r>
      <w:r w:rsidR="00043965">
        <w:fldChar w:fldCharType="separate"/>
      </w:r>
      <w:r w:rsidR="00043965" w:rsidRPr="00043965">
        <w:rPr>
          <w:noProof/>
        </w:rPr>
        <w:t>(Joinson et al., 2012)</w:t>
      </w:r>
      <w:r w:rsidR="00043965">
        <w:fldChar w:fldCharType="end"/>
      </w:r>
      <w:r w:rsidR="00043965" w:rsidRPr="00340080">
        <w:t xml:space="preserve"> and also, for age at menarche, there is no easily obtained comparable measure for boys. </w:t>
      </w:r>
      <w:r w:rsidRPr="009433A3">
        <w:t>Pubertal development was stage of breast development in females and facial hair development in males (parent report at age 11 and adolescent report at age 14). At age 11, children completed the Verbal Similarities test from the British Abilities Scale assessing verbal reasoning</w:t>
      </w:r>
      <w:r w:rsidR="00F91C04">
        <w:t xml:space="preserve">, fluency general </w:t>
      </w:r>
      <w:r w:rsidRPr="009433A3">
        <w:t>knowledge</w:t>
      </w:r>
      <w:r w:rsidR="00F91C04">
        <w:t xml:space="preserve"> and abstract and logical thinking</w:t>
      </w:r>
      <w:r w:rsidRPr="009433A3">
        <w:t xml:space="preserve">. </w:t>
      </w:r>
      <w:r w:rsidR="00F91C04">
        <w:t xml:space="preserve">We used a derived variable, which was the total score age and ability adjusted (possible range of scores 20-80, higher scores indicating higher ability). </w:t>
      </w:r>
      <w:r w:rsidRPr="009433A3">
        <w:t>At age 14 they completed a task that measured their understanding of word meanings</w:t>
      </w:r>
      <w:r w:rsidR="00BD1D06">
        <w:t xml:space="preserve"> and word knowledge</w:t>
      </w:r>
      <w:r w:rsidR="00A36185">
        <w:t xml:space="preserve"> (assessing vocabulary)</w:t>
      </w:r>
      <w:r w:rsidR="00D85DB7">
        <w:t>.</w:t>
      </w:r>
      <w:r w:rsidR="00BD1D06">
        <w:t xml:space="preserve"> The test contained </w:t>
      </w:r>
      <w:r w:rsidR="00BD1D06" w:rsidRPr="00BD1D06">
        <w:rPr>
          <w:rFonts w:eastAsia="Times New Roman"/>
          <w:bdr w:val="none" w:sz="0" w:space="0" w:color="auto"/>
          <w:lang w:val="en-GB" w:eastAsia="en-GB"/>
        </w:rPr>
        <w:t>20 words</w:t>
      </w:r>
      <w:r w:rsidR="00BD1D06">
        <w:rPr>
          <w:rFonts w:eastAsia="Times New Roman"/>
          <w:bdr w:val="none" w:sz="0" w:space="0" w:color="auto"/>
          <w:lang w:val="en-GB" w:eastAsia="en-GB"/>
        </w:rPr>
        <w:t xml:space="preserve">, each </w:t>
      </w:r>
      <w:r w:rsidR="00BD1D06" w:rsidRPr="00BD1D06">
        <w:rPr>
          <w:rFonts w:eastAsia="Times New Roman"/>
          <w:bdr w:val="none" w:sz="0" w:space="0" w:color="auto"/>
          <w:lang w:val="en-GB" w:eastAsia="en-GB"/>
        </w:rPr>
        <w:t xml:space="preserve">followed by a multiple-choice list of 5 words from which the </w:t>
      </w:r>
      <w:r w:rsidR="00BD1D06">
        <w:rPr>
          <w:rFonts w:eastAsia="Times New Roman"/>
          <w:bdr w:val="none" w:sz="0" w:space="0" w:color="auto"/>
          <w:lang w:val="en-GB" w:eastAsia="en-GB"/>
        </w:rPr>
        <w:t xml:space="preserve">participant </w:t>
      </w:r>
      <w:r w:rsidR="00BD1D06" w:rsidRPr="00BD1D06">
        <w:rPr>
          <w:rFonts w:eastAsia="Times New Roman"/>
          <w:bdr w:val="none" w:sz="0" w:space="0" w:color="auto"/>
          <w:lang w:val="en-GB" w:eastAsia="en-GB"/>
        </w:rPr>
        <w:t xml:space="preserve">picked the word with the same meaning as the original word. </w:t>
      </w:r>
      <w:r w:rsidR="00BD1D06">
        <w:rPr>
          <w:rFonts w:eastAsia="Times New Roman"/>
          <w:bdr w:val="none" w:sz="0" w:space="0" w:color="auto"/>
          <w:lang w:val="en-GB" w:eastAsia="en-GB"/>
        </w:rPr>
        <w:t>Possible scores range from 0-20.A full description of each of</w:t>
      </w:r>
      <w:r w:rsidR="00BD1D06">
        <w:t xml:space="preserve"> </w:t>
      </w:r>
      <w:r w:rsidR="00D85DB7">
        <w:t>the</w:t>
      </w:r>
      <w:r w:rsidR="00BD1D06">
        <w:t xml:space="preserve"> </w:t>
      </w:r>
      <w:r w:rsidR="00D85DB7">
        <w:t xml:space="preserve">cognitive measures can be found here: </w:t>
      </w:r>
      <w:hyperlink r:id="rId7" w:history="1">
        <w:r w:rsidR="00D85DB7" w:rsidRPr="00AC05B2">
          <w:rPr>
            <w:rStyle w:val="Hyperlink"/>
          </w:rPr>
          <w:t>https://www.closer.ac.uk/wp-content/uploads/250820-Guide-to-cognitive-measures-in-five-British-birth-cohorts.pdf</w:t>
        </w:r>
      </w:hyperlink>
      <w:r w:rsidR="00D85DB7">
        <w:t xml:space="preserve">. </w:t>
      </w:r>
      <w:r w:rsidRPr="003A1E48">
        <w:t xml:space="preserve">Parent depressive symptoms were </w:t>
      </w:r>
      <w:r w:rsidRPr="003A1E48">
        <w:lastRenderedPageBreak/>
        <w:t>measured using the Kessler 6-item psychological distress scale (K-6)</w:t>
      </w:r>
      <w:r w:rsidR="00AD40ED" w:rsidRPr="003A1E48">
        <w:t xml:space="preserve"> </w:t>
      </w:r>
      <w:r w:rsidR="00AD40ED" w:rsidRPr="003A1E48">
        <w:fldChar w:fldCharType="begin" w:fldLock="1"/>
      </w:r>
      <w:r w:rsidR="00AD40ED" w:rsidRPr="003A1E48">
        <w:instrText>ADDIN CSL_CITATION {"citationItems":[{"id":"ITEM-1","itemData":{"ISSN":"0033-2917","PMID":"12214795","abstract":"BACKGROUND A 10-question screening scale of psychological distress and a six-question short-form scale embedded within the 10-question scale were developed for the redesigned US National Health Interview Survey (NHIS). METHODS Initial pilot questions were administered in a US national mail survey (N = 1401). A reduced set of questions was subsequently administered in a US national telephone survey (N = 1574). The 10-question and six-question scales, which we refer to as the K10 and K6, were constructed from the reduced set of questions based on Item Response Theory models. The scales were subsequently validated in a two-stage clinical reappraisal survey (N = 1000 telephone screening interviews in the first stage followed by N = 153 face-to-face clinical interviews in the second stage that oversampled first-stage respondents who screened positive for emotional problems) in a local convenience sample. The second-stage sample was administered the screening scales along with the Structured Clinical Interview for DSM-IV (SCID). The K6 was subsequently included in the 1997 (N = 36116) and 1998 (N = 32440) US National Health Interview Survey, while the K10 was included in the 1997 (N = 10641) Australian National Survey of Mental Health and Well-Being. RESULTS Both the K10 and K6 have good precision in the 90th-99th percentile range of the population distribution (standard errors of standardized scores in the range 0.20-0.25) as well as consistent psychometric properties across major sociodemographic subsamples. The scales strongly discriminate between community cases and non-cases of DSM-IV/SCID disorders, with areas under the Receiver Operating Characteristic (ROC) curve of 0.87-0.88 for disorders having Global Assessment of Functioning (GAF) scores of 0-70 and 0.95-0.96 for disorders having GAF scores of 0-50. CONCLUSIONS The brevity, strong psychometric properties, and ability to discriminate DSM-IV cases from non-cases make the K10 and K6 attractive for use in general-purpose health surveys. The scales are already being used in annual government health surveys in the US and Canada as well as in the WHO World Mental Health Surveys. Routine inclusion of either the K10 or K6 in clinical studies would create an important, and heretofore missing, crosswalk between community and clinical epidemiology.","author":[{"dropping-particle":"","family":"Kessler","given":"R C","non-dropping-particle":"","parse-names":false,"suffix":""},{"dropping-particle":"","family":"Andrews","given":"G","non-dropping-particle":"","parse-names":false,"suffix":""},{"dropping-particle":"","family":"Colpe","given":"L J","non-dropping-particle":"","parse-names":false,"suffix":""},{"dropping-particle":"","family":"Hiripi","given":"E","non-dropping-particle":"","parse-names":false,"suffix":""},{"dropping-particle":"","family":"Mroczek","given":"D K","non-dropping-particle":"","parse-names":false,"suffix":""},{"dropping-particle":"","family":"Normand","given":"S L T","non-dropping-particle":"","parse-names":false,"suffix":""},{"dropping-particle":"","family":"Walters","given":"E E","non-dropping-particle":"","parse-names":false,"suffix":""},{"dropping-particle":"","family":"Zaslavsky","given":"A M","non-dropping-particle":"","parse-names":false,"suffix":""}],"container-title":"Psychological medicine","id":"ITEM-1","issue":"6","issued":{"date-parts":[["2002","8"]]},"page":"959-76","title":"Short screening scales to monitor population prevalences and trends in non-specific psychological distress.","type":"article-journal","volume":"32"},"uris":["http://www.mendeley.com/documents/?uuid=d940a8d5-123e-46c4-b168-facfa2e18f8f"]}],"mendeley":{"formattedCitation":"(Kessler et al., 2002)","plainTextFormattedCitation":"(Kessler et al., 2002)","previouslyFormattedCitation":"(Kessler et al., 2002)"},"properties":{"noteIndex":0},"schema":"https://github.com/citation-style-language/schema/raw/master/csl-citation.json"}</w:instrText>
      </w:r>
      <w:r w:rsidR="00AD40ED" w:rsidRPr="003A1E48">
        <w:fldChar w:fldCharType="separate"/>
      </w:r>
      <w:r w:rsidR="00AD40ED" w:rsidRPr="003A1E48">
        <w:t>(Kessler et al., 2002)</w:t>
      </w:r>
      <w:r w:rsidR="00AD40ED" w:rsidRPr="003A1E48">
        <w:fldChar w:fldCharType="end"/>
      </w:r>
      <w:r w:rsidRPr="003A1E48">
        <w:t>. In</w:t>
      </w:r>
      <w:r w:rsidRPr="009433A3">
        <w:t xml:space="preserve"> longitudinal analyses we adjusted for the parent reported SDQ total difficulties score, the sum of the scores on emotional, conduct, hyperactivity and peer problem scales</w:t>
      </w:r>
      <w:r w:rsidR="00AD40ED">
        <w:t xml:space="preserve"> </w:t>
      </w:r>
      <w:r w:rsidR="00AD40ED">
        <w:fldChar w:fldCharType="begin" w:fldLock="1"/>
      </w:r>
      <w:r w:rsidR="00160529">
        <w:instrText>ADDIN CSL_CITATION {"citationItems":[{"id":"ITEM-1","itemData":{"DOI":"10.1097/CHI.0b013e3181985068","ISSN":"15275418","PMID":"19242383","abstract":"OBJECTIVE: To provide the first explicit evaluation of the dimensionality of the total difficulties score of the Strengths and Difficulties Questionnaire (SDQ), a widely used measure of child mental health. We do so by validating the SDQ across its full range against the prevalence of clinical disorder. METHOD: We use two large (n = 18,415) nationally-representative surveys of children and adolescents aged 5 to 16 years in the general British population. Strengths and Difficulties Questionnaires were completed separately by parents, teachers, and children aged 11 to 16 years, and children also received a multi-informant clinician-rated clinical diagnosis. Approximately 7,912 children from the baseline survey were also reassessed for clinical diagnosis at 3-year follow-up. RESULTS: Across the full range of the parent, teacher, and youth SDQ, children with higher total difficulty scores have greater psychopathology as judged by the prevalence of clinical disorder. This was true cross-sectionally and also in predicting to disorder status 3 years later. There was no evidence of threshold effects for the SDQ at either high or low scores, but rather the odds of disorder increased at a constant rate across the range (odds ratios between 1.14 and 1.28 per 1-point increase in SDQ score). CONCLUSIONS: Our findings support the use of the SDQ as a genuinely dimensional measure of child mental health. Copyright © 2009 American Academy of Child and Adolescent Psychiatry.","author":[{"dropping-particle":"","family":"Goodman","given":"Anna","non-dropping-particle":"","parse-names":false,"suffix":""},{"dropping-particle":"","family":"Goodman","given":"Robert","non-dropping-particle":"","parse-names":false,"suffix":""}],"container-title":"Journal of the American Academy of Child and Adolescent Psychiatry","id":"ITEM-1","issue":"4","issued":{"date-parts":[["2009","4","1"]]},"page":"400-403","publisher":"Lippincott Williams and Wilkins","title":"Strengths and difficulties questionnaire as a dimensional measure of child mental health","type":"article-journal","volume":"48"},"uris":["http://www.mendeley.com/documents/?uuid=8d160dce-5cd3-3842-802a-d4acefca8166"]}],"mendeley":{"formattedCitation":"(Goodman &amp; Goodman, 2009)","plainTextFormattedCitation":"(Goodman &amp; Goodman, 2009)","previouslyFormattedCitation":"(Goodman &amp; Goodman, 2009)"},"properties":{"noteIndex":0},"schema":"https://github.com/citation-style-language/schema/raw/master/csl-citation.json"}</w:instrText>
      </w:r>
      <w:r w:rsidR="00AD40ED">
        <w:fldChar w:fldCharType="separate"/>
      </w:r>
      <w:r w:rsidR="00AD40ED" w:rsidRPr="00AD40ED">
        <w:rPr>
          <w:noProof/>
        </w:rPr>
        <w:t>(Goodman &amp; Goodman, 2009)</w:t>
      </w:r>
      <w:r w:rsidR="00AD40ED">
        <w:fldChar w:fldCharType="end"/>
      </w:r>
      <w:r w:rsidR="00AD40ED">
        <w:t>.</w:t>
      </w:r>
      <w:r w:rsidRPr="009433A3">
        <w:t xml:space="preserve"> </w:t>
      </w:r>
    </w:p>
    <w:p w14:paraId="496A2527" w14:textId="77777777" w:rsidR="001A4C77" w:rsidRDefault="001A4C77" w:rsidP="00F24315">
      <w:pPr>
        <w:pStyle w:val="Body"/>
        <w:spacing w:line="240" w:lineRule="auto"/>
        <w:rPr>
          <w:rFonts w:ascii="Times New Roman" w:hAnsi="Times New Roman"/>
          <w:b/>
          <w:sz w:val="36"/>
          <w:szCs w:val="36"/>
          <w:lang w:val="en-US"/>
        </w:rPr>
      </w:pPr>
    </w:p>
    <w:p w14:paraId="5575A3AE" w14:textId="26DB677C" w:rsidR="001A4C77" w:rsidRDefault="0077334A" w:rsidP="00F24315">
      <w:pPr>
        <w:pStyle w:val="Body"/>
        <w:spacing w:line="240" w:lineRule="auto"/>
        <w:rPr>
          <w:rFonts w:ascii="Times New Roman" w:hAnsi="Times New Roman"/>
          <w:b/>
          <w:sz w:val="36"/>
          <w:szCs w:val="36"/>
          <w:lang w:val="en-US"/>
        </w:rPr>
      </w:pPr>
      <w:r>
        <w:rPr>
          <w:rFonts w:ascii="Times New Roman" w:hAnsi="Times New Roman"/>
          <w:b/>
          <w:sz w:val="36"/>
          <w:szCs w:val="36"/>
          <w:lang w:val="en-US"/>
        </w:rPr>
        <w:t xml:space="preserve">Post-hoc sample size and </w:t>
      </w:r>
      <w:r w:rsidR="00BD549D">
        <w:rPr>
          <w:rFonts w:ascii="Times New Roman" w:hAnsi="Times New Roman"/>
          <w:b/>
          <w:sz w:val="36"/>
          <w:szCs w:val="36"/>
          <w:lang w:val="en-US"/>
        </w:rPr>
        <w:t xml:space="preserve">minimum </w:t>
      </w:r>
      <w:r>
        <w:rPr>
          <w:rFonts w:ascii="Times New Roman" w:hAnsi="Times New Roman"/>
          <w:b/>
          <w:sz w:val="36"/>
          <w:szCs w:val="36"/>
          <w:lang w:val="en-US"/>
        </w:rPr>
        <w:t xml:space="preserve">detectable effect calculations </w:t>
      </w:r>
    </w:p>
    <w:p w14:paraId="0A973EB2" w14:textId="77777777" w:rsidR="00A96FF4" w:rsidRDefault="00A96FF4"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p>
    <w:p w14:paraId="600018C2" w14:textId="12030358" w:rsidR="0030273F" w:rsidRPr="0030273F" w:rsidRDefault="0030273F"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r w:rsidRPr="0030273F">
        <w:rPr>
          <w:rFonts w:eastAsia="Times New Roman"/>
          <w:lang w:eastAsia="en-GB"/>
        </w:rPr>
        <w:t>We used the statistical software package G</w:t>
      </w:r>
      <w:r w:rsidR="00A96FF4">
        <w:rPr>
          <w:rFonts w:eastAsia="Times New Roman"/>
          <w:lang w:eastAsia="en-GB"/>
        </w:rPr>
        <w:t>*</w:t>
      </w:r>
      <w:r w:rsidRPr="0030273F">
        <w:rPr>
          <w:rFonts w:eastAsia="Times New Roman"/>
          <w:lang w:eastAsia="en-GB"/>
        </w:rPr>
        <w:t>Power to calculate minimum detectable effects given our sample size, assuming power of 99% and alpha of 5%.</w:t>
      </w:r>
    </w:p>
    <w:p w14:paraId="7EC2C14F" w14:textId="77777777" w:rsidR="0030273F" w:rsidRPr="0030273F" w:rsidRDefault="0030273F"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p>
    <w:p w14:paraId="107EF70D" w14:textId="77777777" w:rsidR="0030273F" w:rsidRPr="0030273F" w:rsidRDefault="0030273F"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r w:rsidRPr="0030273F">
        <w:rPr>
          <w:rFonts w:eastAsia="Times New Roman"/>
          <w:lang w:eastAsia="en-GB"/>
        </w:rPr>
        <w:t xml:space="preserve">For our investigation of the association between risk taking and depressive symptoms, our longitudinal analysis had the smallest sample size (n=8418). For this analysis, assuming 99% power and an alpha of 5%, we would be able to detect a </w:t>
      </w:r>
      <w:proofErr w:type="spellStart"/>
      <w:r w:rsidRPr="0030273F">
        <w:rPr>
          <w:rFonts w:eastAsia="Times New Roman"/>
          <w:lang w:eastAsia="en-GB"/>
        </w:rPr>
        <w:t>standardised</w:t>
      </w:r>
      <w:proofErr w:type="spellEnd"/>
      <w:r w:rsidRPr="0030273F">
        <w:rPr>
          <w:rFonts w:eastAsia="Times New Roman"/>
          <w:lang w:eastAsia="en-GB"/>
        </w:rPr>
        <w:t xml:space="preserve"> regression coefficient of 0.046. </w:t>
      </w:r>
    </w:p>
    <w:p w14:paraId="71D8713B" w14:textId="77777777" w:rsidR="0030273F" w:rsidRPr="0030273F" w:rsidRDefault="0030273F"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p>
    <w:p w14:paraId="177CD787" w14:textId="77777777" w:rsidR="0030273F" w:rsidRPr="0030273F" w:rsidRDefault="0030273F" w:rsidP="00B0623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lang w:eastAsia="en-GB"/>
        </w:rPr>
      </w:pPr>
      <w:r w:rsidRPr="0030273F">
        <w:rPr>
          <w:rFonts w:eastAsia="Times New Roman"/>
          <w:lang w:eastAsia="en-GB"/>
        </w:rPr>
        <w:t>For our investigations of sex differences in risk taking and risk adjustment, our cross-sectional investigation at age 14 had the smallest sample size (n=8628; 4354 girls and 4274 boys). For this analysis, assuming 99% power and an alpha of 5%, we would be able to detect a Cohen’s D effect size of 0.092.</w:t>
      </w:r>
    </w:p>
    <w:p w14:paraId="50A4666B" w14:textId="77777777" w:rsidR="001A4C77" w:rsidRDefault="001A4C77" w:rsidP="00F24315">
      <w:pPr>
        <w:pStyle w:val="Body"/>
        <w:spacing w:line="240" w:lineRule="auto"/>
        <w:rPr>
          <w:rFonts w:ascii="Times New Roman" w:hAnsi="Times New Roman"/>
          <w:b/>
          <w:sz w:val="36"/>
          <w:szCs w:val="36"/>
          <w:lang w:val="en-US"/>
        </w:rPr>
      </w:pPr>
    </w:p>
    <w:p w14:paraId="256E66A3" w14:textId="77777777" w:rsidR="00290DC5" w:rsidRDefault="00290DC5" w:rsidP="00F24315">
      <w:pPr>
        <w:pStyle w:val="Body"/>
        <w:spacing w:line="240" w:lineRule="auto"/>
        <w:rPr>
          <w:rFonts w:ascii="Times New Roman" w:hAnsi="Times New Roman"/>
          <w:sz w:val="24"/>
          <w:szCs w:val="24"/>
          <w:lang w:val="en-US"/>
        </w:rPr>
      </w:pPr>
    </w:p>
    <w:p w14:paraId="7D737F06" w14:textId="77777777" w:rsidR="00290DC5" w:rsidRDefault="00290DC5" w:rsidP="00F24315">
      <w:pPr>
        <w:pStyle w:val="Body"/>
        <w:spacing w:line="240" w:lineRule="auto"/>
        <w:rPr>
          <w:rFonts w:ascii="Times New Roman" w:hAnsi="Times New Roman"/>
          <w:sz w:val="24"/>
          <w:szCs w:val="24"/>
          <w:lang w:val="en-US"/>
        </w:rPr>
      </w:pPr>
    </w:p>
    <w:p w14:paraId="04B526AA" w14:textId="77777777" w:rsidR="00290DC5" w:rsidRDefault="00290DC5" w:rsidP="00F24315">
      <w:pPr>
        <w:pStyle w:val="Body"/>
        <w:spacing w:line="240" w:lineRule="auto"/>
        <w:rPr>
          <w:rFonts w:ascii="Times New Roman" w:hAnsi="Times New Roman"/>
          <w:sz w:val="24"/>
          <w:szCs w:val="24"/>
          <w:lang w:val="en-US"/>
        </w:rPr>
      </w:pPr>
    </w:p>
    <w:p w14:paraId="6DB409E7" w14:textId="77777777" w:rsidR="00290DC5" w:rsidRDefault="00290DC5" w:rsidP="00F24315">
      <w:pPr>
        <w:pStyle w:val="Body"/>
        <w:spacing w:line="240" w:lineRule="auto"/>
        <w:rPr>
          <w:rFonts w:ascii="Times New Roman" w:hAnsi="Times New Roman"/>
          <w:sz w:val="24"/>
          <w:szCs w:val="24"/>
          <w:lang w:val="en-US"/>
        </w:rPr>
      </w:pPr>
    </w:p>
    <w:p w14:paraId="504AD403" w14:textId="77777777" w:rsidR="00290DC5" w:rsidRDefault="00290DC5" w:rsidP="00F24315">
      <w:pPr>
        <w:pStyle w:val="Body"/>
        <w:spacing w:line="240" w:lineRule="auto"/>
        <w:rPr>
          <w:rFonts w:ascii="Times New Roman" w:hAnsi="Times New Roman"/>
          <w:sz w:val="24"/>
          <w:szCs w:val="24"/>
          <w:lang w:val="en-US"/>
        </w:rPr>
      </w:pPr>
    </w:p>
    <w:p w14:paraId="7AC36BA3" w14:textId="6A661396" w:rsidR="001A4C77" w:rsidRDefault="007349E9" w:rsidP="00F24315">
      <w:pPr>
        <w:pStyle w:val="Body"/>
        <w:spacing w:line="240" w:lineRule="auto"/>
        <w:rPr>
          <w:rFonts w:ascii="Times New Roman" w:hAnsi="Times New Roman"/>
          <w:b/>
          <w:sz w:val="36"/>
          <w:szCs w:val="36"/>
          <w:lang w:val="en-US"/>
        </w:rPr>
      </w:pPr>
      <w:r>
        <w:rPr>
          <w:rFonts w:ascii="Times New Roman" w:hAnsi="Times New Roman"/>
          <w:sz w:val="24"/>
          <w:szCs w:val="24"/>
          <w:lang w:val="en-US"/>
        </w:rPr>
        <w:lastRenderedPageBreak/>
        <w:t>Supplementary Table 1. Differences between samples with complete and missing data.</w:t>
      </w:r>
    </w:p>
    <w:tbl>
      <w:tblPr>
        <w:tblStyle w:val="TableGrid"/>
        <w:tblW w:w="9488" w:type="dxa"/>
        <w:tblLook w:val="04A0" w:firstRow="1" w:lastRow="0" w:firstColumn="1" w:lastColumn="0" w:noHBand="0" w:noVBand="1"/>
      </w:tblPr>
      <w:tblGrid>
        <w:gridCol w:w="3736"/>
        <w:gridCol w:w="2508"/>
        <w:gridCol w:w="2386"/>
        <w:gridCol w:w="858"/>
      </w:tblGrid>
      <w:tr w:rsidR="008A2CB3" w:rsidRPr="0040561E" w14:paraId="4675AB59" w14:textId="77777777" w:rsidTr="00DC6828">
        <w:tc>
          <w:tcPr>
            <w:tcW w:w="3736" w:type="dxa"/>
            <w:vMerge w:val="restart"/>
          </w:tcPr>
          <w:p w14:paraId="223CA107" w14:textId="77777777" w:rsidR="008A2CB3" w:rsidRPr="0040561E" w:rsidRDefault="008A2CB3" w:rsidP="00777977">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Baseline characteristic (age 11)</w:t>
            </w:r>
          </w:p>
        </w:tc>
        <w:tc>
          <w:tcPr>
            <w:tcW w:w="0" w:type="auto"/>
            <w:gridSpan w:val="2"/>
          </w:tcPr>
          <w:p w14:paraId="0AFA5D8B" w14:textId="77777777" w:rsidR="008A2CB3" w:rsidRPr="0040561E" w:rsidRDefault="008A2CB3" w:rsidP="00777977">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Longitudinal analysis</w:t>
            </w:r>
          </w:p>
        </w:tc>
        <w:tc>
          <w:tcPr>
            <w:tcW w:w="0" w:type="auto"/>
            <w:vMerge w:val="restart"/>
          </w:tcPr>
          <w:p w14:paraId="41E3425C" w14:textId="77777777" w:rsidR="008A2CB3" w:rsidRPr="0040561E" w:rsidRDefault="008A2CB3" w:rsidP="00777977">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P value</w:t>
            </w:r>
          </w:p>
        </w:tc>
      </w:tr>
      <w:tr w:rsidR="00422CD6" w:rsidRPr="0040561E" w14:paraId="095EE272" w14:textId="77777777" w:rsidTr="00DC6828">
        <w:tc>
          <w:tcPr>
            <w:tcW w:w="3736" w:type="dxa"/>
            <w:vMerge/>
          </w:tcPr>
          <w:p w14:paraId="2B3B4CB3"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0" w:type="auto"/>
          </w:tcPr>
          <w:p w14:paraId="1CFA40ED" w14:textId="44F0B7E1"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Sample with complete data (8,418)</w:t>
            </w:r>
          </w:p>
        </w:tc>
        <w:tc>
          <w:tcPr>
            <w:tcW w:w="0" w:type="auto"/>
          </w:tcPr>
          <w:p w14:paraId="47998C07" w14:textId="22EDB2E9"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Sample with missing data (4,694)</w:t>
            </w:r>
          </w:p>
        </w:tc>
        <w:tc>
          <w:tcPr>
            <w:tcW w:w="0" w:type="auto"/>
            <w:vMerge/>
          </w:tcPr>
          <w:p w14:paraId="689DD0C4"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r>
      <w:tr w:rsidR="00422CD6" w:rsidRPr="0040561E" w14:paraId="75A4C178" w14:textId="77777777" w:rsidTr="00DC6828">
        <w:tc>
          <w:tcPr>
            <w:tcW w:w="3736" w:type="dxa"/>
          </w:tcPr>
          <w:p w14:paraId="1821F0D4"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 xml:space="preserve">Mean </w:t>
            </w:r>
            <w:proofErr w:type="gramStart"/>
            <w:r w:rsidRPr="0040561E">
              <w:rPr>
                <w:sz w:val="22"/>
                <w:szCs w:val="22"/>
              </w:rPr>
              <w:t>risk taking</w:t>
            </w:r>
            <w:proofErr w:type="gramEnd"/>
            <w:r w:rsidRPr="0040561E">
              <w:rPr>
                <w:sz w:val="22"/>
                <w:szCs w:val="22"/>
              </w:rPr>
              <w:t xml:space="preserve"> score (SD) </w:t>
            </w:r>
          </w:p>
        </w:tc>
        <w:tc>
          <w:tcPr>
            <w:tcW w:w="0" w:type="auto"/>
          </w:tcPr>
          <w:p w14:paraId="6920BE71" w14:textId="226D5645"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52.3 (16.8</w:t>
            </w:r>
            <w:r w:rsidR="00151041">
              <w:rPr>
                <w:sz w:val="22"/>
                <w:szCs w:val="22"/>
              </w:rPr>
              <w:t>3</w:t>
            </w:r>
            <w:r w:rsidRPr="0040561E">
              <w:rPr>
                <w:sz w:val="22"/>
                <w:szCs w:val="22"/>
              </w:rPr>
              <w:t>)</w:t>
            </w:r>
          </w:p>
        </w:tc>
        <w:tc>
          <w:tcPr>
            <w:tcW w:w="0" w:type="auto"/>
          </w:tcPr>
          <w:p w14:paraId="2836F58E" w14:textId="5793683C"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54.4 (16.9</w:t>
            </w:r>
            <w:r w:rsidR="00151041">
              <w:rPr>
                <w:sz w:val="22"/>
                <w:szCs w:val="22"/>
              </w:rPr>
              <w:t>0</w:t>
            </w:r>
            <w:r w:rsidRPr="0040561E">
              <w:rPr>
                <w:sz w:val="22"/>
                <w:szCs w:val="22"/>
              </w:rPr>
              <w:t>)</w:t>
            </w:r>
          </w:p>
        </w:tc>
        <w:tc>
          <w:tcPr>
            <w:tcW w:w="0" w:type="auto"/>
          </w:tcPr>
          <w:p w14:paraId="5F770FC4"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422CD6" w:rsidRPr="0040561E" w14:paraId="51E00E6E" w14:textId="77777777" w:rsidTr="00DC6828">
        <w:tc>
          <w:tcPr>
            <w:tcW w:w="3736" w:type="dxa"/>
          </w:tcPr>
          <w:p w14:paraId="4C9F0EAE"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 xml:space="preserve">Mean risk adjustment score (SD) </w:t>
            </w:r>
          </w:p>
        </w:tc>
        <w:tc>
          <w:tcPr>
            <w:tcW w:w="0" w:type="auto"/>
          </w:tcPr>
          <w:p w14:paraId="0D030D3E" w14:textId="44BCE64D"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2.09 (1.41)</w:t>
            </w:r>
          </w:p>
        </w:tc>
        <w:tc>
          <w:tcPr>
            <w:tcW w:w="0" w:type="auto"/>
          </w:tcPr>
          <w:p w14:paraId="491FC9CE" w14:textId="4768F611"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1.82 (1.41)</w:t>
            </w:r>
          </w:p>
        </w:tc>
        <w:tc>
          <w:tcPr>
            <w:tcW w:w="0" w:type="auto"/>
          </w:tcPr>
          <w:p w14:paraId="638DCC36"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422CD6" w:rsidRPr="0040561E" w14:paraId="3B649BFA" w14:textId="77777777" w:rsidTr="00DC6828">
        <w:tc>
          <w:tcPr>
            <w:tcW w:w="3736" w:type="dxa"/>
          </w:tcPr>
          <w:p w14:paraId="1B96717F"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Mean emotional symptoms score</w:t>
            </w:r>
          </w:p>
        </w:tc>
        <w:tc>
          <w:tcPr>
            <w:tcW w:w="0" w:type="auto"/>
          </w:tcPr>
          <w:p w14:paraId="758CDF50" w14:textId="1DDBF243"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1.77 (1.93)</w:t>
            </w:r>
          </w:p>
        </w:tc>
        <w:tc>
          <w:tcPr>
            <w:tcW w:w="0" w:type="auto"/>
          </w:tcPr>
          <w:p w14:paraId="385FF986" w14:textId="20B4C5AA"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2.08 (2.10)</w:t>
            </w:r>
          </w:p>
        </w:tc>
        <w:tc>
          <w:tcPr>
            <w:tcW w:w="0" w:type="auto"/>
          </w:tcPr>
          <w:p w14:paraId="54F44E17" w14:textId="77777777" w:rsidR="00422CD6" w:rsidRPr="0040561E" w:rsidRDefault="00422CD6" w:rsidP="00422CD6">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007275B3" w14:textId="77777777" w:rsidTr="00DC6828">
        <w:tc>
          <w:tcPr>
            <w:tcW w:w="3736" w:type="dxa"/>
          </w:tcPr>
          <w:p w14:paraId="42A8FCD8" w14:textId="0B3117E0"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Mean SDQ total difficulties score (SD)</w:t>
            </w:r>
          </w:p>
        </w:tc>
        <w:tc>
          <w:tcPr>
            <w:tcW w:w="0" w:type="auto"/>
          </w:tcPr>
          <w:p w14:paraId="67F8C308" w14:textId="756DB640"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7.21 (5.49)</w:t>
            </w:r>
          </w:p>
        </w:tc>
        <w:tc>
          <w:tcPr>
            <w:tcW w:w="0" w:type="auto"/>
          </w:tcPr>
          <w:p w14:paraId="4D5EFE92" w14:textId="0CF5B934"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8.84 (6.38)</w:t>
            </w:r>
          </w:p>
        </w:tc>
        <w:tc>
          <w:tcPr>
            <w:tcW w:w="0" w:type="auto"/>
          </w:tcPr>
          <w:p w14:paraId="5058F9C2" w14:textId="49CEAE6C"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377731B7" w14:textId="77777777" w:rsidTr="00DC6828">
        <w:tc>
          <w:tcPr>
            <w:tcW w:w="3736" w:type="dxa"/>
          </w:tcPr>
          <w:p w14:paraId="1DC09493"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Mean parent depressive symptoms score (SD)</w:t>
            </w:r>
          </w:p>
        </w:tc>
        <w:tc>
          <w:tcPr>
            <w:tcW w:w="0" w:type="auto"/>
          </w:tcPr>
          <w:p w14:paraId="00107B36" w14:textId="19E9C976"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3.84 (4.23)</w:t>
            </w:r>
          </w:p>
        </w:tc>
        <w:tc>
          <w:tcPr>
            <w:tcW w:w="0" w:type="auto"/>
          </w:tcPr>
          <w:p w14:paraId="135375C0" w14:textId="520FDC4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4.70 (4.87)</w:t>
            </w:r>
          </w:p>
        </w:tc>
        <w:tc>
          <w:tcPr>
            <w:tcW w:w="0" w:type="auto"/>
          </w:tcPr>
          <w:p w14:paraId="03D903E6"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2D29E360" w14:textId="77777777" w:rsidTr="00DC6828">
        <w:tc>
          <w:tcPr>
            <w:tcW w:w="3736" w:type="dxa"/>
          </w:tcPr>
          <w:p w14:paraId="72BB12BC"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Mean child cognitive ability score (SD)</w:t>
            </w:r>
          </w:p>
        </w:tc>
        <w:tc>
          <w:tcPr>
            <w:tcW w:w="0" w:type="auto"/>
          </w:tcPr>
          <w:p w14:paraId="0DCABB73" w14:textId="38E27488"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59.86 (9.30)</w:t>
            </w:r>
          </w:p>
        </w:tc>
        <w:tc>
          <w:tcPr>
            <w:tcW w:w="0" w:type="auto"/>
          </w:tcPr>
          <w:p w14:paraId="3585D5B6" w14:textId="4582819C"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56.40 (11.06)</w:t>
            </w:r>
          </w:p>
        </w:tc>
        <w:tc>
          <w:tcPr>
            <w:tcW w:w="0" w:type="auto"/>
          </w:tcPr>
          <w:p w14:paraId="6A648407"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355A9BC5" w14:textId="77777777" w:rsidTr="00DC6828">
        <w:tc>
          <w:tcPr>
            <w:tcW w:w="3736" w:type="dxa"/>
          </w:tcPr>
          <w:p w14:paraId="54FD0E5A"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Lowest income quintile</w:t>
            </w:r>
          </w:p>
        </w:tc>
        <w:tc>
          <w:tcPr>
            <w:tcW w:w="0" w:type="auto"/>
          </w:tcPr>
          <w:p w14:paraId="0B1C6439" w14:textId="621518C2"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1231 (14.6</w:t>
            </w:r>
            <w:r>
              <w:rPr>
                <w:sz w:val="22"/>
                <w:szCs w:val="22"/>
              </w:rPr>
              <w:t>2</w:t>
            </w:r>
            <w:r w:rsidRPr="0040561E">
              <w:rPr>
                <w:sz w:val="22"/>
                <w:szCs w:val="22"/>
              </w:rPr>
              <w:t>)</w:t>
            </w:r>
          </w:p>
        </w:tc>
        <w:tc>
          <w:tcPr>
            <w:tcW w:w="0" w:type="auto"/>
          </w:tcPr>
          <w:p w14:paraId="5B3D83CC" w14:textId="4D12B776"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1521 (32.4</w:t>
            </w:r>
            <w:r>
              <w:rPr>
                <w:sz w:val="22"/>
                <w:szCs w:val="22"/>
              </w:rPr>
              <w:t>0</w:t>
            </w:r>
            <w:r w:rsidRPr="0040561E">
              <w:rPr>
                <w:sz w:val="22"/>
                <w:szCs w:val="22"/>
              </w:rPr>
              <w:t>)</w:t>
            </w:r>
          </w:p>
        </w:tc>
        <w:tc>
          <w:tcPr>
            <w:tcW w:w="0" w:type="auto"/>
          </w:tcPr>
          <w:p w14:paraId="61F5FF93"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171E64EB" w14:textId="77777777" w:rsidTr="00DC6828">
        <w:tc>
          <w:tcPr>
            <w:tcW w:w="3736" w:type="dxa"/>
          </w:tcPr>
          <w:p w14:paraId="7016A796"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Compulsory maternal education only</w:t>
            </w:r>
          </w:p>
        </w:tc>
        <w:tc>
          <w:tcPr>
            <w:tcW w:w="0" w:type="auto"/>
          </w:tcPr>
          <w:p w14:paraId="30280939" w14:textId="4EBF6ACC"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3647 (43.</w:t>
            </w:r>
            <w:r>
              <w:rPr>
                <w:sz w:val="22"/>
                <w:szCs w:val="22"/>
              </w:rPr>
              <w:t>3</w:t>
            </w:r>
            <w:r w:rsidRPr="0040561E">
              <w:rPr>
                <w:sz w:val="22"/>
                <w:szCs w:val="22"/>
              </w:rPr>
              <w:t>2)</w:t>
            </w:r>
          </w:p>
        </w:tc>
        <w:tc>
          <w:tcPr>
            <w:tcW w:w="0" w:type="auto"/>
          </w:tcPr>
          <w:p w14:paraId="0AF6A08F" w14:textId="1A949DBD"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1043 (24.</w:t>
            </w:r>
            <w:r>
              <w:rPr>
                <w:sz w:val="22"/>
                <w:szCs w:val="22"/>
              </w:rPr>
              <w:t>85</w:t>
            </w:r>
            <w:r w:rsidRPr="0040561E">
              <w:rPr>
                <w:sz w:val="22"/>
                <w:szCs w:val="22"/>
              </w:rPr>
              <w:t>)</w:t>
            </w:r>
          </w:p>
        </w:tc>
        <w:tc>
          <w:tcPr>
            <w:tcW w:w="0" w:type="auto"/>
          </w:tcPr>
          <w:p w14:paraId="327A410D"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61253B1E" w14:textId="77777777" w:rsidTr="00DC6828">
        <w:tc>
          <w:tcPr>
            <w:tcW w:w="3736" w:type="dxa"/>
          </w:tcPr>
          <w:p w14:paraId="04125302"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Ethnic minority</w:t>
            </w:r>
          </w:p>
        </w:tc>
        <w:tc>
          <w:tcPr>
            <w:tcW w:w="0" w:type="auto"/>
          </w:tcPr>
          <w:p w14:paraId="4E0719B7" w14:textId="067C7F2B"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1081 (12.8</w:t>
            </w:r>
            <w:r>
              <w:rPr>
                <w:sz w:val="22"/>
                <w:szCs w:val="22"/>
              </w:rPr>
              <w:t>4</w:t>
            </w:r>
            <w:r w:rsidRPr="0040561E">
              <w:rPr>
                <w:sz w:val="22"/>
                <w:szCs w:val="22"/>
              </w:rPr>
              <w:t>)</w:t>
            </w:r>
          </w:p>
        </w:tc>
        <w:tc>
          <w:tcPr>
            <w:tcW w:w="0" w:type="auto"/>
          </w:tcPr>
          <w:p w14:paraId="01725ED8" w14:textId="77172A51"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1191 (25.</w:t>
            </w:r>
            <w:r>
              <w:rPr>
                <w:sz w:val="22"/>
                <w:szCs w:val="22"/>
              </w:rPr>
              <w:t>39</w:t>
            </w:r>
            <w:r w:rsidRPr="0040561E">
              <w:rPr>
                <w:sz w:val="22"/>
                <w:szCs w:val="22"/>
              </w:rPr>
              <w:t>)</w:t>
            </w:r>
          </w:p>
        </w:tc>
        <w:tc>
          <w:tcPr>
            <w:tcW w:w="0" w:type="auto"/>
          </w:tcPr>
          <w:p w14:paraId="1BAD4463"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6D04D7B0" w14:textId="77777777" w:rsidTr="00DC6828">
        <w:tc>
          <w:tcPr>
            <w:tcW w:w="3736" w:type="dxa"/>
          </w:tcPr>
          <w:p w14:paraId="6C59D93B"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 xml:space="preserve">Female </w:t>
            </w:r>
          </w:p>
        </w:tc>
        <w:tc>
          <w:tcPr>
            <w:tcW w:w="0" w:type="auto"/>
          </w:tcPr>
          <w:p w14:paraId="4DEFA12C" w14:textId="5E63C415"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4257 (50.</w:t>
            </w:r>
            <w:r>
              <w:rPr>
                <w:sz w:val="22"/>
                <w:szCs w:val="22"/>
              </w:rPr>
              <w:t>5</w:t>
            </w:r>
            <w:r w:rsidRPr="0040561E">
              <w:rPr>
                <w:sz w:val="22"/>
                <w:szCs w:val="22"/>
              </w:rPr>
              <w:t>7)</w:t>
            </w:r>
          </w:p>
        </w:tc>
        <w:tc>
          <w:tcPr>
            <w:tcW w:w="0" w:type="auto"/>
          </w:tcPr>
          <w:p w14:paraId="7D06EED2" w14:textId="34665244"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2221 (47.3</w:t>
            </w:r>
            <w:r>
              <w:rPr>
                <w:sz w:val="22"/>
                <w:szCs w:val="22"/>
              </w:rPr>
              <w:t>2</w:t>
            </w:r>
            <w:r w:rsidRPr="0040561E">
              <w:rPr>
                <w:sz w:val="22"/>
                <w:szCs w:val="22"/>
              </w:rPr>
              <w:t>)</w:t>
            </w:r>
          </w:p>
        </w:tc>
        <w:tc>
          <w:tcPr>
            <w:tcW w:w="0" w:type="auto"/>
          </w:tcPr>
          <w:p w14:paraId="0E04E654"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&lt;.0001</w:t>
            </w:r>
          </w:p>
        </w:tc>
      </w:tr>
      <w:tr w:rsidR="001935CE" w:rsidRPr="0040561E" w14:paraId="796071D2" w14:textId="77777777" w:rsidTr="00DC6828">
        <w:tc>
          <w:tcPr>
            <w:tcW w:w="3736" w:type="dxa"/>
          </w:tcPr>
          <w:p w14:paraId="6DD37D76"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40561E">
              <w:rPr>
                <w:sz w:val="22"/>
                <w:szCs w:val="22"/>
              </w:rPr>
              <w:t>Outcome (age 14)</w:t>
            </w:r>
          </w:p>
        </w:tc>
        <w:tc>
          <w:tcPr>
            <w:tcW w:w="0" w:type="auto"/>
          </w:tcPr>
          <w:p w14:paraId="658101E4"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0" w:type="auto"/>
          </w:tcPr>
          <w:p w14:paraId="21326292"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c>
          <w:tcPr>
            <w:tcW w:w="0" w:type="auto"/>
          </w:tcPr>
          <w:p w14:paraId="24FC2D3E"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tc>
      </w:tr>
      <w:tr w:rsidR="001935CE" w:rsidRPr="0040561E" w14:paraId="5C721082" w14:textId="77777777" w:rsidTr="00DC6828">
        <w:tc>
          <w:tcPr>
            <w:tcW w:w="3736" w:type="dxa"/>
          </w:tcPr>
          <w:p w14:paraId="03FB7E61"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Mean depressive symptoms score</w:t>
            </w:r>
          </w:p>
        </w:tc>
        <w:tc>
          <w:tcPr>
            <w:tcW w:w="0" w:type="auto"/>
          </w:tcPr>
          <w:p w14:paraId="622BF0BB" w14:textId="1CE2BB0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5.59 (5.88)</w:t>
            </w:r>
          </w:p>
        </w:tc>
        <w:tc>
          <w:tcPr>
            <w:tcW w:w="0" w:type="auto"/>
          </w:tcPr>
          <w:p w14:paraId="4ABF1731" w14:textId="41EFA2CA"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5.37 (5.85)</w:t>
            </w:r>
          </w:p>
        </w:tc>
        <w:tc>
          <w:tcPr>
            <w:tcW w:w="0" w:type="auto"/>
          </w:tcPr>
          <w:p w14:paraId="1FE983CD" w14:textId="77777777" w:rsidR="001935CE" w:rsidRPr="0040561E" w:rsidRDefault="001935CE" w:rsidP="001935CE">
            <w:p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40561E">
              <w:rPr>
                <w:sz w:val="22"/>
                <w:szCs w:val="22"/>
              </w:rPr>
              <w:t>0.12</w:t>
            </w:r>
          </w:p>
        </w:tc>
      </w:tr>
    </w:tbl>
    <w:p w14:paraId="013AFA1D" w14:textId="77777777" w:rsidR="001A4C77" w:rsidRDefault="001A4C77" w:rsidP="00F24315">
      <w:pPr>
        <w:pStyle w:val="Body"/>
        <w:spacing w:line="240" w:lineRule="auto"/>
        <w:rPr>
          <w:rFonts w:ascii="Times New Roman" w:hAnsi="Times New Roman"/>
          <w:b/>
          <w:sz w:val="36"/>
          <w:szCs w:val="36"/>
          <w:lang w:val="en-US"/>
        </w:rPr>
      </w:pPr>
    </w:p>
    <w:p w14:paraId="32CD4F6E" w14:textId="77777777" w:rsidR="007349E9" w:rsidRDefault="007349E9" w:rsidP="00F24315">
      <w:pPr>
        <w:pStyle w:val="Body"/>
        <w:spacing w:line="240" w:lineRule="auto"/>
        <w:rPr>
          <w:rFonts w:ascii="Times New Roman" w:hAnsi="Times New Roman"/>
          <w:b/>
          <w:sz w:val="36"/>
          <w:szCs w:val="36"/>
          <w:lang w:val="en-US"/>
        </w:rPr>
      </w:pPr>
    </w:p>
    <w:p w14:paraId="3764AD3B" w14:textId="77777777" w:rsidR="007349E9" w:rsidRDefault="007349E9" w:rsidP="00F24315">
      <w:pPr>
        <w:pStyle w:val="Body"/>
        <w:spacing w:line="240" w:lineRule="auto"/>
        <w:rPr>
          <w:rFonts w:ascii="Times New Roman" w:hAnsi="Times New Roman"/>
          <w:b/>
          <w:sz w:val="36"/>
          <w:szCs w:val="36"/>
          <w:lang w:val="en-US"/>
        </w:rPr>
      </w:pPr>
    </w:p>
    <w:p w14:paraId="0E797750" w14:textId="77777777" w:rsidR="007349E9" w:rsidRDefault="007349E9" w:rsidP="00F24315">
      <w:pPr>
        <w:pStyle w:val="Body"/>
        <w:spacing w:line="240" w:lineRule="auto"/>
        <w:rPr>
          <w:rFonts w:ascii="Times New Roman" w:hAnsi="Times New Roman"/>
          <w:b/>
          <w:sz w:val="36"/>
          <w:szCs w:val="36"/>
          <w:lang w:val="en-US"/>
        </w:rPr>
      </w:pPr>
    </w:p>
    <w:p w14:paraId="7147953B" w14:textId="77777777" w:rsidR="007349E9" w:rsidRDefault="007349E9" w:rsidP="00F24315">
      <w:pPr>
        <w:pStyle w:val="Body"/>
        <w:spacing w:line="240" w:lineRule="auto"/>
        <w:rPr>
          <w:rFonts w:ascii="Times New Roman" w:hAnsi="Times New Roman"/>
          <w:b/>
          <w:sz w:val="36"/>
          <w:szCs w:val="36"/>
          <w:lang w:val="en-US"/>
        </w:rPr>
      </w:pPr>
    </w:p>
    <w:p w14:paraId="256CD461" w14:textId="77777777" w:rsidR="007349E9" w:rsidRDefault="007349E9" w:rsidP="00F24315">
      <w:pPr>
        <w:pStyle w:val="Body"/>
        <w:spacing w:line="240" w:lineRule="auto"/>
        <w:rPr>
          <w:rFonts w:ascii="Times New Roman" w:hAnsi="Times New Roman"/>
          <w:b/>
          <w:sz w:val="36"/>
          <w:szCs w:val="36"/>
          <w:lang w:val="en-US"/>
        </w:rPr>
      </w:pPr>
    </w:p>
    <w:p w14:paraId="660B1CBA" w14:textId="77777777" w:rsidR="007349E9" w:rsidRDefault="007349E9" w:rsidP="00F24315">
      <w:pPr>
        <w:pStyle w:val="Body"/>
        <w:spacing w:line="240" w:lineRule="auto"/>
        <w:rPr>
          <w:rFonts w:ascii="Times New Roman" w:hAnsi="Times New Roman"/>
          <w:b/>
          <w:sz w:val="36"/>
          <w:szCs w:val="36"/>
          <w:lang w:val="en-US"/>
        </w:rPr>
      </w:pPr>
    </w:p>
    <w:p w14:paraId="4830C1E0" w14:textId="77777777" w:rsidR="008A2CB3" w:rsidRDefault="008A2CB3" w:rsidP="00F24315">
      <w:pPr>
        <w:pStyle w:val="Body"/>
        <w:spacing w:line="240" w:lineRule="auto"/>
        <w:rPr>
          <w:rFonts w:ascii="Times New Roman" w:hAnsi="Times New Roman"/>
          <w:b/>
          <w:sz w:val="36"/>
          <w:szCs w:val="36"/>
          <w:lang w:val="en-US"/>
        </w:rPr>
      </w:pPr>
    </w:p>
    <w:p w14:paraId="08FD6A26" w14:textId="77777777" w:rsidR="008A2CB3" w:rsidRDefault="008A2CB3" w:rsidP="00F24315">
      <w:pPr>
        <w:pStyle w:val="Body"/>
        <w:spacing w:line="240" w:lineRule="auto"/>
        <w:rPr>
          <w:rFonts w:ascii="Times New Roman" w:hAnsi="Times New Roman"/>
          <w:b/>
          <w:sz w:val="36"/>
          <w:szCs w:val="36"/>
          <w:lang w:val="en-US"/>
        </w:rPr>
      </w:pPr>
    </w:p>
    <w:p w14:paraId="6A010FAD" w14:textId="77777777" w:rsidR="008A2CB3" w:rsidRDefault="008A2CB3" w:rsidP="00F24315">
      <w:pPr>
        <w:pStyle w:val="Body"/>
        <w:spacing w:line="240" w:lineRule="auto"/>
        <w:rPr>
          <w:rFonts w:ascii="Times New Roman" w:hAnsi="Times New Roman"/>
          <w:b/>
          <w:sz w:val="36"/>
          <w:szCs w:val="36"/>
          <w:lang w:val="en-US"/>
        </w:rPr>
      </w:pPr>
    </w:p>
    <w:p w14:paraId="71E9F42B" w14:textId="77777777" w:rsidR="008A2CB3" w:rsidRDefault="008A2CB3" w:rsidP="00F24315">
      <w:pPr>
        <w:pStyle w:val="Body"/>
        <w:spacing w:line="240" w:lineRule="auto"/>
        <w:rPr>
          <w:rFonts w:ascii="Times New Roman" w:hAnsi="Times New Roman"/>
          <w:b/>
          <w:sz w:val="36"/>
          <w:szCs w:val="36"/>
          <w:lang w:val="en-US"/>
        </w:rPr>
      </w:pPr>
    </w:p>
    <w:p w14:paraId="0A610B32" w14:textId="77777777" w:rsidR="008A2CB3" w:rsidRDefault="008A2CB3" w:rsidP="00F24315">
      <w:pPr>
        <w:pStyle w:val="Body"/>
        <w:spacing w:line="240" w:lineRule="auto"/>
        <w:rPr>
          <w:rFonts w:ascii="Times New Roman" w:hAnsi="Times New Roman"/>
          <w:b/>
          <w:sz w:val="36"/>
          <w:szCs w:val="36"/>
          <w:lang w:val="en-US"/>
        </w:rPr>
      </w:pPr>
    </w:p>
    <w:p w14:paraId="11520FDC" w14:textId="77777777" w:rsidR="00692CFC" w:rsidRDefault="00692CFC" w:rsidP="00F24315">
      <w:pPr>
        <w:pStyle w:val="Body"/>
        <w:spacing w:line="240" w:lineRule="auto"/>
        <w:rPr>
          <w:rFonts w:ascii="Times New Roman" w:hAnsi="Times New Roman"/>
          <w:b/>
          <w:sz w:val="36"/>
          <w:szCs w:val="36"/>
          <w:lang w:val="en-US"/>
        </w:rPr>
      </w:pPr>
    </w:p>
    <w:p w14:paraId="24678045" w14:textId="77777777" w:rsidR="00692CFC" w:rsidRDefault="00692CFC" w:rsidP="00F24315">
      <w:pPr>
        <w:pStyle w:val="Body"/>
        <w:spacing w:line="240" w:lineRule="auto"/>
        <w:rPr>
          <w:rFonts w:ascii="Times New Roman" w:hAnsi="Times New Roman"/>
          <w:b/>
          <w:sz w:val="36"/>
          <w:szCs w:val="36"/>
          <w:lang w:val="en-US"/>
        </w:rPr>
      </w:pPr>
    </w:p>
    <w:p w14:paraId="4B64361B" w14:textId="77777777" w:rsidR="00753BF3" w:rsidRDefault="00753BF3" w:rsidP="00F24315">
      <w:pPr>
        <w:pStyle w:val="Body"/>
        <w:spacing w:line="240" w:lineRule="auto"/>
        <w:rPr>
          <w:rFonts w:ascii="Times New Roman" w:hAnsi="Times New Roman"/>
          <w:b/>
          <w:sz w:val="36"/>
          <w:szCs w:val="36"/>
          <w:lang w:val="en-US"/>
        </w:rPr>
      </w:pPr>
    </w:p>
    <w:p w14:paraId="286A7E5A" w14:textId="77777777" w:rsidR="00290DC5" w:rsidRDefault="00290DC5" w:rsidP="00F24315">
      <w:pPr>
        <w:pStyle w:val="Body"/>
        <w:spacing w:line="240" w:lineRule="auto"/>
        <w:rPr>
          <w:rFonts w:ascii="Times New Roman" w:hAnsi="Times New Roman"/>
          <w:b/>
          <w:sz w:val="36"/>
          <w:szCs w:val="36"/>
          <w:lang w:val="en-US"/>
        </w:rPr>
      </w:pPr>
    </w:p>
    <w:p w14:paraId="775C6001" w14:textId="49BB103B" w:rsidR="00E76213" w:rsidRPr="00E76213" w:rsidRDefault="00E76213" w:rsidP="00F24315">
      <w:pPr>
        <w:pStyle w:val="Body"/>
        <w:spacing w:line="240" w:lineRule="auto"/>
        <w:rPr>
          <w:rFonts w:ascii="Times New Roman" w:hAnsi="Times New Roman"/>
          <w:b/>
          <w:sz w:val="36"/>
          <w:szCs w:val="36"/>
          <w:lang w:val="en-US"/>
        </w:rPr>
      </w:pPr>
      <w:r w:rsidRPr="00E76213">
        <w:rPr>
          <w:rFonts w:ascii="Times New Roman" w:hAnsi="Times New Roman"/>
          <w:b/>
          <w:sz w:val="36"/>
          <w:szCs w:val="36"/>
          <w:lang w:val="en-US"/>
        </w:rPr>
        <w:lastRenderedPageBreak/>
        <w:t>Means</w:t>
      </w:r>
    </w:p>
    <w:p w14:paraId="49120901" w14:textId="2873248C" w:rsidR="00AE4F1E" w:rsidRPr="00AE4F1E" w:rsidRDefault="00F24315" w:rsidP="00F24315">
      <w:pPr>
        <w:pStyle w:val="Body"/>
        <w:spacing w:line="240" w:lineRule="auto"/>
        <w:rPr>
          <w:rFonts w:ascii="Times New Roman" w:hAnsi="Times New Roman"/>
          <w:sz w:val="24"/>
          <w:szCs w:val="24"/>
        </w:rPr>
      </w:pPr>
      <w:r>
        <w:rPr>
          <w:rFonts w:ascii="Times New Roman" w:hAnsi="Times New Roman"/>
          <w:sz w:val="24"/>
          <w:szCs w:val="24"/>
          <w:lang w:val="en-US"/>
        </w:rPr>
        <w:t xml:space="preserve">Supplementary Table </w:t>
      </w:r>
      <w:r w:rsidR="00F91A15">
        <w:rPr>
          <w:rFonts w:ascii="Times New Roman" w:hAnsi="Times New Roman"/>
          <w:sz w:val="24"/>
          <w:szCs w:val="24"/>
          <w:lang w:val="en-US"/>
        </w:rPr>
        <w:t>2</w:t>
      </w:r>
      <w:r>
        <w:rPr>
          <w:rFonts w:ascii="Times New Roman" w:hAnsi="Times New Roman"/>
          <w:sz w:val="24"/>
          <w:szCs w:val="24"/>
          <w:lang w:val="en-US"/>
        </w:rPr>
        <w:t>. Mean (SD) SDQ scores</w:t>
      </w:r>
      <w:r w:rsidR="00BE515D">
        <w:rPr>
          <w:rFonts w:ascii="Times New Roman" w:hAnsi="Times New Roman"/>
          <w:sz w:val="24"/>
          <w:szCs w:val="24"/>
          <w:lang w:val="en-US"/>
        </w:rPr>
        <w:t xml:space="preserve"> at age 11</w:t>
      </w:r>
      <w:r>
        <w:rPr>
          <w:rFonts w:ascii="Times New Roman" w:hAnsi="Times New Roman"/>
          <w:sz w:val="24"/>
          <w:szCs w:val="24"/>
          <w:lang w:val="en-US"/>
        </w:rPr>
        <w:t xml:space="preserve">, according to </w:t>
      </w:r>
      <w:r w:rsidR="00EA0133">
        <w:rPr>
          <w:rFonts w:ascii="Times New Roman" w:hAnsi="Times New Roman"/>
          <w:sz w:val="24"/>
          <w:szCs w:val="24"/>
          <w:lang w:val="en-US"/>
        </w:rPr>
        <w:t>risk taking</w:t>
      </w:r>
      <w:r>
        <w:rPr>
          <w:rFonts w:ascii="Times New Roman" w:hAnsi="Times New Roman"/>
          <w:sz w:val="24"/>
          <w:szCs w:val="24"/>
          <w:lang w:val="en-US"/>
        </w:rPr>
        <w:t xml:space="preserve"> </w:t>
      </w:r>
      <w:r w:rsidR="00491F5F">
        <w:rPr>
          <w:rFonts w:ascii="Times New Roman" w:hAnsi="Times New Roman"/>
          <w:sz w:val="24"/>
          <w:szCs w:val="24"/>
          <w:lang w:val="en-US"/>
        </w:rPr>
        <w:t xml:space="preserve">and risk adjustment in </w:t>
      </w:r>
      <w:r w:rsidR="00BE515D">
        <w:rPr>
          <w:rFonts w:ascii="Times New Roman" w:hAnsi="Times New Roman"/>
          <w:sz w:val="24"/>
          <w:szCs w:val="24"/>
          <w:lang w:val="en-US"/>
        </w:rPr>
        <w:t>quintiles</w:t>
      </w:r>
      <w:r>
        <w:rPr>
          <w:rFonts w:ascii="Times New Roman" w:hAnsi="Times New Roman"/>
          <w:sz w:val="24"/>
          <w:szCs w:val="24"/>
        </w:rPr>
        <w:t>.</w:t>
      </w:r>
      <w:r w:rsidR="009F6B05">
        <w:rPr>
          <w:rFonts w:ascii="Times New Roman" w:hAnsi="Times New Roman"/>
          <w:sz w:val="24"/>
          <w:szCs w:val="24"/>
        </w:rPr>
        <w:t xml:space="preserve"> Complete case sample (n=10,396).</w:t>
      </w:r>
    </w:p>
    <w:tbl>
      <w:tblPr>
        <w:tblW w:w="93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114"/>
        <w:gridCol w:w="1085"/>
        <w:gridCol w:w="1084"/>
        <w:gridCol w:w="1084"/>
        <w:gridCol w:w="1587"/>
        <w:gridCol w:w="1142"/>
        <w:gridCol w:w="1142"/>
        <w:gridCol w:w="1142"/>
      </w:tblGrid>
      <w:tr w:rsidR="00786732" w:rsidRPr="0043105A" w14:paraId="4D884E09" w14:textId="77777777" w:rsidTr="0018094C">
        <w:trPr>
          <w:trHeight w:val="300"/>
        </w:trPr>
        <w:tc>
          <w:tcPr>
            <w:tcW w:w="11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41C9242" w14:textId="77777777" w:rsidR="00786732" w:rsidRPr="0043105A" w:rsidRDefault="00786732" w:rsidP="0018094C">
            <w:pPr>
              <w:pStyle w:val="Body"/>
              <w:jc w:val="center"/>
              <w:rPr>
                <w:rFonts w:ascii="Times New Roman" w:hAnsi="Times New Roman" w:cs="Times New Roman"/>
                <w:sz w:val="20"/>
                <w:szCs w:val="20"/>
              </w:rPr>
            </w:pPr>
            <w:r w:rsidRPr="0043105A">
              <w:rPr>
                <w:rFonts w:ascii="Times New Roman" w:hAnsi="Times New Roman" w:cs="Times New Roman"/>
                <w:sz w:val="20"/>
                <w:szCs w:val="20"/>
                <w:lang w:val="en-US"/>
              </w:rPr>
              <w:t>Risk taking quintiles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3BD53" w14:textId="77777777" w:rsidR="00786732" w:rsidRPr="0043105A" w:rsidRDefault="00786732" w:rsidP="0018094C">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rPr>
              <w:t>Mean (SD)</w:t>
            </w:r>
          </w:p>
        </w:tc>
        <w:tc>
          <w:tcPr>
            <w:tcW w:w="1587" w:type="dxa"/>
            <w:vMerge w:val="restart"/>
            <w:tcBorders>
              <w:top w:val="single" w:sz="4" w:space="0" w:color="000000"/>
              <w:left w:val="single" w:sz="4" w:space="0" w:color="000000"/>
              <w:right w:val="single" w:sz="4" w:space="0" w:color="000000"/>
            </w:tcBorders>
          </w:tcPr>
          <w:p w14:paraId="312300B4" w14:textId="77777777" w:rsidR="00786732" w:rsidRPr="0043105A" w:rsidRDefault="00786732" w:rsidP="0018094C">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lang w:val="en-US"/>
              </w:rPr>
              <w:t>Risk adjustment quintiles</w:t>
            </w:r>
          </w:p>
        </w:tc>
        <w:tc>
          <w:tcPr>
            <w:tcW w:w="0" w:type="auto"/>
            <w:gridSpan w:val="3"/>
            <w:tcBorders>
              <w:top w:val="single" w:sz="4" w:space="0" w:color="000000"/>
              <w:left w:val="single" w:sz="4" w:space="0" w:color="000000"/>
              <w:bottom w:val="single" w:sz="4" w:space="0" w:color="000000"/>
              <w:right w:val="single" w:sz="4" w:space="0" w:color="000000"/>
            </w:tcBorders>
          </w:tcPr>
          <w:p w14:paraId="26DED46E" w14:textId="77777777" w:rsidR="00786732" w:rsidRPr="0043105A" w:rsidRDefault="00786732" w:rsidP="0018094C">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rPr>
              <w:t>Mean (SD)</w:t>
            </w:r>
          </w:p>
        </w:tc>
      </w:tr>
      <w:tr w:rsidR="00786732" w:rsidRPr="0043105A" w14:paraId="6BD542BE" w14:textId="77777777" w:rsidTr="0018094C">
        <w:trPr>
          <w:trHeight w:val="300"/>
        </w:trPr>
        <w:tc>
          <w:tcPr>
            <w:tcW w:w="11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69374" w14:textId="77777777" w:rsidR="00786732" w:rsidRPr="0043105A" w:rsidRDefault="00786732" w:rsidP="0018094C">
            <w:pPr>
              <w:pStyle w:val="Body"/>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76F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7A28F4C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overall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1099"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77E067C3"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females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9AE2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639B1A5B"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males</w:t>
            </w:r>
          </w:p>
        </w:tc>
        <w:tc>
          <w:tcPr>
            <w:tcW w:w="1587" w:type="dxa"/>
            <w:vMerge/>
            <w:tcBorders>
              <w:left w:val="single" w:sz="4" w:space="0" w:color="000000"/>
              <w:bottom w:val="single" w:sz="4" w:space="0" w:color="000000"/>
              <w:right w:val="single" w:sz="4" w:space="0" w:color="000000"/>
            </w:tcBorders>
          </w:tcPr>
          <w:p w14:paraId="504F0F91"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041506D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35B445C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overall </w:t>
            </w:r>
          </w:p>
        </w:tc>
        <w:tc>
          <w:tcPr>
            <w:tcW w:w="0" w:type="auto"/>
            <w:tcBorders>
              <w:top w:val="single" w:sz="4" w:space="0" w:color="000000"/>
              <w:left w:val="single" w:sz="4" w:space="0" w:color="000000"/>
              <w:bottom w:val="single" w:sz="4" w:space="0" w:color="000000"/>
              <w:right w:val="single" w:sz="4" w:space="0" w:color="000000"/>
            </w:tcBorders>
          </w:tcPr>
          <w:p w14:paraId="5FE62E7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1C92AF5B"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females</w:t>
            </w:r>
          </w:p>
        </w:tc>
        <w:tc>
          <w:tcPr>
            <w:tcW w:w="0" w:type="auto"/>
            <w:tcBorders>
              <w:top w:val="single" w:sz="4" w:space="0" w:color="000000"/>
              <w:left w:val="single" w:sz="4" w:space="0" w:color="000000"/>
              <w:bottom w:val="single" w:sz="4" w:space="0" w:color="000000"/>
              <w:right w:val="single" w:sz="4" w:space="0" w:color="000000"/>
            </w:tcBorders>
          </w:tcPr>
          <w:p w14:paraId="425DFB2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SDQ </w:t>
            </w:r>
          </w:p>
          <w:p w14:paraId="2A78800D"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males</w:t>
            </w:r>
          </w:p>
        </w:tc>
      </w:tr>
      <w:tr w:rsidR="00786732" w:rsidRPr="0043105A" w14:paraId="43E34CEB" w14:textId="77777777" w:rsidTr="0018094C">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E72EC"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1 (5-38)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BCA5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1.85 (1.93)</w:t>
            </w:r>
          </w:p>
          <w:p w14:paraId="3FCE0FCC"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(n=2017)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D4C2"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1.87 (1.91)</w:t>
            </w:r>
          </w:p>
          <w:p w14:paraId="552EF389"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(n=1433)</w:t>
            </w:r>
          </w:p>
          <w:p w14:paraId="0541BF8A" w14:textId="77777777" w:rsidR="00786732" w:rsidRPr="0043105A" w:rsidRDefault="00786732" w:rsidP="0018094C">
            <w:pPr>
              <w:pStyle w:val="Body"/>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DD2C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1.77 (1.98)</w:t>
            </w:r>
          </w:p>
          <w:p w14:paraId="186BADE7"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(n=584)</w:t>
            </w:r>
          </w:p>
        </w:tc>
        <w:tc>
          <w:tcPr>
            <w:tcW w:w="1587" w:type="dxa"/>
            <w:tcBorders>
              <w:top w:val="single" w:sz="4" w:space="0" w:color="000000"/>
              <w:left w:val="single" w:sz="4" w:space="0" w:color="000000"/>
              <w:bottom w:val="single" w:sz="4" w:space="0" w:color="000000"/>
              <w:right w:val="single" w:sz="4" w:space="0" w:color="000000"/>
            </w:tcBorders>
          </w:tcPr>
          <w:p w14:paraId="75FB44B1"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 (-.64 - -.09)</w:t>
            </w:r>
          </w:p>
          <w:p w14:paraId="438728F8"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333B96E0"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 xml:space="preserve">2.04 (2.06) </w:t>
            </w:r>
          </w:p>
          <w:p w14:paraId="1017CE9E"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(n=1997)</w:t>
            </w:r>
          </w:p>
        </w:tc>
        <w:tc>
          <w:tcPr>
            <w:tcW w:w="0" w:type="auto"/>
            <w:tcBorders>
              <w:top w:val="single" w:sz="4" w:space="0" w:color="000000"/>
              <w:left w:val="single" w:sz="4" w:space="0" w:color="000000"/>
              <w:bottom w:val="single" w:sz="4" w:space="0" w:color="000000"/>
              <w:right w:val="single" w:sz="4" w:space="0" w:color="000000"/>
            </w:tcBorders>
          </w:tcPr>
          <w:p w14:paraId="7C5E428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2.10 (2.06)</w:t>
            </w:r>
          </w:p>
          <w:p w14:paraId="472C6CD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(n=1034)</w:t>
            </w:r>
          </w:p>
        </w:tc>
        <w:tc>
          <w:tcPr>
            <w:tcW w:w="0" w:type="auto"/>
            <w:tcBorders>
              <w:top w:val="single" w:sz="4" w:space="0" w:color="000000"/>
              <w:left w:val="single" w:sz="4" w:space="0" w:color="000000"/>
              <w:bottom w:val="single" w:sz="4" w:space="0" w:color="000000"/>
              <w:right w:val="single" w:sz="4" w:space="0" w:color="000000"/>
            </w:tcBorders>
          </w:tcPr>
          <w:p w14:paraId="0E5989D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1.97 (2.07)</w:t>
            </w:r>
          </w:p>
          <w:p w14:paraId="1C09ED5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(n=963)</w:t>
            </w:r>
          </w:p>
        </w:tc>
      </w:tr>
      <w:tr w:rsidR="00786732" w:rsidRPr="0043105A" w14:paraId="46B91819" w14:textId="77777777" w:rsidTr="0018094C">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AA832"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2 (39-47)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2AF4"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1.82 (1.98)</w:t>
            </w:r>
          </w:p>
          <w:p w14:paraId="3EF3B39A"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(n=2199)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DE726"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1.83 (1.97)</w:t>
            </w:r>
          </w:p>
          <w:p w14:paraId="2FD96C3B"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(n=1216)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9DB97"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1.80 (2.01)</w:t>
            </w:r>
          </w:p>
          <w:p w14:paraId="520A069F"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(n=983)</w:t>
            </w:r>
          </w:p>
        </w:tc>
        <w:tc>
          <w:tcPr>
            <w:tcW w:w="1587" w:type="dxa"/>
            <w:tcBorders>
              <w:top w:val="single" w:sz="4" w:space="0" w:color="000000"/>
              <w:left w:val="single" w:sz="4" w:space="0" w:color="000000"/>
              <w:bottom w:val="single" w:sz="4" w:space="0" w:color="000000"/>
              <w:right w:val="single" w:sz="4" w:space="0" w:color="000000"/>
            </w:tcBorders>
          </w:tcPr>
          <w:p w14:paraId="65ACE8A3"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2 (-.08- -.35)</w:t>
            </w:r>
          </w:p>
          <w:p w14:paraId="35659E1E"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166FA3C4"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1.87 (2.01)</w:t>
            </w:r>
          </w:p>
          <w:p w14:paraId="53EA58E3"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(n=2028)</w:t>
            </w:r>
          </w:p>
        </w:tc>
        <w:tc>
          <w:tcPr>
            <w:tcW w:w="0" w:type="auto"/>
            <w:tcBorders>
              <w:top w:val="single" w:sz="4" w:space="0" w:color="000000"/>
              <w:left w:val="single" w:sz="4" w:space="0" w:color="000000"/>
              <w:bottom w:val="single" w:sz="4" w:space="0" w:color="000000"/>
              <w:right w:val="single" w:sz="4" w:space="0" w:color="000000"/>
            </w:tcBorders>
          </w:tcPr>
          <w:p w14:paraId="6060EFA1"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2.03 (2.07)</w:t>
            </w:r>
          </w:p>
          <w:p w14:paraId="01D5D44D"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(n=1019)</w:t>
            </w:r>
          </w:p>
        </w:tc>
        <w:tc>
          <w:tcPr>
            <w:tcW w:w="0" w:type="auto"/>
            <w:tcBorders>
              <w:top w:val="single" w:sz="4" w:space="0" w:color="000000"/>
              <w:left w:val="single" w:sz="4" w:space="0" w:color="000000"/>
              <w:bottom w:val="single" w:sz="4" w:space="0" w:color="000000"/>
              <w:right w:val="single" w:sz="4" w:space="0" w:color="000000"/>
            </w:tcBorders>
          </w:tcPr>
          <w:p w14:paraId="033E352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1.72 (1.93)</w:t>
            </w:r>
          </w:p>
          <w:p w14:paraId="048A3FA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(n=1009)</w:t>
            </w:r>
          </w:p>
        </w:tc>
      </w:tr>
      <w:tr w:rsidR="00786732" w:rsidRPr="0043105A" w14:paraId="49DF0678" w14:textId="77777777" w:rsidTr="0018094C">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E43E6"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3 (48-55)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F9FD9"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1.76 (1.94)</w:t>
            </w:r>
          </w:p>
          <w:p w14:paraId="70044B1B"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(n=1947)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22DA3"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1.90 (2.01)</w:t>
            </w:r>
          </w:p>
          <w:p w14:paraId="075DB689"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06409"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1.63 (1.86)</w:t>
            </w:r>
          </w:p>
          <w:p w14:paraId="287A84F0"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(n=969)</w:t>
            </w:r>
          </w:p>
        </w:tc>
        <w:tc>
          <w:tcPr>
            <w:tcW w:w="1587" w:type="dxa"/>
            <w:tcBorders>
              <w:top w:val="single" w:sz="4" w:space="0" w:color="000000"/>
              <w:left w:val="single" w:sz="4" w:space="0" w:color="000000"/>
              <w:bottom w:val="single" w:sz="4" w:space="0" w:color="000000"/>
              <w:right w:val="single" w:sz="4" w:space="0" w:color="000000"/>
            </w:tcBorders>
          </w:tcPr>
          <w:p w14:paraId="7F4AB297"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3 (.36-.78)</w:t>
            </w:r>
          </w:p>
          <w:p w14:paraId="6FB24F07"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268EA94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1.79 (1.89)</w:t>
            </w:r>
          </w:p>
          <w:p w14:paraId="4A007AEE"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(n=2065)</w:t>
            </w:r>
          </w:p>
        </w:tc>
        <w:tc>
          <w:tcPr>
            <w:tcW w:w="0" w:type="auto"/>
            <w:tcBorders>
              <w:top w:val="single" w:sz="4" w:space="0" w:color="000000"/>
              <w:left w:val="single" w:sz="4" w:space="0" w:color="000000"/>
              <w:bottom w:val="single" w:sz="4" w:space="0" w:color="000000"/>
              <w:right w:val="single" w:sz="4" w:space="0" w:color="000000"/>
            </w:tcBorders>
          </w:tcPr>
          <w:p w14:paraId="0F78E584"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1.83 (1.90)</w:t>
            </w:r>
          </w:p>
          <w:p w14:paraId="2C099F6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(n=1029)</w:t>
            </w:r>
          </w:p>
        </w:tc>
        <w:tc>
          <w:tcPr>
            <w:tcW w:w="0" w:type="auto"/>
            <w:tcBorders>
              <w:top w:val="single" w:sz="4" w:space="0" w:color="000000"/>
              <w:left w:val="single" w:sz="4" w:space="0" w:color="000000"/>
              <w:bottom w:val="single" w:sz="4" w:space="0" w:color="000000"/>
              <w:right w:val="single" w:sz="4" w:space="0" w:color="000000"/>
            </w:tcBorders>
          </w:tcPr>
          <w:p w14:paraId="0834A024"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1.74 (1.87)</w:t>
            </w:r>
          </w:p>
          <w:p w14:paraId="65F02C43"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(n=1036)</w:t>
            </w:r>
          </w:p>
        </w:tc>
      </w:tr>
      <w:tr w:rsidR="00786732" w:rsidRPr="0043105A" w14:paraId="75EA0090" w14:textId="77777777" w:rsidTr="0018094C">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7F44D"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4 (56-63,)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3E51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1.80 (1.95)</w:t>
            </w:r>
          </w:p>
          <w:p w14:paraId="69E9A41C"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(n=2197)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BBC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2.01 (2.02)</w:t>
            </w:r>
          </w:p>
          <w:p w14:paraId="7EB6D4C7"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DBA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1.64 (1.89)</w:t>
            </w:r>
          </w:p>
          <w:p w14:paraId="79B0EEE2"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(n=1279)</w:t>
            </w:r>
          </w:p>
        </w:tc>
        <w:tc>
          <w:tcPr>
            <w:tcW w:w="1587" w:type="dxa"/>
            <w:tcBorders>
              <w:top w:val="single" w:sz="4" w:space="0" w:color="000000"/>
              <w:left w:val="single" w:sz="4" w:space="0" w:color="000000"/>
              <w:bottom w:val="single" w:sz="4" w:space="0" w:color="000000"/>
              <w:right w:val="single" w:sz="4" w:space="0" w:color="000000"/>
            </w:tcBorders>
          </w:tcPr>
          <w:p w14:paraId="13C9440C"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 (.79-1.39)</w:t>
            </w:r>
          </w:p>
          <w:p w14:paraId="2B444239"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74AD519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1.72 (1.93)</w:t>
            </w:r>
          </w:p>
          <w:p w14:paraId="381FA8E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(n=2132)</w:t>
            </w:r>
          </w:p>
        </w:tc>
        <w:tc>
          <w:tcPr>
            <w:tcW w:w="0" w:type="auto"/>
            <w:tcBorders>
              <w:top w:val="single" w:sz="4" w:space="0" w:color="000000"/>
              <w:left w:val="single" w:sz="4" w:space="0" w:color="000000"/>
              <w:bottom w:val="single" w:sz="4" w:space="0" w:color="000000"/>
              <w:right w:val="single" w:sz="4" w:space="0" w:color="000000"/>
            </w:tcBorders>
          </w:tcPr>
          <w:p w14:paraId="319F95C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1.76 (1.89)</w:t>
            </w:r>
          </w:p>
          <w:p w14:paraId="52422120"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(n=1037)</w:t>
            </w:r>
          </w:p>
        </w:tc>
        <w:tc>
          <w:tcPr>
            <w:tcW w:w="0" w:type="auto"/>
            <w:tcBorders>
              <w:top w:val="single" w:sz="4" w:space="0" w:color="000000"/>
              <w:left w:val="single" w:sz="4" w:space="0" w:color="000000"/>
              <w:bottom w:val="single" w:sz="4" w:space="0" w:color="000000"/>
              <w:right w:val="single" w:sz="4" w:space="0" w:color="000000"/>
            </w:tcBorders>
          </w:tcPr>
          <w:p w14:paraId="4DFDB20C"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1.69 (1.96)</w:t>
            </w:r>
          </w:p>
          <w:p w14:paraId="18A46601"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(n=1095)</w:t>
            </w:r>
          </w:p>
        </w:tc>
      </w:tr>
      <w:tr w:rsidR="00786732" w:rsidRPr="0043105A" w14:paraId="0E53004E" w14:textId="77777777" w:rsidTr="0018094C">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8A1A"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5 (64-95)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CF99"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1.86 (1.98)</w:t>
            </w:r>
          </w:p>
          <w:p w14:paraId="4B731DB6"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(n=2036)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7B625"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1.95 (1.97)</w:t>
            </w:r>
          </w:p>
          <w:p w14:paraId="4C2379EA"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(n=614)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E2F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1.82 (1.98)</w:t>
            </w:r>
          </w:p>
          <w:p w14:paraId="57F91412" w14:textId="77777777" w:rsidR="00786732" w:rsidRPr="0043105A" w:rsidRDefault="00786732" w:rsidP="0018094C">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(n=1422)</w:t>
            </w:r>
          </w:p>
        </w:tc>
        <w:tc>
          <w:tcPr>
            <w:tcW w:w="1587" w:type="dxa"/>
            <w:tcBorders>
              <w:top w:val="single" w:sz="4" w:space="0" w:color="000000"/>
              <w:left w:val="single" w:sz="4" w:space="0" w:color="000000"/>
              <w:bottom w:val="single" w:sz="4" w:space="0" w:color="000000"/>
              <w:right w:val="single" w:sz="4" w:space="0" w:color="000000"/>
            </w:tcBorders>
          </w:tcPr>
          <w:p w14:paraId="0983E2AA"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 (1.40-6.00)</w:t>
            </w:r>
          </w:p>
          <w:p w14:paraId="239B4B5B" w14:textId="77777777" w:rsidR="00786732" w:rsidRPr="0043105A" w:rsidRDefault="00786732" w:rsidP="0018094C">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17A6B35C"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1.68 (1.89)</w:t>
            </w:r>
          </w:p>
          <w:p w14:paraId="713B86F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(n=2174)</w:t>
            </w:r>
          </w:p>
        </w:tc>
        <w:tc>
          <w:tcPr>
            <w:tcW w:w="0" w:type="auto"/>
            <w:tcBorders>
              <w:top w:val="single" w:sz="4" w:space="0" w:color="000000"/>
              <w:left w:val="single" w:sz="4" w:space="0" w:color="000000"/>
              <w:bottom w:val="single" w:sz="4" w:space="0" w:color="000000"/>
              <w:right w:val="single" w:sz="4" w:space="0" w:color="000000"/>
            </w:tcBorders>
          </w:tcPr>
          <w:p w14:paraId="13B5BAED"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1.80 (1.91)</w:t>
            </w:r>
          </w:p>
          <w:p w14:paraId="3DD0E00D"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(n=1040)</w:t>
            </w:r>
          </w:p>
        </w:tc>
        <w:tc>
          <w:tcPr>
            <w:tcW w:w="0" w:type="auto"/>
            <w:tcBorders>
              <w:top w:val="single" w:sz="4" w:space="0" w:color="000000"/>
              <w:left w:val="single" w:sz="4" w:space="0" w:color="000000"/>
              <w:bottom w:val="single" w:sz="4" w:space="0" w:color="000000"/>
              <w:right w:val="single" w:sz="4" w:space="0" w:color="000000"/>
            </w:tcBorders>
          </w:tcPr>
          <w:p w14:paraId="11303748"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1.57 (1.86)</w:t>
            </w:r>
          </w:p>
          <w:p w14:paraId="01C56F7F" w14:textId="77777777" w:rsidR="00786732" w:rsidRPr="0043105A" w:rsidRDefault="00786732" w:rsidP="0018094C">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(n=1134)</w:t>
            </w:r>
          </w:p>
        </w:tc>
      </w:tr>
    </w:tbl>
    <w:p w14:paraId="528246D9" w14:textId="77777777" w:rsidR="00F24315" w:rsidRDefault="00F24315" w:rsidP="00F24315">
      <w:pPr>
        <w:pStyle w:val="Body"/>
        <w:widowControl w:val="0"/>
        <w:spacing w:line="240" w:lineRule="auto"/>
        <w:rPr>
          <w:rFonts w:ascii="Times New Roman" w:eastAsia="Times New Roman" w:hAnsi="Times New Roman" w:cs="Times New Roman"/>
          <w:sz w:val="24"/>
          <w:szCs w:val="24"/>
        </w:rPr>
      </w:pPr>
    </w:p>
    <w:p w14:paraId="2B3ED8B3" w14:textId="77777777" w:rsidR="00BE515D" w:rsidRDefault="00BE515D" w:rsidP="00F24315">
      <w:pPr>
        <w:pStyle w:val="Body"/>
        <w:spacing w:line="240" w:lineRule="auto"/>
        <w:rPr>
          <w:rFonts w:ascii="Times New Roman" w:hAnsi="Times New Roman"/>
          <w:sz w:val="24"/>
          <w:szCs w:val="24"/>
          <w:lang w:val="en-US"/>
        </w:rPr>
      </w:pPr>
    </w:p>
    <w:p w14:paraId="59156230" w14:textId="77777777" w:rsidR="00BE515D" w:rsidRDefault="00BE515D" w:rsidP="00F24315">
      <w:pPr>
        <w:pStyle w:val="Body"/>
        <w:spacing w:line="240" w:lineRule="auto"/>
        <w:rPr>
          <w:rFonts w:ascii="Times New Roman" w:hAnsi="Times New Roman"/>
          <w:sz w:val="24"/>
          <w:szCs w:val="24"/>
          <w:lang w:val="en-US"/>
        </w:rPr>
      </w:pPr>
    </w:p>
    <w:p w14:paraId="688C5D22" w14:textId="644DD37E" w:rsidR="00F24315" w:rsidRDefault="00F24315" w:rsidP="00F24315">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Supplementary Table </w:t>
      </w:r>
      <w:r w:rsidR="00F91A15">
        <w:rPr>
          <w:rFonts w:ascii="Times New Roman" w:hAnsi="Times New Roman"/>
          <w:sz w:val="24"/>
          <w:szCs w:val="24"/>
          <w:lang w:val="en-US"/>
        </w:rPr>
        <w:t>3</w:t>
      </w:r>
      <w:r>
        <w:rPr>
          <w:rFonts w:ascii="Times New Roman" w:hAnsi="Times New Roman"/>
          <w:sz w:val="24"/>
          <w:szCs w:val="24"/>
          <w:lang w:val="en-US"/>
        </w:rPr>
        <w:t>. Mean (SD) MFQ scores</w:t>
      </w:r>
      <w:r w:rsidR="00BE515D">
        <w:rPr>
          <w:rFonts w:ascii="Times New Roman" w:hAnsi="Times New Roman"/>
          <w:sz w:val="24"/>
          <w:szCs w:val="24"/>
          <w:lang w:val="en-US"/>
        </w:rPr>
        <w:t xml:space="preserve"> at age 14</w:t>
      </w:r>
      <w:r>
        <w:rPr>
          <w:rFonts w:ascii="Times New Roman" w:hAnsi="Times New Roman"/>
          <w:sz w:val="24"/>
          <w:szCs w:val="24"/>
          <w:lang w:val="en-US"/>
        </w:rPr>
        <w:t xml:space="preserve">, according to </w:t>
      </w:r>
      <w:r w:rsidR="00EA0133">
        <w:rPr>
          <w:rFonts w:ascii="Times New Roman" w:hAnsi="Times New Roman"/>
          <w:sz w:val="24"/>
          <w:szCs w:val="24"/>
          <w:lang w:val="en-US"/>
        </w:rPr>
        <w:t>risk taking</w:t>
      </w:r>
      <w:r>
        <w:rPr>
          <w:rFonts w:ascii="Times New Roman" w:hAnsi="Times New Roman"/>
          <w:sz w:val="24"/>
          <w:szCs w:val="24"/>
          <w:lang w:val="en-US"/>
        </w:rPr>
        <w:t xml:space="preserve"> </w:t>
      </w:r>
      <w:r w:rsidR="00BE515D">
        <w:rPr>
          <w:rFonts w:ascii="Times New Roman" w:hAnsi="Times New Roman"/>
          <w:sz w:val="24"/>
          <w:szCs w:val="24"/>
          <w:lang w:val="en-US"/>
        </w:rPr>
        <w:t xml:space="preserve">and risk adjustment </w:t>
      </w:r>
      <w:r w:rsidR="00491F5F">
        <w:rPr>
          <w:rFonts w:ascii="Times New Roman" w:hAnsi="Times New Roman"/>
          <w:sz w:val="24"/>
          <w:szCs w:val="24"/>
          <w:lang w:val="en-US"/>
        </w:rPr>
        <w:t>in</w:t>
      </w:r>
      <w:r w:rsidR="00BE515D">
        <w:rPr>
          <w:rFonts w:ascii="Times New Roman" w:hAnsi="Times New Roman"/>
          <w:sz w:val="24"/>
          <w:szCs w:val="24"/>
          <w:lang w:val="en-US"/>
        </w:rPr>
        <w:t xml:space="preserve"> quintiles</w:t>
      </w:r>
      <w:r w:rsidR="00A3115C">
        <w:rPr>
          <w:rFonts w:ascii="Times New Roman" w:hAnsi="Times New Roman"/>
          <w:sz w:val="24"/>
          <w:szCs w:val="24"/>
        </w:rPr>
        <w:t>.</w:t>
      </w:r>
      <w:r w:rsidR="00C922C5">
        <w:rPr>
          <w:rFonts w:ascii="Times New Roman" w:hAnsi="Times New Roman"/>
          <w:sz w:val="24"/>
          <w:szCs w:val="24"/>
        </w:rPr>
        <w:t xml:space="preserve"> Complete case sample (n=8628</w:t>
      </w:r>
      <w:r w:rsidR="00A3115C">
        <w:rPr>
          <w:rFonts w:ascii="Times New Roman" w:hAnsi="Times New Roman"/>
          <w:sz w:val="24"/>
          <w:szCs w:val="24"/>
        </w:rPr>
        <w:t>).</w:t>
      </w:r>
    </w:p>
    <w:tbl>
      <w:tblPr>
        <w:tblW w:w="93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114"/>
        <w:gridCol w:w="1096"/>
        <w:gridCol w:w="1139"/>
        <w:gridCol w:w="1038"/>
        <w:gridCol w:w="1587"/>
        <w:gridCol w:w="1152"/>
        <w:gridCol w:w="1160"/>
        <w:gridCol w:w="1094"/>
      </w:tblGrid>
      <w:tr w:rsidR="00C80758" w:rsidRPr="0043105A" w14:paraId="58CD3451" w14:textId="464F9028" w:rsidTr="00C96096">
        <w:trPr>
          <w:trHeight w:val="300"/>
        </w:trPr>
        <w:tc>
          <w:tcPr>
            <w:tcW w:w="11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BDDDC75" w14:textId="621790FA" w:rsidR="00F60093" w:rsidRPr="0043105A" w:rsidRDefault="00BE515D" w:rsidP="00EA473A">
            <w:pPr>
              <w:pStyle w:val="Body"/>
              <w:jc w:val="center"/>
              <w:rPr>
                <w:rFonts w:ascii="Times New Roman" w:hAnsi="Times New Roman" w:cs="Times New Roman"/>
                <w:sz w:val="20"/>
                <w:szCs w:val="20"/>
              </w:rPr>
            </w:pPr>
            <w:r w:rsidRPr="0043105A">
              <w:rPr>
                <w:rFonts w:ascii="Times New Roman" w:hAnsi="Times New Roman" w:cs="Times New Roman"/>
                <w:sz w:val="20"/>
                <w:szCs w:val="20"/>
                <w:lang w:val="en-US"/>
              </w:rPr>
              <w:t>Risk taking quintiles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40553" w14:textId="234A6275" w:rsidR="00F60093" w:rsidRPr="0043105A" w:rsidRDefault="00F60093" w:rsidP="00624155">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rPr>
              <w:t>Mean (SD)</w:t>
            </w:r>
          </w:p>
        </w:tc>
        <w:tc>
          <w:tcPr>
            <w:tcW w:w="1587" w:type="dxa"/>
            <w:vMerge w:val="restart"/>
            <w:tcBorders>
              <w:top w:val="single" w:sz="4" w:space="0" w:color="000000"/>
              <w:left w:val="single" w:sz="4" w:space="0" w:color="000000"/>
              <w:right w:val="single" w:sz="4" w:space="0" w:color="000000"/>
            </w:tcBorders>
          </w:tcPr>
          <w:p w14:paraId="28EB9E3D" w14:textId="764CCB65" w:rsidR="00F60093" w:rsidRPr="0043105A" w:rsidRDefault="00BE515D" w:rsidP="00BE515D">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lang w:val="en-US"/>
              </w:rPr>
              <w:t>Risk adjustment quintiles</w:t>
            </w:r>
          </w:p>
        </w:tc>
        <w:tc>
          <w:tcPr>
            <w:tcW w:w="0" w:type="auto"/>
            <w:gridSpan w:val="3"/>
            <w:tcBorders>
              <w:top w:val="single" w:sz="4" w:space="0" w:color="000000"/>
              <w:left w:val="single" w:sz="4" w:space="0" w:color="000000"/>
              <w:bottom w:val="single" w:sz="4" w:space="0" w:color="000000"/>
              <w:right w:val="single" w:sz="4" w:space="0" w:color="000000"/>
            </w:tcBorders>
          </w:tcPr>
          <w:p w14:paraId="755A1749" w14:textId="0E9FEC10" w:rsidR="00F60093" w:rsidRPr="0043105A" w:rsidRDefault="00F60093" w:rsidP="00624155">
            <w:pPr>
              <w:pStyle w:val="Body"/>
              <w:spacing w:after="0" w:line="240" w:lineRule="auto"/>
              <w:jc w:val="center"/>
              <w:rPr>
                <w:rFonts w:ascii="Times New Roman" w:hAnsi="Times New Roman" w:cs="Times New Roman"/>
                <w:sz w:val="20"/>
                <w:szCs w:val="20"/>
              </w:rPr>
            </w:pPr>
            <w:r w:rsidRPr="0043105A">
              <w:rPr>
                <w:rFonts w:ascii="Times New Roman" w:hAnsi="Times New Roman" w:cs="Times New Roman"/>
                <w:sz w:val="20"/>
                <w:szCs w:val="20"/>
              </w:rPr>
              <w:t>Mean (SD)</w:t>
            </w:r>
          </w:p>
        </w:tc>
      </w:tr>
      <w:tr w:rsidR="00C80758" w:rsidRPr="0043105A" w14:paraId="0A08407F" w14:textId="1C3C33AC" w:rsidTr="00C96096">
        <w:trPr>
          <w:trHeight w:val="300"/>
        </w:trPr>
        <w:tc>
          <w:tcPr>
            <w:tcW w:w="11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6F02" w14:textId="43AD4FE3" w:rsidR="00F60093" w:rsidRPr="0043105A" w:rsidRDefault="00F60093" w:rsidP="00F60093">
            <w:pPr>
              <w:pStyle w:val="Body"/>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A420" w14:textId="20FEE230"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37F8" w14:textId="6D3816AA"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females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4DE7D" w14:textId="1BCA76B0"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males</w:t>
            </w:r>
          </w:p>
        </w:tc>
        <w:tc>
          <w:tcPr>
            <w:tcW w:w="1587" w:type="dxa"/>
            <w:vMerge/>
            <w:tcBorders>
              <w:left w:val="single" w:sz="4" w:space="0" w:color="000000"/>
              <w:bottom w:val="single" w:sz="4" w:space="0" w:color="000000"/>
              <w:right w:val="single" w:sz="4" w:space="0" w:color="000000"/>
            </w:tcBorders>
          </w:tcPr>
          <w:p w14:paraId="27B75B79" w14:textId="6278388C" w:rsidR="00F60093" w:rsidRPr="0043105A" w:rsidRDefault="00F60093" w:rsidP="00F60093">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13450296" w14:textId="663320BA"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overall</w:t>
            </w:r>
          </w:p>
        </w:tc>
        <w:tc>
          <w:tcPr>
            <w:tcW w:w="0" w:type="auto"/>
            <w:tcBorders>
              <w:top w:val="single" w:sz="4" w:space="0" w:color="000000"/>
              <w:left w:val="single" w:sz="4" w:space="0" w:color="000000"/>
              <w:bottom w:val="single" w:sz="4" w:space="0" w:color="000000"/>
              <w:right w:val="single" w:sz="4" w:space="0" w:color="000000"/>
            </w:tcBorders>
          </w:tcPr>
          <w:p w14:paraId="03A689B3" w14:textId="527B720F"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females</w:t>
            </w:r>
          </w:p>
        </w:tc>
        <w:tc>
          <w:tcPr>
            <w:tcW w:w="0" w:type="auto"/>
            <w:tcBorders>
              <w:top w:val="single" w:sz="4" w:space="0" w:color="000000"/>
              <w:left w:val="single" w:sz="4" w:space="0" w:color="000000"/>
              <w:bottom w:val="single" w:sz="4" w:space="0" w:color="000000"/>
              <w:right w:val="single" w:sz="4" w:space="0" w:color="000000"/>
            </w:tcBorders>
          </w:tcPr>
          <w:p w14:paraId="4C97138B" w14:textId="64D39844"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MFQ males</w:t>
            </w:r>
          </w:p>
        </w:tc>
      </w:tr>
      <w:tr w:rsidR="00C80758" w:rsidRPr="0043105A" w14:paraId="2759A7E7" w14:textId="5AD58EF7" w:rsidTr="00C96096">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CE84F" w14:textId="4AA4E1D8" w:rsidR="00F60093" w:rsidRPr="0043105A" w:rsidRDefault="00F60093"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1 (5-38)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DC0F"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5.92</w:t>
            </w:r>
          </w:p>
          <w:p w14:paraId="2E48F338" w14:textId="32C17A16" w:rsidR="00F60093" w:rsidRPr="0043105A" w:rsidRDefault="007C3696"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n=1674</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9C01A"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6.93</w:t>
            </w:r>
          </w:p>
          <w:p w14:paraId="3FA780FD" w14:textId="5AA3CF24"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(n=1120</w:t>
            </w:r>
            <w:r w:rsidR="003C077A"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37C9"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3.86</w:t>
            </w:r>
          </w:p>
          <w:p w14:paraId="180C34FE" w14:textId="195E1F1D"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(n=554</w:t>
            </w:r>
            <w:r w:rsidR="003C077A" w:rsidRPr="0043105A">
              <w:rPr>
                <w:rFonts w:ascii="Times New Roman" w:hAnsi="Times New Roman" w:cs="Times New Roman"/>
                <w:sz w:val="20"/>
                <w:szCs w:val="20"/>
                <w:lang w:val="en-US"/>
              </w:rPr>
              <w:t>)</w:t>
            </w:r>
          </w:p>
        </w:tc>
        <w:tc>
          <w:tcPr>
            <w:tcW w:w="1587" w:type="dxa"/>
            <w:tcBorders>
              <w:top w:val="single" w:sz="4" w:space="0" w:color="000000"/>
              <w:left w:val="single" w:sz="4" w:space="0" w:color="000000"/>
              <w:bottom w:val="single" w:sz="4" w:space="0" w:color="000000"/>
              <w:right w:val="single" w:sz="4" w:space="0" w:color="000000"/>
            </w:tcBorders>
          </w:tcPr>
          <w:p w14:paraId="7EFC9AFD" w14:textId="19274D14"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1 (-.31-.021)</w:t>
            </w:r>
          </w:p>
        </w:tc>
        <w:tc>
          <w:tcPr>
            <w:tcW w:w="0" w:type="auto"/>
            <w:tcBorders>
              <w:top w:val="single" w:sz="4" w:space="0" w:color="000000"/>
              <w:left w:val="single" w:sz="4" w:space="0" w:color="000000"/>
              <w:bottom w:val="single" w:sz="4" w:space="0" w:color="000000"/>
              <w:right w:val="single" w:sz="4" w:space="0" w:color="000000"/>
            </w:tcBorders>
          </w:tcPr>
          <w:p w14:paraId="282FDFB4" w14:textId="06FA40D4"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5.79</w:t>
            </w:r>
            <w:r w:rsidR="00E0192A" w:rsidRPr="0043105A">
              <w:rPr>
                <w:rFonts w:ascii="Times New Roman" w:hAnsi="Times New Roman" w:cs="Times New Roman"/>
                <w:sz w:val="20"/>
                <w:szCs w:val="20"/>
                <w:lang w:val="en-US"/>
              </w:rPr>
              <w:t xml:space="preserve"> (5.86)</w:t>
            </w:r>
          </w:p>
          <w:p w14:paraId="409DAEC9" w14:textId="048D990D" w:rsidR="00F60093" w:rsidRPr="0043105A" w:rsidRDefault="00DC70AA"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n=1608</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3922D54" w14:textId="7870CD61"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7.12</w:t>
            </w:r>
            <w:r w:rsidR="00BE7491" w:rsidRPr="0043105A">
              <w:rPr>
                <w:rFonts w:ascii="Times New Roman" w:hAnsi="Times New Roman" w:cs="Times New Roman"/>
                <w:sz w:val="20"/>
                <w:szCs w:val="20"/>
                <w:lang w:val="en-US"/>
              </w:rPr>
              <w:t xml:space="preserve"> (6.42)</w:t>
            </w:r>
          </w:p>
          <w:p w14:paraId="5B4F87AD" w14:textId="3DEEBDE9"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(n=941)</w:t>
            </w:r>
          </w:p>
        </w:tc>
        <w:tc>
          <w:tcPr>
            <w:tcW w:w="0" w:type="auto"/>
            <w:tcBorders>
              <w:top w:val="single" w:sz="4" w:space="0" w:color="000000"/>
              <w:left w:val="single" w:sz="4" w:space="0" w:color="000000"/>
              <w:bottom w:val="single" w:sz="4" w:space="0" w:color="000000"/>
              <w:right w:val="single" w:sz="4" w:space="0" w:color="000000"/>
            </w:tcBorders>
          </w:tcPr>
          <w:p w14:paraId="7A2554E6" w14:textId="7D06EDE6"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3.92</w:t>
            </w:r>
            <w:r w:rsidR="00BE7491" w:rsidRPr="0043105A">
              <w:rPr>
                <w:rFonts w:ascii="Times New Roman" w:hAnsi="Times New Roman" w:cs="Times New Roman"/>
                <w:sz w:val="20"/>
                <w:szCs w:val="20"/>
                <w:lang w:val="en-US"/>
              </w:rPr>
              <w:t xml:space="preserve"> (4.31)</w:t>
            </w:r>
          </w:p>
          <w:p w14:paraId="4DDA80E8" w14:textId="1F671EC2"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(n=667)</w:t>
            </w:r>
          </w:p>
        </w:tc>
      </w:tr>
      <w:tr w:rsidR="00C80758" w:rsidRPr="0043105A" w14:paraId="77D9C7A4" w14:textId="529022B1" w:rsidTr="00C96096">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B022A" w14:textId="22FAD884" w:rsidR="00F60093" w:rsidRPr="0043105A" w:rsidRDefault="00F60093"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2 (39-47)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C44B"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5.87</w:t>
            </w:r>
          </w:p>
          <w:p w14:paraId="30DED668" w14:textId="5EB693DE" w:rsidR="00F60093" w:rsidRPr="0043105A" w:rsidRDefault="007C3696"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n=1672</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2223B"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7.26</w:t>
            </w:r>
          </w:p>
          <w:p w14:paraId="6FD422C1" w14:textId="312499AA"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(n=969</w:t>
            </w:r>
            <w:r w:rsidR="003C077A"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223D"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3.96</w:t>
            </w:r>
          </w:p>
          <w:p w14:paraId="38463130" w14:textId="02512670"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(n=703</w:t>
            </w:r>
            <w:r w:rsidR="003C077A" w:rsidRPr="0043105A">
              <w:rPr>
                <w:rFonts w:ascii="Times New Roman" w:hAnsi="Times New Roman" w:cs="Times New Roman"/>
                <w:sz w:val="20"/>
                <w:szCs w:val="20"/>
                <w:lang w:val="en-US"/>
              </w:rPr>
              <w:t>)</w:t>
            </w:r>
          </w:p>
        </w:tc>
        <w:tc>
          <w:tcPr>
            <w:tcW w:w="1587" w:type="dxa"/>
            <w:tcBorders>
              <w:top w:val="single" w:sz="4" w:space="0" w:color="000000"/>
              <w:left w:val="single" w:sz="4" w:space="0" w:color="000000"/>
              <w:bottom w:val="single" w:sz="4" w:space="0" w:color="000000"/>
              <w:right w:val="single" w:sz="4" w:space="0" w:color="000000"/>
            </w:tcBorders>
          </w:tcPr>
          <w:p w14:paraId="210E7068" w14:textId="7F083B22"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2 (-.22-.67)</w:t>
            </w:r>
          </w:p>
        </w:tc>
        <w:tc>
          <w:tcPr>
            <w:tcW w:w="0" w:type="auto"/>
            <w:tcBorders>
              <w:top w:val="single" w:sz="4" w:space="0" w:color="000000"/>
              <w:left w:val="single" w:sz="4" w:space="0" w:color="000000"/>
              <w:bottom w:val="single" w:sz="4" w:space="0" w:color="000000"/>
              <w:right w:val="single" w:sz="4" w:space="0" w:color="000000"/>
            </w:tcBorders>
          </w:tcPr>
          <w:p w14:paraId="48236FE4" w14:textId="14E1D425"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5.66</w:t>
            </w:r>
            <w:r w:rsidR="00E0192A" w:rsidRPr="0043105A">
              <w:rPr>
                <w:rFonts w:ascii="Times New Roman" w:hAnsi="Times New Roman" w:cs="Times New Roman"/>
                <w:sz w:val="20"/>
                <w:szCs w:val="20"/>
                <w:lang w:val="en-US"/>
              </w:rPr>
              <w:t xml:space="preserve"> (5.94)</w:t>
            </w:r>
          </w:p>
          <w:p w14:paraId="4FD816DF" w14:textId="1A728EC7" w:rsidR="00F60093" w:rsidRPr="0043105A" w:rsidRDefault="00DC70AA"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n=1647</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618F82D" w14:textId="2490C49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7.05</w:t>
            </w:r>
            <w:r w:rsidR="00BE7491" w:rsidRPr="0043105A">
              <w:rPr>
                <w:rFonts w:ascii="Times New Roman" w:hAnsi="Times New Roman" w:cs="Times New Roman"/>
                <w:sz w:val="20"/>
                <w:szCs w:val="20"/>
                <w:lang w:val="en-US"/>
              </w:rPr>
              <w:t xml:space="preserve"> (6.54)</w:t>
            </w:r>
          </w:p>
          <w:p w14:paraId="5CBCC797" w14:textId="79BAA6A0"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(n=803)</w:t>
            </w:r>
          </w:p>
        </w:tc>
        <w:tc>
          <w:tcPr>
            <w:tcW w:w="0" w:type="auto"/>
            <w:tcBorders>
              <w:top w:val="single" w:sz="4" w:space="0" w:color="000000"/>
              <w:left w:val="single" w:sz="4" w:space="0" w:color="000000"/>
              <w:bottom w:val="single" w:sz="4" w:space="0" w:color="000000"/>
              <w:right w:val="single" w:sz="4" w:space="0" w:color="000000"/>
            </w:tcBorders>
          </w:tcPr>
          <w:p w14:paraId="263A77B2" w14:textId="4A9AF96A"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4.05</w:t>
            </w:r>
            <w:r w:rsidR="00BE7491" w:rsidRPr="0043105A">
              <w:rPr>
                <w:rFonts w:ascii="Times New Roman" w:hAnsi="Times New Roman" w:cs="Times New Roman"/>
                <w:sz w:val="20"/>
                <w:szCs w:val="20"/>
                <w:lang w:val="en-US"/>
              </w:rPr>
              <w:t xml:space="preserve"> (4.66)</w:t>
            </w:r>
          </w:p>
          <w:p w14:paraId="7E8FB50B" w14:textId="5BB4F367"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(n=764)</w:t>
            </w:r>
          </w:p>
        </w:tc>
      </w:tr>
      <w:tr w:rsidR="00C80758" w:rsidRPr="0043105A" w14:paraId="79B7B765" w14:textId="6A21518B" w:rsidTr="00C96096">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CCA2C" w14:textId="3B69E6B4" w:rsidR="00F60093" w:rsidRPr="0043105A" w:rsidRDefault="00F60093"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3 (48-55)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56893"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5.70</w:t>
            </w:r>
          </w:p>
          <w:p w14:paraId="6374F3E4" w14:textId="1D53A26A" w:rsidR="00F60093" w:rsidRPr="0043105A" w:rsidRDefault="007C3696"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n=1903</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EE066"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7.27</w:t>
            </w:r>
          </w:p>
          <w:p w14:paraId="18BD600D" w14:textId="6A0D4783"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(n=986</w:t>
            </w:r>
            <w:r w:rsidR="003C077A"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AA567"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4.00</w:t>
            </w:r>
          </w:p>
          <w:p w14:paraId="341A8D9E" w14:textId="67A019D4"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(n=917</w:t>
            </w:r>
            <w:r w:rsidR="003C077A" w:rsidRPr="0043105A">
              <w:rPr>
                <w:rFonts w:ascii="Times New Roman" w:hAnsi="Times New Roman" w:cs="Times New Roman"/>
                <w:sz w:val="20"/>
                <w:szCs w:val="20"/>
                <w:lang w:val="en-US"/>
              </w:rPr>
              <w:t>)</w:t>
            </w:r>
          </w:p>
        </w:tc>
        <w:tc>
          <w:tcPr>
            <w:tcW w:w="1587" w:type="dxa"/>
            <w:tcBorders>
              <w:top w:val="single" w:sz="4" w:space="0" w:color="000000"/>
              <w:left w:val="single" w:sz="4" w:space="0" w:color="000000"/>
              <w:bottom w:val="single" w:sz="4" w:space="0" w:color="000000"/>
              <w:right w:val="single" w:sz="4" w:space="0" w:color="000000"/>
            </w:tcBorders>
          </w:tcPr>
          <w:p w14:paraId="59385119" w14:textId="79D193B0"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3 (.68-1.14)</w:t>
            </w:r>
          </w:p>
        </w:tc>
        <w:tc>
          <w:tcPr>
            <w:tcW w:w="0" w:type="auto"/>
            <w:tcBorders>
              <w:top w:val="single" w:sz="4" w:space="0" w:color="000000"/>
              <w:left w:val="single" w:sz="4" w:space="0" w:color="000000"/>
              <w:bottom w:val="single" w:sz="4" w:space="0" w:color="000000"/>
              <w:right w:val="single" w:sz="4" w:space="0" w:color="000000"/>
            </w:tcBorders>
          </w:tcPr>
          <w:p w14:paraId="0DC31AF5" w14:textId="3D6E7EC4"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5.43</w:t>
            </w:r>
            <w:r w:rsidR="00E0192A" w:rsidRPr="0043105A">
              <w:rPr>
                <w:rFonts w:ascii="Times New Roman" w:hAnsi="Times New Roman" w:cs="Times New Roman"/>
                <w:sz w:val="20"/>
                <w:szCs w:val="20"/>
                <w:lang w:val="en-US"/>
              </w:rPr>
              <w:t xml:space="preserve"> (5.80)</w:t>
            </w:r>
          </w:p>
          <w:p w14:paraId="7DDE6123" w14:textId="37DC30D3" w:rsidR="00F60093" w:rsidRPr="0043105A" w:rsidRDefault="00DC70AA"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n=1712</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7E7FC48C" w14:textId="2A679BEB"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6.89</w:t>
            </w:r>
            <w:r w:rsidR="00BE7491" w:rsidRPr="0043105A">
              <w:rPr>
                <w:rFonts w:ascii="Times New Roman" w:hAnsi="Times New Roman" w:cs="Times New Roman"/>
                <w:sz w:val="20"/>
                <w:szCs w:val="20"/>
                <w:lang w:val="en-US"/>
              </w:rPr>
              <w:t xml:space="preserve"> (6.52)</w:t>
            </w:r>
          </w:p>
          <w:p w14:paraId="62869821" w14:textId="2F99066F"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(n=843)</w:t>
            </w:r>
          </w:p>
        </w:tc>
        <w:tc>
          <w:tcPr>
            <w:tcW w:w="0" w:type="auto"/>
            <w:tcBorders>
              <w:top w:val="single" w:sz="4" w:space="0" w:color="000000"/>
              <w:left w:val="single" w:sz="4" w:space="0" w:color="000000"/>
              <w:bottom w:val="single" w:sz="4" w:space="0" w:color="000000"/>
              <w:right w:val="single" w:sz="4" w:space="0" w:color="000000"/>
            </w:tcBorders>
          </w:tcPr>
          <w:p w14:paraId="4A0BC719" w14:textId="05F14409"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4.01</w:t>
            </w:r>
            <w:r w:rsidR="00BE7491" w:rsidRPr="0043105A">
              <w:rPr>
                <w:rFonts w:ascii="Times New Roman" w:hAnsi="Times New Roman" w:cs="Times New Roman"/>
                <w:sz w:val="20"/>
                <w:szCs w:val="20"/>
                <w:lang w:val="en-US"/>
              </w:rPr>
              <w:t xml:space="preserve"> (4.58)</w:t>
            </w:r>
          </w:p>
          <w:p w14:paraId="1B4226BA" w14:textId="0BD56F5A"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(n=869)</w:t>
            </w:r>
          </w:p>
        </w:tc>
      </w:tr>
      <w:tr w:rsidR="00C80758" w:rsidRPr="0043105A" w14:paraId="44F8E284" w14:textId="53D47041" w:rsidTr="00C96096">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8518" w14:textId="3A587F95" w:rsidR="00F60093" w:rsidRPr="0043105A" w:rsidRDefault="00F60093"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4 (56-63,)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34966"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5.35</w:t>
            </w:r>
          </w:p>
          <w:p w14:paraId="5A15B6AB" w14:textId="2C8A6C2A" w:rsidR="00F60093" w:rsidRPr="0043105A" w:rsidRDefault="007C3696"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n=1652</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75A3"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7.06</w:t>
            </w:r>
          </w:p>
          <w:p w14:paraId="0E0DACDE" w14:textId="542EAE2F"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(n=732</w:t>
            </w:r>
            <w:r w:rsidR="003C077A"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F2A29"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4.00</w:t>
            </w:r>
          </w:p>
          <w:p w14:paraId="3DAD85F5" w14:textId="555DAC69"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(n=920</w:t>
            </w:r>
            <w:r w:rsidR="003C077A" w:rsidRPr="0043105A">
              <w:rPr>
                <w:rFonts w:ascii="Times New Roman" w:hAnsi="Times New Roman" w:cs="Times New Roman"/>
                <w:sz w:val="20"/>
                <w:szCs w:val="20"/>
                <w:lang w:val="en-US"/>
              </w:rPr>
              <w:t>)</w:t>
            </w:r>
          </w:p>
        </w:tc>
        <w:tc>
          <w:tcPr>
            <w:tcW w:w="1587" w:type="dxa"/>
            <w:tcBorders>
              <w:top w:val="single" w:sz="4" w:space="0" w:color="000000"/>
              <w:left w:val="single" w:sz="4" w:space="0" w:color="000000"/>
              <w:bottom w:val="single" w:sz="4" w:space="0" w:color="000000"/>
              <w:right w:val="single" w:sz="4" w:space="0" w:color="000000"/>
            </w:tcBorders>
          </w:tcPr>
          <w:p w14:paraId="77DD141E" w14:textId="781BCF61"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 (1.15-1.77)</w:t>
            </w:r>
          </w:p>
        </w:tc>
        <w:tc>
          <w:tcPr>
            <w:tcW w:w="0" w:type="auto"/>
            <w:tcBorders>
              <w:top w:val="single" w:sz="4" w:space="0" w:color="000000"/>
              <w:left w:val="single" w:sz="4" w:space="0" w:color="000000"/>
              <w:bottom w:val="single" w:sz="4" w:space="0" w:color="000000"/>
              <w:right w:val="single" w:sz="4" w:space="0" w:color="000000"/>
            </w:tcBorders>
          </w:tcPr>
          <w:p w14:paraId="2547D441" w14:textId="5AD650F5"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5.72</w:t>
            </w:r>
            <w:r w:rsidR="00E0192A" w:rsidRPr="0043105A">
              <w:rPr>
                <w:rFonts w:ascii="Times New Roman" w:hAnsi="Times New Roman" w:cs="Times New Roman"/>
                <w:sz w:val="20"/>
                <w:szCs w:val="20"/>
                <w:lang w:val="en-US"/>
              </w:rPr>
              <w:t xml:space="preserve"> (6.04)</w:t>
            </w:r>
          </w:p>
          <w:p w14:paraId="05E57C00" w14:textId="1549E1E7" w:rsidR="00F60093" w:rsidRPr="0043105A" w:rsidRDefault="00DC70AA"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n=1804</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57FF59B" w14:textId="79F3EFA9"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7.52</w:t>
            </w:r>
            <w:r w:rsidR="00BE7491" w:rsidRPr="0043105A">
              <w:rPr>
                <w:rFonts w:ascii="Times New Roman" w:hAnsi="Times New Roman" w:cs="Times New Roman"/>
                <w:sz w:val="20"/>
                <w:szCs w:val="20"/>
                <w:lang w:val="en-US"/>
              </w:rPr>
              <w:t xml:space="preserve"> (6.80)</w:t>
            </w:r>
          </w:p>
          <w:p w14:paraId="3859DA4A" w14:textId="27CD7E8B"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(n=872)</w:t>
            </w:r>
          </w:p>
        </w:tc>
        <w:tc>
          <w:tcPr>
            <w:tcW w:w="0" w:type="auto"/>
            <w:tcBorders>
              <w:top w:val="single" w:sz="4" w:space="0" w:color="000000"/>
              <w:left w:val="single" w:sz="4" w:space="0" w:color="000000"/>
              <w:bottom w:val="single" w:sz="4" w:space="0" w:color="000000"/>
              <w:right w:val="single" w:sz="4" w:space="0" w:color="000000"/>
            </w:tcBorders>
          </w:tcPr>
          <w:p w14:paraId="37FCA35C" w14:textId="1AAC3BDF"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4.04</w:t>
            </w:r>
            <w:r w:rsidR="00BE7491" w:rsidRPr="0043105A">
              <w:rPr>
                <w:rFonts w:ascii="Times New Roman" w:hAnsi="Times New Roman" w:cs="Times New Roman"/>
                <w:sz w:val="20"/>
                <w:szCs w:val="20"/>
                <w:lang w:val="en-US"/>
              </w:rPr>
              <w:t xml:space="preserve"> (4.65)</w:t>
            </w:r>
          </w:p>
          <w:p w14:paraId="17E360C8" w14:textId="05801DB0"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(n=932)</w:t>
            </w:r>
          </w:p>
        </w:tc>
      </w:tr>
      <w:tr w:rsidR="00C80758" w:rsidRPr="0043105A" w14:paraId="62080422" w14:textId="0904931B" w:rsidTr="00C96096">
        <w:trPr>
          <w:trHeight w:val="300"/>
        </w:trPr>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6CBFB" w14:textId="4D3806F7" w:rsidR="00F60093" w:rsidRPr="0043105A" w:rsidRDefault="00F60093"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5 (64-95)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7F541"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4.99</w:t>
            </w:r>
          </w:p>
          <w:p w14:paraId="549C107C" w14:textId="55644ED0" w:rsidR="00F60093" w:rsidRPr="0043105A" w:rsidRDefault="007C3696"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n=1727</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3290F"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6.80</w:t>
            </w:r>
          </w:p>
          <w:p w14:paraId="023136A6" w14:textId="455020D6"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(n=547</w:t>
            </w:r>
            <w:r w:rsidR="003C077A"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76895" w14:textId="77777777"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4.15</w:t>
            </w:r>
          </w:p>
          <w:p w14:paraId="350A2A5D" w14:textId="38E997CD" w:rsidR="003C077A" w:rsidRPr="0043105A" w:rsidRDefault="00C80758" w:rsidP="00F60093">
            <w:pPr>
              <w:pStyle w:val="Body"/>
              <w:spacing w:after="0" w:line="240" w:lineRule="auto"/>
              <w:rPr>
                <w:rFonts w:ascii="Times New Roman" w:hAnsi="Times New Roman" w:cs="Times New Roman"/>
                <w:sz w:val="20"/>
                <w:szCs w:val="20"/>
              </w:rPr>
            </w:pPr>
            <w:r w:rsidRPr="0043105A">
              <w:rPr>
                <w:rFonts w:ascii="Times New Roman" w:hAnsi="Times New Roman" w:cs="Times New Roman"/>
                <w:sz w:val="20"/>
                <w:szCs w:val="20"/>
                <w:lang w:val="en-US"/>
              </w:rPr>
              <w:t>(n=1180</w:t>
            </w:r>
            <w:r w:rsidR="003C077A" w:rsidRPr="0043105A">
              <w:rPr>
                <w:rFonts w:ascii="Times New Roman" w:hAnsi="Times New Roman" w:cs="Times New Roman"/>
                <w:sz w:val="20"/>
                <w:szCs w:val="20"/>
                <w:lang w:val="en-US"/>
              </w:rPr>
              <w:t>)</w:t>
            </w:r>
          </w:p>
        </w:tc>
        <w:tc>
          <w:tcPr>
            <w:tcW w:w="1587" w:type="dxa"/>
            <w:tcBorders>
              <w:top w:val="single" w:sz="4" w:space="0" w:color="000000"/>
              <w:left w:val="single" w:sz="4" w:space="0" w:color="000000"/>
              <w:bottom w:val="single" w:sz="4" w:space="0" w:color="000000"/>
              <w:right w:val="single" w:sz="4" w:space="0" w:color="000000"/>
            </w:tcBorders>
          </w:tcPr>
          <w:p w14:paraId="485F7C79" w14:textId="5DEFB399"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 (1.78-5.10)</w:t>
            </w:r>
          </w:p>
        </w:tc>
        <w:tc>
          <w:tcPr>
            <w:tcW w:w="0" w:type="auto"/>
            <w:tcBorders>
              <w:top w:val="single" w:sz="4" w:space="0" w:color="000000"/>
              <w:left w:val="single" w:sz="4" w:space="0" w:color="000000"/>
              <w:bottom w:val="single" w:sz="4" w:space="0" w:color="000000"/>
              <w:right w:val="single" w:sz="4" w:space="0" w:color="000000"/>
            </w:tcBorders>
          </w:tcPr>
          <w:p w14:paraId="78800392" w14:textId="28D9A73A" w:rsidR="00F60093" w:rsidRPr="0043105A" w:rsidRDefault="00BE7491"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5.26 (5.69)</w:t>
            </w:r>
          </w:p>
          <w:p w14:paraId="654A42FF" w14:textId="4E6C06D3" w:rsidR="00F60093" w:rsidRPr="0043105A" w:rsidRDefault="00DC70AA"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w:t>
            </w:r>
            <w:r w:rsidR="00F60093" w:rsidRPr="0043105A">
              <w:rPr>
                <w:rFonts w:ascii="Times New Roman" w:hAnsi="Times New Roman" w:cs="Times New Roman"/>
                <w:sz w:val="20"/>
                <w:szCs w:val="20"/>
                <w:lang w:val="en-US"/>
              </w:rPr>
              <w:t>n=1857</w:t>
            </w:r>
            <w:r w:rsidRPr="0043105A">
              <w:rPr>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4AE7D1A7" w14:textId="5E5132B1"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6.83</w:t>
            </w:r>
            <w:r w:rsidR="00BE7491" w:rsidRPr="0043105A">
              <w:rPr>
                <w:rFonts w:ascii="Times New Roman" w:hAnsi="Times New Roman" w:cs="Times New Roman"/>
                <w:sz w:val="20"/>
                <w:szCs w:val="20"/>
                <w:lang w:val="en-US"/>
              </w:rPr>
              <w:t xml:space="preserve"> (6.54)</w:t>
            </w:r>
          </w:p>
          <w:p w14:paraId="3A40ED28" w14:textId="6C9C4F07"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(n=815)</w:t>
            </w:r>
          </w:p>
        </w:tc>
        <w:tc>
          <w:tcPr>
            <w:tcW w:w="0" w:type="auto"/>
            <w:tcBorders>
              <w:top w:val="single" w:sz="4" w:space="0" w:color="000000"/>
              <w:left w:val="single" w:sz="4" w:space="0" w:color="000000"/>
              <w:bottom w:val="single" w:sz="4" w:space="0" w:color="000000"/>
              <w:right w:val="single" w:sz="4" w:space="0" w:color="000000"/>
            </w:tcBorders>
          </w:tcPr>
          <w:p w14:paraId="7DF3F628" w14:textId="7062831A" w:rsidR="00F60093" w:rsidRPr="0043105A" w:rsidRDefault="00F60093"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4.04</w:t>
            </w:r>
            <w:r w:rsidR="00BE7491" w:rsidRPr="0043105A">
              <w:rPr>
                <w:rFonts w:ascii="Times New Roman" w:hAnsi="Times New Roman" w:cs="Times New Roman"/>
                <w:sz w:val="20"/>
                <w:szCs w:val="20"/>
                <w:lang w:val="en-US"/>
              </w:rPr>
              <w:t xml:space="preserve"> (4.57)</w:t>
            </w:r>
          </w:p>
          <w:p w14:paraId="0F8C1A00" w14:textId="4226731B" w:rsidR="00002F44" w:rsidRPr="0043105A" w:rsidRDefault="00002F44" w:rsidP="00F60093">
            <w:pPr>
              <w:pStyle w:val="Body"/>
              <w:spacing w:after="0" w:line="240" w:lineRule="auto"/>
              <w:rPr>
                <w:rFonts w:ascii="Times New Roman" w:hAnsi="Times New Roman" w:cs="Times New Roman"/>
                <w:sz w:val="20"/>
                <w:szCs w:val="20"/>
                <w:lang w:val="en-US"/>
              </w:rPr>
            </w:pPr>
            <w:r w:rsidRPr="0043105A">
              <w:rPr>
                <w:rFonts w:ascii="Times New Roman" w:hAnsi="Times New Roman" w:cs="Times New Roman"/>
                <w:sz w:val="20"/>
                <w:szCs w:val="20"/>
                <w:lang w:val="en-US"/>
              </w:rPr>
              <w:t>(n=1042)</w:t>
            </w:r>
          </w:p>
        </w:tc>
      </w:tr>
    </w:tbl>
    <w:p w14:paraId="68936EBB" w14:textId="77777777" w:rsidR="00F24315" w:rsidRDefault="00F24315" w:rsidP="00F24315">
      <w:pPr>
        <w:pStyle w:val="Body"/>
        <w:widowControl w:val="0"/>
        <w:spacing w:line="240" w:lineRule="auto"/>
        <w:rPr>
          <w:rFonts w:ascii="Times New Roman" w:eastAsia="Times New Roman" w:hAnsi="Times New Roman" w:cs="Times New Roman"/>
          <w:sz w:val="24"/>
          <w:szCs w:val="24"/>
        </w:rPr>
      </w:pPr>
    </w:p>
    <w:p w14:paraId="25BB42FB" w14:textId="77777777" w:rsidR="00F60093" w:rsidRDefault="00F60093" w:rsidP="00F24315">
      <w:pPr>
        <w:pStyle w:val="Body"/>
        <w:spacing w:line="240" w:lineRule="auto"/>
        <w:rPr>
          <w:rFonts w:ascii="Times New Roman" w:hAnsi="Times New Roman"/>
          <w:sz w:val="24"/>
          <w:szCs w:val="24"/>
          <w:lang w:val="en-US"/>
        </w:rPr>
      </w:pPr>
    </w:p>
    <w:p w14:paraId="5379F469" w14:textId="18B7714D" w:rsidR="00754A25" w:rsidRPr="00754A25" w:rsidRDefault="00F24315" w:rsidP="00F24315">
      <w:pPr>
        <w:pStyle w:val="Body"/>
        <w:spacing w:line="240" w:lineRule="auto"/>
        <w:rPr>
          <w:rFonts w:ascii="Times New Roman" w:hAnsi="Times New Roman"/>
          <w:sz w:val="24"/>
          <w:szCs w:val="24"/>
        </w:rPr>
      </w:pPr>
      <w:r>
        <w:rPr>
          <w:rFonts w:ascii="Times New Roman" w:hAnsi="Times New Roman"/>
          <w:sz w:val="24"/>
          <w:szCs w:val="24"/>
          <w:lang w:val="en-US"/>
        </w:rPr>
        <w:lastRenderedPageBreak/>
        <w:t xml:space="preserve">Supplementary Table </w:t>
      </w:r>
      <w:r w:rsidR="00F91A15">
        <w:rPr>
          <w:rFonts w:ascii="Times New Roman" w:hAnsi="Times New Roman"/>
          <w:sz w:val="24"/>
          <w:szCs w:val="24"/>
          <w:lang w:val="en-US"/>
        </w:rPr>
        <w:t>4</w:t>
      </w:r>
      <w:r>
        <w:rPr>
          <w:rFonts w:ascii="Times New Roman" w:hAnsi="Times New Roman"/>
          <w:sz w:val="24"/>
          <w:szCs w:val="24"/>
          <w:lang w:val="en-US"/>
        </w:rPr>
        <w:t xml:space="preserve">. Mean (SD) MFQ scores at age 14, according to </w:t>
      </w:r>
      <w:r w:rsidR="00EA0133">
        <w:rPr>
          <w:rFonts w:ascii="Times New Roman" w:hAnsi="Times New Roman"/>
          <w:sz w:val="24"/>
          <w:szCs w:val="24"/>
          <w:lang w:val="en-US"/>
        </w:rPr>
        <w:t>risk taking</w:t>
      </w:r>
      <w:r>
        <w:rPr>
          <w:rFonts w:ascii="Times New Roman" w:hAnsi="Times New Roman"/>
          <w:sz w:val="24"/>
          <w:szCs w:val="24"/>
          <w:lang w:val="en-US"/>
        </w:rPr>
        <w:t xml:space="preserve"> </w:t>
      </w:r>
      <w:r w:rsidR="00353592">
        <w:rPr>
          <w:rFonts w:ascii="Times New Roman" w:hAnsi="Times New Roman"/>
          <w:sz w:val="24"/>
          <w:szCs w:val="24"/>
          <w:lang w:val="en-US"/>
        </w:rPr>
        <w:t xml:space="preserve">and risk adjustment </w:t>
      </w:r>
      <w:r>
        <w:rPr>
          <w:rFonts w:ascii="Times New Roman" w:hAnsi="Times New Roman"/>
          <w:sz w:val="24"/>
          <w:szCs w:val="24"/>
          <w:lang w:val="en-US"/>
        </w:rPr>
        <w:t xml:space="preserve">quintiles, </w:t>
      </w:r>
      <w:r w:rsidR="00BE515D">
        <w:rPr>
          <w:rFonts w:ascii="Times New Roman" w:hAnsi="Times New Roman"/>
          <w:sz w:val="24"/>
          <w:szCs w:val="24"/>
          <w:lang w:val="en-US"/>
        </w:rPr>
        <w:t>at age 11.</w:t>
      </w:r>
      <w:r w:rsidR="000A60D2">
        <w:rPr>
          <w:rFonts w:ascii="Times New Roman" w:hAnsi="Times New Roman"/>
          <w:sz w:val="24"/>
          <w:szCs w:val="24"/>
        </w:rPr>
        <w:t xml:space="preserve"> Complete case sample (n=8418</w:t>
      </w:r>
      <w:r w:rsidR="00D46522">
        <w:rPr>
          <w:rFonts w:ascii="Times New Roman" w:hAnsi="Times New Roman"/>
          <w:sz w:val="24"/>
          <w:szCs w:val="24"/>
        </w:rPr>
        <w:t>).</w:t>
      </w:r>
    </w:p>
    <w:tbl>
      <w:tblPr>
        <w:tblW w:w="92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846"/>
        <w:gridCol w:w="1323"/>
        <w:gridCol w:w="1067"/>
        <w:gridCol w:w="1161"/>
        <w:gridCol w:w="1280"/>
        <w:gridCol w:w="1379"/>
        <w:gridCol w:w="1067"/>
        <w:gridCol w:w="1161"/>
      </w:tblGrid>
      <w:tr w:rsidR="00470C34" w:rsidRPr="00353592" w14:paraId="4FAC8707" w14:textId="1C750275" w:rsidTr="00470C34">
        <w:trPr>
          <w:trHeight w:val="300"/>
        </w:trPr>
        <w:tc>
          <w:tcPr>
            <w:tcW w:w="0" w:type="auto"/>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74339C0" w14:textId="0A867312" w:rsidR="004B5357" w:rsidRPr="00353592" w:rsidRDefault="004B5357" w:rsidP="00111614">
            <w:pPr>
              <w:pStyle w:val="Body"/>
              <w:jc w:val="center"/>
              <w:rPr>
                <w:rFonts w:ascii="Times New Roman" w:hAnsi="Times New Roman" w:cs="Times New Roman"/>
                <w:sz w:val="20"/>
                <w:szCs w:val="20"/>
              </w:rPr>
            </w:pPr>
            <w:r w:rsidRPr="00353592">
              <w:rPr>
                <w:rFonts w:ascii="Times New Roman" w:hAnsi="Times New Roman" w:cs="Times New Roman"/>
                <w:sz w:val="20"/>
                <w:szCs w:val="20"/>
                <w:lang w:val="en-US"/>
              </w:rPr>
              <w:t>Risk taking</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EB4D8" w14:textId="031EE602" w:rsidR="004B5357" w:rsidRPr="00353592" w:rsidRDefault="004B5357" w:rsidP="00624155">
            <w:pPr>
              <w:pStyle w:val="Body"/>
              <w:spacing w:after="0" w:line="240" w:lineRule="auto"/>
              <w:jc w:val="center"/>
              <w:rPr>
                <w:rFonts w:ascii="Times New Roman" w:hAnsi="Times New Roman" w:cs="Times New Roman"/>
                <w:sz w:val="20"/>
                <w:szCs w:val="20"/>
              </w:rPr>
            </w:pPr>
            <w:r w:rsidRPr="00353592">
              <w:rPr>
                <w:rFonts w:ascii="Times New Roman" w:hAnsi="Times New Roman" w:cs="Times New Roman"/>
                <w:sz w:val="20"/>
                <w:szCs w:val="20"/>
              </w:rPr>
              <w:t>Mean (SD)</w:t>
            </w:r>
          </w:p>
        </w:tc>
        <w:tc>
          <w:tcPr>
            <w:tcW w:w="0" w:type="auto"/>
            <w:vMerge w:val="restart"/>
            <w:tcBorders>
              <w:top w:val="single" w:sz="4" w:space="0" w:color="000000"/>
              <w:left w:val="single" w:sz="4" w:space="0" w:color="000000"/>
              <w:right w:val="single" w:sz="4" w:space="0" w:color="000000"/>
            </w:tcBorders>
          </w:tcPr>
          <w:p w14:paraId="103C57CF" w14:textId="3C30D7B3" w:rsidR="004B5357" w:rsidRPr="00353592" w:rsidRDefault="004B5357" w:rsidP="00111614">
            <w:pPr>
              <w:pStyle w:val="Body"/>
              <w:spacing w:after="0" w:line="240" w:lineRule="auto"/>
              <w:jc w:val="center"/>
              <w:rPr>
                <w:rFonts w:ascii="Times New Roman" w:hAnsi="Times New Roman" w:cs="Times New Roman"/>
                <w:sz w:val="20"/>
                <w:szCs w:val="20"/>
              </w:rPr>
            </w:pPr>
            <w:r w:rsidRPr="00353592">
              <w:rPr>
                <w:rFonts w:ascii="Times New Roman" w:hAnsi="Times New Roman" w:cs="Times New Roman"/>
                <w:sz w:val="20"/>
                <w:szCs w:val="20"/>
                <w:lang w:val="en-US"/>
              </w:rPr>
              <w:t>Risk adjustment</w:t>
            </w:r>
          </w:p>
        </w:tc>
        <w:tc>
          <w:tcPr>
            <w:tcW w:w="3636" w:type="dxa"/>
            <w:gridSpan w:val="3"/>
            <w:tcBorders>
              <w:top w:val="single" w:sz="4" w:space="0" w:color="000000"/>
              <w:left w:val="single" w:sz="4" w:space="0" w:color="000000"/>
              <w:bottom w:val="single" w:sz="4" w:space="0" w:color="000000"/>
              <w:right w:val="single" w:sz="4" w:space="0" w:color="000000"/>
            </w:tcBorders>
          </w:tcPr>
          <w:p w14:paraId="4FEC1167" w14:textId="29F56A11" w:rsidR="004B5357" w:rsidRPr="00353592" w:rsidRDefault="004B5357" w:rsidP="00624155">
            <w:pPr>
              <w:pStyle w:val="Body"/>
              <w:spacing w:after="0" w:line="240" w:lineRule="auto"/>
              <w:jc w:val="center"/>
              <w:rPr>
                <w:rFonts w:ascii="Times New Roman" w:hAnsi="Times New Roman" w:cs="Times New Roman"/>
                <w:sz w:val="20"/>
                <w:szCs w:val="20"/>
              </w:rPr>
            </w:pPr>
            <w:r w:rsidRPr="00353592">
              <w:rPr>
                <w:rFonts w:ascii="Times New Roman" w:hAnsi="Times New Roman" w:cs="Times New Roman"/>
                <w:sz w:val="20"/>
                <w:szCs w:val="20"/>
              </w:rPr>
              <w:t>Mean (SD)</w:t>
            </w:r>
          </w:p>
        </w:tc>
      </w:tr>
      <w:tr w:rsidR="00470C34" w:rsidRPr="00353592" w14:paraId="7BB3A006" w14:textId="2E648086" w:rsidTr="00470C34">
        <w:trPr>
          <w:trHeight w:val="300"/>
        </w:trPr>
        <w:tc>
          <w:tcPr>
            <w:tcW w:w="0" w:type="auto"/>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0D405" w14:textId="1FB27DA8" w:rsidR="004B5357" w:rsidRPr="00353592" w:rsidRDefault="004B5357" w:rsidP="004B5357">
            <w:pPr>
              <w:pStyle w:val="Body"/>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28BF9" w14:textId="5854360C"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0A63A" w14:textId="31AA5A3A"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females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5BF96" w14:textId="6F54442D"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males</w:t>
            </w:r>
          </w:p>
        </w:tc>
        <w:tc>
          <w:tcPr>
            <w:tcW w:w="0" w:type="auto"/>
            <w:vMerge/>
            <w:tcBorders>
              <w:left w:val="single" w:sz="4" w:space="0" w:color="000000"/>
              <w:bottom w:val="single" w:sz="4" w:space="0" w:color="000000"/>
              <w:right w:val="single" w:sz="4" w:space="0" w:color="000000"/>
            </w:tcBorders>
          </w:tcPr>
          <w:p w14:paraId="2AF13129" w14:textId="73EC24A2"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03FD58CB" w14:textId="7ED90C27"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overall</w:t>
            </w:r>
          </w:p>
        </w:tc>
        <w:tc>
          <w:tcPr>
            <w:tcW w:w="0" w:type="auto"/>
            <w:tcBorders>
              <w:top w:val="single" w:sz="4" w:space="0" w:color="000000"/>
              <w:left w:val="single" w:sz="4" w:space="0" w:color="000000"/>
              <w:bottom w:val="single" w:sz="4" w:space="0" w:color="000000"/>
              <w:right w:val="single" w:sz="4" w:space="0" w:color="000000"/>
            </w:tcBorders>
          </w:tcPr>
          <w:p w14:paraId="55545621" w14:textId="67B43FFB"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females</w:t>
            </w:r>
          </w:p>
        </w:tc>
        <w:tc>
          <w:tcPr>
            <w:tcW w:w="1161" w:type="dxa"/>
            <w:tcBorders>
              <w:top w:val="single" w:sz="4" w:space="0" w:color="000000"/>
              <w:left w:val="single" w:sz="4" w:space="0" w:color="000000"/>
              <w:bottom w:val="single" w:sz="4" w:space="0" w:color="000000"/>
              <w:right w:val="single" w:sz="4" w:space="0" w:color="000000"/>
            </w:tcBorders>
          </w:tcPr>
          <w:p w14:paraId="60A361EE" w14:textId="09077E4B"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MFQ males</w:t>
            </w:r>
          </w:p>
        </w:tc>
      </w:tr>
      <w:tr w:rsidR="00470C34" w:rsidRPr="00353592" w14:paraId="5E3274B6" w14:textId="76F0CBB6" w:rsidTr="00470C3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F91A" w14:textId="2F687814" w:rsidR="004B5357" w:rsidRPr="00353592" w:rsidRDefault="004B5357" w:rsidP="009E732A">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 xml:space="preserve">1 (5-37)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78F77" w14:textId="77777777" w:rsidR="00470C34" w:rsidRPr="00353592" w:rsidRDefault="004B5357" w:rsidP="004B5357">
            <w:pPr>
              <w:pStyle w:val="Body"/>
              <w:spacing w:after="0" w:line="240" w:lineRule="auto"/>
              <w:rPr>
                <w:rFonts w:ascii="Times New Roman" w:hAnsi="Times New Roman" w:cs="Times New Roman"/>
                <w:sz w:val="20"/>
                <w:szCs w:val="20"/>
                <w:lang w:val="en-US"/>
              </w:rPr>
            </w:pPr>
            <w:proofErr w:type="gramStart"/>
            <w:r w:rsidRPr="00353592">
              <w:rPr>
                <w:rFonts w:ascii="Times New Roman" w:hAnsi="Times New Roman" w:cs="Times New Roman"/>
                <w:sz w:val="20"/>
                <w:szCs w:val="20"/>
                <w:lang w:val="en-US"/>
              </w:rPr>
              <w:t>6.37</w:t>
            </w:r>
            <w:r w:rsidR="009E732A" w:rsidRPr="00353592">
              <w:rPr>
                <w:rFonts w:ascii="Times New Roman" w:hAnsi="Times New Roman" w:cs="Times New Roman"/>
                <w:sz w:val="20"/>
                <w:szCs w:val="20"/>
                <w:lang w:val="en-US"/>
              </w:rPr>
              <w:t xml:space="preserve"> </w:t>
            </w:r>
            <w:r w:rsidR="00470C34" w:rsidRPr="00353592">
              <w:rPr>
                <w:rFonts w:ascii="Times New Roman" w:hAnsi="Times New Roman" w:cs="Times New Roman"/>
                <w:sz w:val="20"/>
                <w:szCs w:val="20"/>
                <w:lang w:val="en-US"/>
              </w:rPr>
              <w:t xml:space="preserve"> (</w:t>
            </w:r>
            <w:proofErr w:type="gramEnd"/>
            <w:r w:rsidR="00470C34" w:rsidRPr="00353592">
              <w:rPr>
                <w:rFonts w:ascii="Times New Roman" w:hAnsi="Times New Roman" w:cs="Times New Roman"/>
                <w:sz w:val="20"/>
                <w:szCs w:val="20"/>
                <w:lang w:val="en-US"/>
              </w:rPr>
              <w:t>6.31)</w:t>
            </w:r>
          </w:p>
          <w:p w14:paraId="279520F4" w14:textId="70746A86" w:rsidR="004B5357" w:rsidRPr="00353592" w:rsidRDefault="009E732A"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(n=1652)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A0BD" w14:textId="7B2CEF76" w:rsidR="001A5275"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7.18</w:t>
            </w:r>
            <w:r w:rsidR="00470C34" w:rsidRPr="00353592">
              <w:rPr>
                <w:rFonts w:ascii="Times New Roman" w:hAnsi="Times New Roman" w:cs="Times New Roman"/>
                <w:sz w:val="20"/>
                <w:szCs w:val="20"/>
                <w:lang w:val="en-US"/>
              </w:rPr>
              <w:t xml:space="preserve"> (6.62)</w:t>
            </w:r>
          </w:p>
          <w:p w14:paraId="1F1E078F" w14:textId="71701114" w:rsidR="004B5357"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(n=1192)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6EC3" w14:textId="39066D16"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4.27</w:t>
            </w:r>
            <w:r w:rsidR="00470C34" w:rsidRPr="00353592">
              <w:rPr>
                <w:rFonts w:ascii="Times New Roman" w:hAnsi="Times New Roman" w:cs="Times New Roman"/>
                <w:sz w:val="20"/>
                <w:szCs w:val="20"/>
                <w:lang w:val="en-US"/>
              </w:rPr>
              <w:t xml:space="preserve"> (4.81)</w:t>
            </w:r>
          </w:p>
          <w:p w14:paraId="5E14C766" w14:textId="6DCD19D8"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(n=460)</w:t>
            </w:r>
          </w:p>
        </w:tc>
        <w:tc>
          <w:tcPr>
            <w:tcW w:w="0" w:type="auto"/>
            <w:tcBorders>
              <w:top w:val="single" w:sz="4" w:space="0" w:color="000000"/>
              <w:left w:val="single" w:sz="4" w:space="0" w:color="000000"/>
              <w:bottom w:val="single" w:sz="4" w:space="0" w:color="000000"/>
              <w:right w:val="single" w:sz="4" w:space="0" w:color="000000"/>
            </w:tcBorders>
          </w:tcPr>
          <w:p w14:paraId="472AB850" w14:textId="77777777" w:rsidR="004B5357" w:rsidRPr="00353592" w:rsidRDefault="004B5357" w:rsidP="004B5357">
            <w:pPr>
              <w:pStyle w:val="Body"/>
              <w:spacing w:after="0" w:line="240" w:lineRule="auto"/>
              <w:rPr>
                <w:rFonts w:ascii="Times New Roman" w:hAnsi="Times New Roman"/>
                <w:sz w:val="20"/>
                <w:szCs w:val="20"/>
                <w:lang w:val="en-US"/>
              </w:rPr>
            </w:pPr>
            <w:r w:rsidRPr="00353592">
              <w:rPr>
                <w:rFonts w:ascii="Times New Roman" w:hAnsi="Times New Roman"/>
                <w:sz w:val="20"/>
                <w:szCs w:val="20"/>
                <w:lang w:val="en-US"/>
              </w:rPr>
              <w:t>1 (-.64 - -.09)</w:t>
            </w:r>
          </w:p>
          <w:p w14:paraId="1855D3BC" w14:textId="6FE497ED"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70E8F428" w14:textId="77777777" w:rsidR="00BA33D1" w:rsidRPr="00353592" w:rsidRDefault="004B5357" w:rsidP="004B5357">
            <w:pPr>
              <w:pStyle w:val="Body"/>
              <w:spacing w:after="0" w:line="240" w:lineRule="auto"/>
              <w:rPr>
                <w:rFonts w:ascii="Times New Roman" w:hAnsi="Times New Roman" w:cs="Times New Roman"/>
                <w:sz w:val="20"/>
                <w:szCs w:val="20"/>
                <w:lang w:val="en-US"/>
              </w:rPr>
            </w:pPr>
            <w:proofErr w:type="gramStart"/>
            <w:r w:rsidRPr="00353592">
              <w:rPr>
                <w:rFonts w:ascii="Times New Roman" w:hAnsi="Times New Roman" w:cs="Times New Roman"/>
                <w:sz w:val="20"/>
                <w:szCs w:val="20"/>
                <w:lang w:val="en-US"/>
              </w:rPr>
              <w:t>5.65</w:t>
            </w:r>
            <w:r w:rsidR="00361DD2" w:rsidRPr="00353592">
              <w:rPr>
                <w:rFonts w:ascii="Times New Roman" w:hAnsi="Times New Roman" w:cs="Times New Roman"/>
                <w:sz w:val="20"/>
                <w:szCs w:val="20"/>
                <w:lang w:val="en-US"/>
              </w:rPr>
              <w:t xml:space="preserve"> </w:t>
            </w:r>
            <w:r w:rsidR="00BA33D1" w:rsidRPr="00353592">
              <w:rPr>
                <w:rFonts w:ascii="Times New Roman" w:hAnsi="Times New Roman" w:cs="Times New Roman"/>
                <w:sz w:val="20"/>
                <w:szCs w:val="20"/>
                <w:lang w:val="en-US"/>
              </w:rPr>
              <w:t xml:space="preserve"> (</w:t>
            </w:r>
            <w:proofErr w:type="gramEnd"/>
            <w:r w:rsidR="00BA33D1" w:rsidRPr="00353592">
              <w:rPr>
                <w:rFonts w:ascii="Times New Roman" w:hAnsi="Times New Roman" w:cs="Times New Roman"/>
                <w:sz w:val="20"/>
                <w:szCs w:val="20"/>
                <w:lang w:val="en-US"/>
              </w:rPr>
              <w:t>5.81)</w:t>
            </w:r>
          </w:p>
          <w:p w14:paraId="35F0A3B9" w14:textId="162A5419" w:rsidR="004B5357" w:rsidRPr="00353592" w:rsidRDefault="00361DD2"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(n=1518)</w:t>
            </w:r>
          </w:p>
        </w:tc>
        <w:tc>
          <w:tcPr>
            <w:tcW w:w="0" w:type="auto"/>
            <w:tcBorders>
              <w:top w:val="single" w:sz="4" w:space="0" w:color="000000"/>
              <w:left w:val="single" w:sz="4" w:space="0" w:color="000000"/>
              <w:bottom w:val="single" w:sz="4" w:space="0" w:color="000000"/>
              <w:right w:val="single" w:sz="4" w:space="0" w:color="000000"/>
            </w:tcBorders>
          </w:tcPr>
          <w:p w14:paraId="30ACD924" w14:textId="4A53C8B1"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7.07</w:t>
            </w:r>
            <w:r w:rsidR="00BA33D1" w:rsidRPr="00353592">
              <w:rPr>
                <w:rFonts w:ascii="Times New Roman" w:hAnsi="Times New Roman" w:cs="Times New Roman"/>
                <w:sz w:val="20"/>
                <w:szCs w:val="20"/>
                <w:lang w:val="en-US"/>
              </w:rPr>
              <w:t xml:space="preserve"> (6.51)</w:t>
            </w:r>
          </w:p>
          <w:p w14:paraId="057D0D86" w14:textId="0D18AF8F"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n=812</w:t>
            </w:r>
            <w:r w:rsidRPr="00353592">
              <w:rPr>
                <w:rFonts w:ascii="Times New Roman" w:hAnsi="Times New Roman" w:cs="Times New Roman"/>
                <w:sz w:val="20"/>
                <w:szCs w:val="20"/>
                <w:lang w:val="en-US"/>
              </w:rPr>
              <w:t>)</w:t>
            </w:r>
          </w:p>
        </w:tc>
        <w:tc>
          <w:tcPr>
            <w:tcW w:w="1161" w:type="dxa"/>
            <w:tcBorders>
              <w:top w:val="single" w:sz="4" w:space="0" w:color="000000"/>
              <w:left w:val="single" w:sz="4" w:space="0" w:color="000000"/>
              <w:bottom w:val="single" w:sz="4" w:space="0" w:color="000000"/>
              <w:right w:val="single" w:sz="4" w:space="0" w:color="000000"/>
            </w:tcBorders>
          </w:tcPr>
          <w:p w14:paraId="6CF9BD98" w14:textId="5EA76D87"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4.01</w:t>
            </w:r>
            <w:r w:rsidR="00BA33D1" w:rsidRPr="00353592">
              <w:rPr>
                <w:rFonts w:ascii="Times New Roman" w:hAnsi="Times New Roman" w:cs="Times New Roman"/>
                <w:sz w:val="20"/>
                <w:szCs w:val="20"/>
                <w:lang w:val="en-US"/>
              </w:rPr>
              <w:t xml:space="preserve"> (4.34)</w:t>
            </w:r>
          </w:p>
          <w:p w14:paraId="0EC406AC" w14:textId="67E1D946" w:rsidR="001A5275" w:rsidRPr="00353592" w:rsidRDefault="001A5275" w:rsidP="00EF5D02">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(n=</w:t>
            </w:r>
            <w:r w:rsidR="00EF5D02" w:rsidRPr="00353592">
              <w:rPr>
                <w:rFonts w:ascii="Times New Roman" w:hAnsi="Times New Roman" w:cs="Times New Roman"/>
                <w:sz w:val="20"/>
                <w:szCs w:val="20"/>
                <w:lang w:val="en-US"/>
              </w:rPr>
              <w:t>706</w:t>
            </w:r>
            <w:r w:rsidRPr="00353592">
              <w:rPr>
                <w:rFonts w:ascii="Times New Roman" w:hAnsi="Times New Roman" w:cs="Times New Roman"/>
                <w:sz w:val="20"/>
                <w:szCs w:val="20"/>
                <w:lang w:val="en-US"/>
              </w:rPr>
              <w:t>)</w:t>
            </w:r>
          </w:p>
        </w:tc>
      </w:tr>
      <w:tr w:rsidR="00470C34" w:rsidRPr="00353592" w14:paraId="2DBFA67F" w14:textId="1140AA36" w:rsidTr="00470C3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5018" w14:textId="57160301" w:rsidR="004B5357" w:rsidRPr="00353592" w:rsidRDefault="004B5357" w:rsidP="009E732A">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 xml:space="preserve">2 (38-49)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99EA3" w14:textId="77777777" w:rsidR="00470C34"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5.87</w:t>
            </w:r>
            <w:r w:rsidR="009E732A" w:rsidRPr="00353592">
              <w:rPr>
                <w:rFonts w:ascii="Times New Roman" w:hAnsi="Times New Roman" w:cs="Times New Roman"/>
                <w:sz w:val="20"/>
                <w:szCs w:val="20"/>
                <w:lang w:val="en-US"/>
              </w:rPr>
              <w:t xml:space="preserve"> </w:t>
            </w:r>
            <w:r w:rsidR="00470C34" w:rsidRPr="00353592">
              <w:rPr>
                <w:rFonts w:ascii="Times New Roman" w:hAnsi="Times New Roman" w:cs="Times New Roman"/>
                <w:sz w:val="20"/>
                <w:szCs w:val="20"/>
                <w:lang w:val="en-US"/>
              </w:rPr>
              <w:t>(5.97)</w:t>
            </w:r>
          </w:p>
          <w:p w14:paraId="30718ABA" w14:textId="6E54F7F7" w:rsidR="004B5357" w:rsidRPr="00353592" w:rsidRDefault="009E732A"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(n=1815)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BEE13" w14:textId="49C9F189"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7.19</w:t>
            </w:r>
            <w:r w:rsidR="00470C34" w:rsidRPr="00353592">
              <w:rPr>
                <w:rFonts w:ascii="Times New Roman" w:hAnsi="Times New Roman" w:cs="Times New Roman"/>
                <w:sz w:val="20"/>
                <w:szCs w:val="20"/>
                <w:lang w:val="en-US"/>
              </w:rPr>
              <w:t xml:space="preserve"> (6.66)</w:t>
            </w:r>
          </w:p>
          <w:p w14:paraId="0EE3CB87" w14:textId="4AA95C7B"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(n=1072)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CFD9F" w14:textId="6A24BE46"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4.15</w:t>
            </w:r>
            <w:r w:rsidR="00470C34" w:rsidRPr="00353592">
              <w:rPr>
                <w:rFonts w:ascii="Times New Roman" w:hAnsi="Times New Roman" w:cs="Times New Roman"/>
                <w:sz w:val="20"/>
                <w:szCs w:val="20"/>
                <w:lang w:val="en-US"/>
              </w:rPr>
              <w:t xml:space="preserve"> (4.56)</w:t>
            </w:r>
          </w:p>
          <w:p w14:paraId="5403B83C" w14:textId="7CA67B2A"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(n=788)</w:t>
            </w:r>
          </w:p>
        </w:tc>
        <w:tc>
          <w:tcPr>
            <w:tcW w:w="0" w:type="auto"/>
            <w:tcBorders>
              <w:top w:val="single" w:sz="4" w:space="0" w:color="000000"/>
              <w:left w:val="single" w:sz="4" w:space="0" w:color="000000"/>
              <w:bottom w:val="single" w:sz="4" w:space="0" w:color="000000"/>
              <w:right w:val="single" w:sz="4" w:space="0" w:color="000000"/>
            </w:tcBorders>
          </w:tcPr>
          <w:p w14:paraId="3CA9B2F5" w14:textId="77777777" w:rsidR="004B5357" w:rsidRPr="00353592" w:rsidRDefault="004B5357" w:rsidP="004B5357">
            <w:pPr>
              <w:pStyle w:val="Body"/>
              <w:spacing w:after="0" w:line="240" w:lineRule="auto"/>
              <w:rPr>
                <w:rFonts w:ascii="Times New Roman" w:hAnsi="Times New Roman"/>
                <w:sz w:val="20"/>
                <w:szCs w:val="20"/>
                <w:lang w:val="en-US"/>
              </w:rPr>
            </w:pPr>
            <w:r w:rsidRPr="00353592">
              <w:rPr>
                <w:rFonts w:ascii="Times New Roman" w:hAnsi="Times New Roman"/>
                <w:sz w:val="20"/>
                <w:szCs w:val="20"/>
                <w:lang w:val="en-US"/>
              </w:rPr>
              <w:t>2 (-.08- -.35)</w:t>
            </w:r>
          </w:p>
          <w:p w14:paraId="6EAC0996" w14:textId="614BE52A"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307506EC" w14:textId="77777777" w:rsidR="00BA33D1"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5.55</w:t>
            </w:r>
            <w:r w:rsidR="00361DD2" w:rsidRPr="00353592">
              <w:rPr>
                <w:rFonts w:ascii="Times New Roman" w:hAnsi="Times New Roman" w:cs="Times New Roman"/>
                <w:sz w:val="20"/>
                <w:szCs w:val="20"/>
                <w:lang w:val="en-US"/>
              </w:rPr>
              <w:t xml:space="preserve"> </w:t>
            </w:r>
            <w:r w:rsidR="00BA33D1" w:rsidRPr="00353592">
              <w:rPr>
                <w:rFonts w:ascii="Times New Roman" w:hAnsi="Times New Roman" w:cs="Times New Roman"/>
                <w:sz w:val="20"/>
                <w:szCs w:val="20"/>
                <w:lang w:val="en-US"/>
              </w:rPr>
              <w:t>(5.79)</w:t>
            </w:r>
          </w:p>
          <w:p w14:paraId="1BF0D689" w14:textId="3DC7AE43" w:rsidR="004B5357" w:rsidRPr="00353592" w:rsidRDefault="00361DD2"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(n=1625)</w:t>
            </w:r>
          </w:p>
        </w:tc>
        <w:tc>
          <w:tcPr>
            <w:tcW w:w="0" w:type="auto"/>
            <w:tcBorders>
              <w:top w:val="single" w:sz="4" w:space="0" w:color="000000"/>
              <w:left w:val="single" w:sz="4" w:space="0" w:color="000000"/>
              <w:bottom w:val="single" w:sz="4" w:space="0" w:color="000000"/>
              <w:right w:val="single" w:sz="4" w:space="0" w:color="000000"/>
            </w:tcBorders>
          </w:tcPr>
          <w:p w14:paraId="5FC21D9F" w14:textId="01ED1966"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7.00</w:t>
            </w:r>
            <w:r w:rsidR="00BA33D1" w:rsidRPr="00353592">
              <w:rPr>
                <w:rFonts w:ascii="Times New Roman" w:hAnsi="Times New Roman" w:cs="Times New Roman"/>
                <w:sz w:val="20"/>
                <w:szCs w:val="20"/>
                <w:lang w:val="en-US"/>
              </w:rPr>
              <w:t xml:space="preserve"> (6.31)</w:t>
            </w:r>
          </w:p>
          <w:p w14:paraId="265FE521" w14:textId="1A81C553"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n=836</w:t>
            </w:r>
            <w:r w:rsidRPr="00353592">
              <w:rPr>
                <w:rFonts w:ascii="Times New Roman" w:hAnsi="Times New Roman" w:cs="Times New Roman"/>
                <w:sz w:val="20"/>
                <w:szCs w:val="20"/>
                <w:lang w:val="en-US"/>
              </w:rPr>
              <w:t>)</w:t>
            </w:r>
          </w:p>
        </w:tc>
        <w:tc>
          <w:tcPr>
            <w:tcW w:w="1161" w:type="dxa"/>
            <w:tcBorders>
              <w:top w:val="single" w:sz="4" w:space="0" w:color="000000"/>
              <w:left w:val="single" w:sz="4" w:space="0" w:color="000000"/>
              <w:bottom w:val="single" w:sz="4" w:space="0" w:color="000000"/>
              <w:right w:val="single" w:sz="4" w:space="0" w:color="000000"/>
            </w:tcBorders>
          </w:tcPr>
          <w:p w14:paraId="35AA2601" w14:textId="1CEFF454"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4.03</w:t>
            </w:r>
            <w:r w:rsidR="00BA33D1" w:rsidRPr="00353592">
              <w:rPr>
                <w:rFonts w:ascii="Times New Roman" w:hAnsi="Times New Roman" w:cs="Times New Roman"/>
                <w:sz w:val="20"/>
                <w:szCs w:val="20"/>
                <w:lang w:val="en-US"/>
              </w:rPr>
              <w:t xml:space="preserve"> (4.73)</w:t>
            </w:r>
          </w:p>
          <w:p w14:paraId="78CE9628" w14:textId="203D4B22"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n=789</w:t>
            </w:r>
            <w:r w:rsidRPr="00353592">
              <w:rPr>
                <w:rFonts w:ascii="Times New Roman" w:hAnsi="Times New Roman" w:cs="Times New Roman"/>
                <w:sz w:val="20"/>
                <w:szCs w:val="20"/>
                <w:lang w:val="en-US"/>
              </w:rPr>
              <w:t>)</w:t>
            </w:r>
          </w:p>
        </w:tc>
      </w:tr>
      <w:tr w:rsidR="00470C34" w:rsidRPr="00353592" w14:paraId="3FE12010" w14:textId="286373BE" w:rsidTr="00470C3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21AA" w14:textId="615CF922" w:rsidR="004B5357" w:rsidRPr="00353592" w:rsidRDefault="004B5357" w:rsidP="009E732A">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 xml:space="preserve">3 (50-57)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F5431" w14:textId="221E15E0" w:rsidR="004B5357" w:rsidRPr="00353592" w:rsidRDefault="004B5357"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5.46</w:t>
            </w:r>
            <w:r w:rsidR="00470C34" w:rsidRPr="00353592">
              <w:rPr>
                <w:rFonts w:ascii="Times New Roman" w:hAnsi="Times New Roman" w:cs="Times New Roman"/>
                <w:sz w:val="20"/>
                <w:szCs w:val="20"/>
                <w:lang w:val="en-US"/>
              </w:rPr>
              <w:t xml:space="preserve"> (5.85)</w:t>
            </w:r>
            <w:r w:rsidR="009E732A" w:rsidRPr="00353592">
              <w:rPr>
                <w:rFonts w:ascii="Times New Roman" w:hAnsi="Times New Roman" w:cs="Times New Roman"/>
                <w:sz w:val="20"/>
                <w:szCs w:val="20"/>
                <w:lang w:val="en-US"/>
              </w:rPr>
              <w:t xml:space="preserve"> (n=1591)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7E033" w14:textId="026DC140"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6.97</w:t>
            </w:r>
            <w:r w:rsidR="00470C34" w:rsidRPr="00353592">
              <w:rPr>
                <w:rFonts w:ascii="Times New Roman" w:hAnsi="Times New Roman" w:cs="Times New Roman"/>
                <w:sz w:val="20"/>
                <w:szCs w:val="20"/>
                <w:lang w:val="en-US"/>
              </w:rPr>
              <w:t xml:space="preserve"> (6.69)</w:t>
            </w:r>
          </w:p>
          <w:p w14:paraId="511DC90C" w14:textId="667AC5B2"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(n=793)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4EEE" w14:textId="73BEABEC"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3.95</w:t>
            </w:r>
            <w:r w:rsidR="00470C34" w:rsidRPr="00353592">
              <w:rPr>
                <w:rFonts w:ascii="Times New Roman" w:hAnsi="Times New Roman" w:cs="Times New Roman"/>
                <w:sz w:val="20"/>
                <w:szCs w:val="20"/>
                <w:lang w:val="en-US"/>
              </w:rPr>
              <w:t xml:space="preserve"> (4.40)</w:t>
            </w:r>
          </w:p>
          <w:p w14:paraId="7EB6A4E7" w14:textId="57307BFF"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(n=798)</w:t>
            </w:r>
          </w:p>
        </w:tc>
        <w:tc>
          <w:tcPr>
            <w:tcW w:w="0" w:type="auto"/>
            <w:tcBorders>
              <w:top w:val="single" w:sz="4" w:space="0" w:color="000000"/>
              <w:left w:val="single" w:sz="4" w:space="0" w:color="000000"/>
              <w:bottom w:val="single" w:sz="4" w:space="0" w:color="000000"/>
              <w:right w:val="single" w:sz="4" w:space="0" w:color="000000"/>
            </w:tcBorders>
          </w:tcPr>
          <w:p w14:paraId="0EA5889C" w14:textId="77777777" w:rsidR="004B5357" w:rsidRPr="00353592" w:rsidRDefault="004B5357" w:rsidP="004B5357">
            <w:pPr>
              <w:pStyle w:val="Body"/>
              <w:spacing w:after="0" w:line="240" w:lineRule="auto"/>
              <w:rPr>
                <w:rFonts w:ascii="Times New Roman" w:hAnsi="Times New Roman"/>
                <w:sz w:val="20"/>
                <w:szCs w:val="20"/>
                <w:lang w:val="en-US"/>
              </w:rPr>
            </w:pPr>
            <w:r w:rsidRPr="00353592">
              <w:rPr>
                <w:rFonts w:ascii="Times New Roman" w:hAnsi="Times New Roman"/>
                <w:sz w:val="20"/>
                <w:szCs w:val="20"/>
                <w:lang w:val="en-US"/>
              </w:rPr>
              <w:t>3 (.36-.78)</w:t>
            </w:r>
          </w:p>
          <w:p w14:paraId="574C9F1A" w14:textId="2AFC73C2"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40AA9662" w14:textId="77777777" w:rsidR="00BA33D1"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5.48</w:t>
            </w:r>
            <w:r w:rsidR="00361DD2" w:rsidRPr="00353592">
              <w:rPr>
                <w:rFonts w:ascii="Times New Roman" w:hAnsi="Times New Roman" w:cs="Times New Roman"/>
                <w:sz w:val="20"/>
                <w:szCs w:val="20"/>
                <w:lang w:val="en-US"/>
              </w:rPr>
              <w:t xml:space="preserve"> </w:t>
            </w:r>
            <w:r w:rsidR="00BA33D1" w:rsidRPr="00353592">
              <w:rPr>
                <w:rFonts w:ascii="Times New Roman" w:hAnsi="Times New Roman" w:cs="Times New Roman"/>
                <w:sz w:val="20"/>
                <w:szCs w:val="20"/>
                <w:lang w:val="en-US"/>
              </w:rPr>
              <w:t>(6.01)</w:t>
            </w:r>
          </w:p>
          <w:p w14:paraId="50E90A8D" w14:textId="2E1A43DF" w:rsidR="004B5357" w:rsidRPr="00353592" w:rsidRDefault="00361DD2"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(n=1679)</w:t>
            </w:r>
          </w:p>
        </w:tc>
        <w:tc>
          <w:tcPr>
            <w:tcW w:w="0" w:type="auto"/>
            <w:tcBorders>
              <w:top w:val="single" w:sz="4" w:space="0" w:color="000000"/>
              <w:left w:val="single" w:sz="4" w:space="0" w:color="000000"/>
              <w:bottom w:val="single" w:sz="4" w:space="0" w:color="000000"/>
              <w:right w:val="single" w:sz="4" w:space="0" w:color="000000"/>
            </w:tcBorders>
          </w:tcPr>
          <w:p w14:paraId="0C8331C6" w14:textId="067A2499"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6.97</w:t>
            </w:r>
            <w:r w:rsidR="00BA33D1" w:rsidRPr="00353592">
              <w:rPr>
                <w:rFonts w:ascii="Times New Roman" w:hAnsi="Times New Roman" w:cs="Times New Roman"/>
                <w:sz w:val="20"/>
                <w:szCs w:val="20"/>
                <w:lang w:val="en-US"/>
              </w:rPr>
              <w:t xml:space="preserve"> (6.86)</w:t>
            </w:r>
          </w:p>
          <w:p w14:paraId="5C550BDE" w14:textId="4812530E"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n=857</w:t>
            </w:r>
            <w:r w:rsidRPr="00353592">
              <w:rPr>
                <w:rFonts w:ascii="Times New Roman" w:hAnsi="Times New Roman" w:cs="Times New Roman"/>
                <w:sz w:val="20"/>
                <w:szCs w:val="20"/>
                <w:lang w:val="en-US"/>
              </w:rPr>
              <w:t>)</w:t>
            </w:r>
          </w:p>
        </w:tc>
        <w:tc>
          <w:tcPr>
            <w:tcW w:w="1161" w:type="dxa"/>
            <w:tcBorders>
              <w:top w:val="single" w:sz="4" w:space="0" w:color="000000"/>
              <w:left w:val="single" w:sz="4" w:space="0" w:color="000000"/>
              <w:bottom w:val="single" w:sz="4" w:space="0" w:color="000000"/>
              <w:right w:val="single" w:sz="4" w:space="0" w:color="000000"/>
            </w:tcBorders>
          </w:tcPr>
          <w:p w14:paraId="78ACC476" w14:textId="6BD84837"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3.93</w:t>
            </w:r>
            <w:r w:rsidR="00BA33D1" w:rsidRPr="00353592">
              <w:rPr>
                <w:rFonts w:ascii="Times New Roman" w:hAnsi="Times New Roman" w:cs="Times New Roman"/>
                <w:sz w:val="20"/>
                <w:szCs w:val="20"/>
                <w:lang w:val="en-US"/>
              </w:rPr>
              <w:t xml:space="preserve"> (4.48)</w:t>
            </w:r>
          </w:p>
          <w:p w14:paraId="0A5C1991" w14:textId="1E660919"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n=822</w:t>
            </w:r>
            <w:r w:rsidRPr="00353592">
              <w:rPr>
                <w:rFonts w:ascii="Times New Roman" w:hAnsi="Times New Roman" w:cs="Times New Roman"/>
                <w:sz w:val="20"/>
                <w:szCs w:val="20"/>
                <w:lang w:val="en-US"/>
              </w:rPr>
              <w:t>)</w:t>
            </w:r>
          </w:p>
        </w:tc>
      </w:tr>
      <w:tr w:rsidR="00470C34" w:rsidRPr="00353592" w14:paraId="36B7B1DC" w14:textId="0A4D857A" w:rsidTr="00470C3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7E040" w14:textId="4F41C7D9" w:rsidR="004B5357" w:rsidRPr="00353592" w:rsidRDefault="004B5357" w:rsidP="009E732A">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 xml:space="preserve">4 (58-67)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35B1" w14:textId="07D80FA0" w:rsidR="00470C34"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5.32</w:t>
            </w:r>
            <w:r w:rsidR="00470C34" w:rsidRPr="00353592">
              <w:rPr>
                <w:rFonts w:ascii="Times New Roman" w:hAnsi="Times New Roman" w:cs="Times New Roman"/>
                <w:sz w:val="20"/>
                <w:szCs w:val="20"/>
                <w:lang w:val="en-US"/>
              </w:rPr>
              <w:t xml:space="preserve"> (5.65)</w:t>
            </w:r>
            <w:r w:rsidR="009E732A" w:rsidRPr="00353592">
              <w:rPr>
                <w:rFonts w:ascii="Times New Roman" w:hAnsi="Times New Roman" w:cs="Times New Roman"/>
                <w:sz w:val="20"/>
                <w:szCs w:val="20"/>
                <w:lang w:val="en-US"/>
              </w:rPr>
              <w:t xml:space="preserve"> </w:t>
            </w:r>
          </w:p>
          <w:p w14:paraId="6F82DA4D" w14:textId="36B1460D" w:rsidR="004B5357" w:rsidRPr="00353592" w:rsidRDefault="009E732A"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(n=1784)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A444F" w14:textId="38ABD169"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7.07</w:t>
            </w:r>
            <w:r w:rsidR="00470C34" w:rsidRPr="00353592">
              <w:rPr>
                <w:rFonts w:ascii="Times New Roman" w:hAnsi="Times New Roman" w:cs="Times New Roman"/>
                <w:sz w:val="20"/>
                <w:szCs w:val="20"/>
                <w:lang w:val="en-US"/>
              </w:rPr>
              <w:t xml:space="preserve"> (6.55)</w:t>
            </w:r>
          </w:p>
          <w:p w14:paraId="09FDC120" w14:textId="6BE7B984"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(n=758)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05CCB" w14:textId="2A8006D3"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4.03</w:t>
            </w:r>
            <w:r w:rsidR="00470C34" w:rsidRPr="00353592">
              <w:rPr>
                <w:rFonts w:ascii="Times New Roman" w:hAnsi="Times New Roman" w:cs="Times New Roman"/>
                <w:sz w:val="20"/>
                <w:szCs w:val="20"/>
                <w:lang w:val="en-US"/>
              </w:rPr>
              <w:t xml:space="preserve"> (4.46)</w:t>
            </w:r>
          </w:p>
          <w:p w14:paraId="66E6938F" w14:textId="190D78EA"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(n=1026)</w:t>
            </w:r>
          </w:p>
        </w:tc>
        <w:tc>
          <w:tcPr>
            <w:tcW w:w="0" w:type="auto"/>
            <w:tcBorders>
              <w:top w:val="single" w:sz="4" w:space="0" w:color="000000"/>
              <w:left w:val="single" w:sz="4" w:space="0" w:color="000000"/>
              <w:bottom w:val="single" w:sz="4" w:space="0" w:color="000000"/>
              <w:right w:val="single" w:sz="4" w:space="0" w:color="000000"/>
            </w:tcBorders>
          </w:tcPr>
          <w:p w14:paraId="019677AF" w14:textId="77777777" w:rsidR="004B5357" w:rsidRPr="00353592" w:rsidRDefault="004B5357" w:rsidP="004B5357">
            <w:pPr>
              <w:pStyle w:val="Body"/>
              <w:spacing w:after="0" w:line="240" w:lineRule="auto"/>
              <w:rPr>
                <w:rFonts w:ascii="Times New Roman" w:hAnsi="Times New Roman"/>
                <w:sz w:val="20"/>
                <w:szCs w:val="20"/>
                <w:lang w:val="en-US"/>
              </w:rPr>
            </w:pPr>
            <w:r w:rsidRPr="00353592">
              <w:rPr>
                <w:rFonts w:ascii="Times New Roman" w:hAnsi="Times New Roman"/>
                <w:sz w:val="20"/>
                <w:szCs w:val="20"/>
                <w:lang w:val="en-US"/>
              </w:rPr>
              <w:t>4 (.79-1.39)</w:t>
            </w:r>
          </w:p>
          <w:p w14:paraId="29CB1F6D" w14:textId="2ABD3521"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0E7F63DC" w14:textId="46E49DBB"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5.53</w:t>
            </w:r>
            <w:r w:rsidR="00BA33D1" w:rsidRPr="00353592">
              <w:rPr>
                <w:rFonts w:ascii="Times New Roman" w:hAnsi="Times New Roman" w:cs="Times New Roman"/>
                <w:sz w:val="20"/>
                <w:szCs w:val="20"/>
                <w:lang w:val="en-US"/>
              </w:rPr>
              <w:t xml:space="preserve"> (5.83)</w:t>
            </w:r>
            <w:r w:rsidR="00361DD2" w:rsidRPr="00353592">
              <w:rPr>
                <w:rFonts w:ascii="Times New Roman" w:hAnsi="Times New Roman" w:cs="Times New Roman"/>
                <w:sz w:val="20"/>
                <w:szCs w:val="20"/>
                <w:lang w:val="en-US"/>
              </w:rPr>
              <w:t xml:space="preserve"> (n=1754)</w:t>
            </w:r>
          </w:p>
        </w:tc>
        <w:tc>
          <w:tcPr>
            <w:tcW w:w="0" w:type="auto"/>
            <w:tcBorders>
              <w:top w:val="single" w:sz="4" w:space="0" w:color="000000"/>
              <w:left w:val="single" w:sz="4" w:space="0" w:color="000000"/>
              <w:bottom w:val="single" w:sz="4" w:space="0" w:color="000000"/>
              <w:right w:val="single" w:sz="4" w:space="0" w:color="000000"/>
            </w:tcBorders>
          </w:tcPr>
          <w:p w14:paraId="01BAD898" w14:textId="3B33AFD3"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6.74</w:t>
            </w:r>
            <w:r w:rsidR="00BA33D1" w:rsidRPr="00353592">
              <w:rPr>
                <w:rFonts w:ascii="Times New Roman" w:hAnsi="Times New Roman" w:cs="Times New Roman"/>
                <w:sz w:val="20"/>
                <w:szCs w:val="20"/>
                <w:lang w:val="en-US"/>
              </w:rPr>
              <w:t xml:space="preserve"> (6.51)</w:t>
            </w:r>
          </w:p>
          <w:p w14:paraId="53C28D58" w14:textId="3495CF5A"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n=853</w:t>
            </w:r>
            <w:r w:rsidRPr="00353592">
              <w:rPr>
                <w:rFonts w:ascii="Times New Roman" w:hAnsi="Times New Roman" w:cs="Times New Roman"/>
                <w:sz w:val="20"/>
                <w:szCs w:val="20"/>
                <w:lang w:val="en-US"/>
              </w:rPr>
              <w:t>)</w:t>
            </w:r>
          </w:p>
        </w:tc>
        <w:tc>
          <w:tcPr>
            <w:tcW w:w="1161" w:type="dxa"/>
            <w:tcBorders>
              <w:top w:val="single" w:sz="4" w:space="0" w:color="000000"/>
              <w:left w:val="single" w:sz="4" w:space="0" w:color="000000"/>
              <w:bottom w:val="single" w:sz="4" w:space="0" w:color="000000"/>
              <w:right w:val="single" w:sz="4" w:space="0" w:color="000000"/>
            </w:tcBorders>
          </w:tcPr>
          <w:p w14:paraId="0D2408DF" w14:textId="68571827"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4.38</w:t>
            </w:r>
            <w:r w:rsidR="00BA33D1" w:rsidRPr="00353592">
              <w:rPr>
                <w:rFonts w:ascii="Times New Roman" w:hAnsi="Times New Roman" w:cs="Times New Roman"/>
                <w:sz w:val="20"/>
                <w:szCs w:val="20"/>
                <w:lang w:val="en-US"/>
              </w:rPr>
              <w:t xml:space="preserve"> (4.84)</w:t>
            </w:r>
          </w:p>
          <w:p w14:paraId="5B065CD4" w14:textId="4D6A5C5C"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n=905</w:t>
            </w:r>
            <w:r w:rsidRPr="00353592">
              <w:rPr>
                <w:rFonts w:ascii="Times New Roman" w:hAnsi="Times New Roman" w:cs="Times New Roman"/>
                <w:sz w:val="20"/>
                <w:szCs w:val="20"/>
                <w:lang w:val="en-US"/>
              </w:rPr>
              <w:t>)</w:t>
            </w:r>
          </w:p>
        </w:tc>
      </w:tr>
      <w:tr w:rsidR="00470C34" w:rsidRPr="00353592" w14:paraId="1974B520" w14:textId="1E24241C" w:rsidTr="00470C34">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F27C1" w14:textId="31727CB8" w:rsidR="004B5357" w:rsidRPr="00353592" w:rsidRDefault="004B5357" w:rsidP="009E732A">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 xml:space="preserve">5 (68-95)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CD6B4" w14:textId="3483DDAF" w:rsidR="00470C34"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4.89</w:t>
            </w:r>
            <w:r w:rsidR="00470C34" w:rsidRPr="00353592">
              <w:rPr>
                <w:rFonts w:ascii="Times New Roman" w:hAnsi="Times New Roman" w:cs="Times New Roman"/>
                <w:sz w:val="20"/>
                <w:szCs w:val="20"/>
                <w:lang w:val="en-US"/>
              </w:rPr>
              <w:t xml:space="preserve"> (5.51)</w:t>
            </w:r>
            <w:r w:rsidR="009E732A" w:rsidRPr="00353592">
              <w:rPr>
                <w:rFonts w:ascii="Times New Roman" w:hAnsi="Times New Roman" w:cs="Times New Roman"/>
                <w:sz w:val="20"/>
                <w:szCs w:val="20"/>
                <w:lang w:val="en-US"/>
              </w:rPr>
              <w:t xml:space="preserve"> </w:t>
            </w:r>
          </w:p>
          <w:p w14:paraId="6C14E0FD" w14:textId="43BC7E7A" w:rsidR="004B5357" w:rsidRPr="00353592" w:rsidRDefault="009E732A"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(n=1576)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9485" w14:textId="4974B47E"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6.68</w:t>
            </w:r>
            <w:r w:rsidR="00470C34" w:rsidRPr="00353592">
              <w:rPr>
                <w:rFonts w:ascii="Times New Roman" w:hAnsi="Times New Roman" w:cs="Times New Roman"/>
                <w:sz w:val="20"/>
                <w:szCs w:val="20"/>
                <w:lang w:val="en-US"/>
              </w:rPr>
              <w:t xml:space="preserve"> (6.54)</w:t>
            </w:r>
          </w:p>
          <w:p w14:paraId="78084DDB" w14:textId="2353E5C5"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(n=487)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6AAC0" w14:textId="66632625"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4.09</w:t>
            </w:r>
            <w:r w:rsidR="00470C34" w:rsidRPr="00353592">
              <w:rPr>
                <w:rFonts w:ascii="Times New Roman" w:hAnsi="Times New Roman" w:cs="Times New Roman"/>
                <w:sz w:val="20"/>
                <w:szCs w:val="20"/>
                <w:lang w:val="en-US"/>
              </w:rPr>
              <w:t xml:space="preserve"> (4.77)</w:t>
            </w:r>
          </w:p>
          <w:p w14:paraId="719FC5D0" w14:textId="37D9916D" w:rsidR="001A5275" w:rsidRPr="00353592" w:rsidRDefault="001A5275" w:rsidP="004B5357">
            <w:pPr>
              <w:pStyle w:val="Body"/>
              <w:spacing w:after="0" w:line="240" w:lineRule="auto"/>
              <w:rPr>
                <w:rFonts w:ascii="Times New Roman" w:hAnsi="Times New Roman" w:cs="Times New Roman"/>
                <w:sz w:val="20"/>
                <w:szCs w:val="20"/>
              </w:rPr>
            </w:pPr>
            <w:r w:rsidRPr="00353592">
              <w:rPr>
                <w:rFonts w:ascii="Times New Roman" w:hAnsi="Times New Roman" w:cs="Times New Roman"/>
                <w:sz w:val="20"/>
                <w:szCs w:val="20"/>
                <w:lang w:val="en-US"/>
              </w:rPr>
              <w:t>(n=1089)</w:t>
            </w:r>
          </w:p>
        </w:tc>
        <w:tc>
          <w:tcPr>
            <w:tcW w:w="0" w:type="auto"/>
            <w:tcBorders>
              <w:top w:val="single" w:sz="4" w:space="0" w:color="000000"/>
              <w:left w:val="single" w:sz="4" w:space="0" w:color="000000"/>
              <w:bottom w:val="single" w:sz="4" w:space="0" w:color="000000"/>
              <w:right w:val="single" w:sz="4" w:space="0" w:color="000000"/>
            </w:tcBorders>
          </w:tcPr>
          <w:p w14:paraId="5EACBD64" w14:textId="77777777" w:rsidR="004B5357" w:rsidRPr="00353592" w:rsidRDefault="004B5357" w:rsidP="004B5357">
            <w:pPr>
              <w:pStyle w:val="Body"/>
              <w:spacing w:after="0" w:line="240" w:lineRule="auto"/>
              <w:rPr>
                <w:rFonts w:ascii="Times New Roman" w:hAnsi="Times New Roman"/>
                <w:sz w:val="20"/>
                <w:szCs w:val="20"/>
                <w:lang w:val="en-US"/>
              </w:rPr>
            </w:pPr>
            <w:r w:rsidRPr="00353592">
              <w:rPr>
                <w:rFonts w:ascii="Times New Roman" w:hAnsi="Times New Roman"/>
                <w:sz w:val="20"/>
                <w:szCs w:val="20"/>
                <w:lang w:val="en-US"/>
              </w:rPr>
              <w:t>5 (1.40-6.00)</w:t>
            </w:r>
          </w:p>
          <w:p w14:paraId="2F2FF9F5" w14:textId="46220279" w:rsidR="004B5357" w:rsidRPr="00353592" w:rsidRDefault="004B5357" w:rsidP="004B5357">
            <w:pPr>
              <w:pStyle w:val="Body"/>
              <w:spacing w:after="0" w:line="240" w:lineRule="auto"/>
              <w:rPr>
                <w:rFonts w:ascii="Times New Roman" w:hAnsi="Times New Roman" w:cs="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715D04FB" w14:textId="77777777" w:rsidR="00BA33D1"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5.74</w:t>
            </w:r>
            <w:r w:rsidR="00361DD2" w:rsidRPr="00353592">
              <w:rPr>
                <w:rFonts w:ascii="Times New Roman" w:hAnsi="Times New Roman" w:cs="Times New Roman"/>
                <w:sz w:val="20"/>
                <w:szCs w:val="20"/>
                <w:lang w:val="en-US"/>
              </w:rPr>
              <w:t xml:space="preserve"> </w:t>
            </w:r>
            <w:r w:rsidR="00BA33D1" w:rsidRPr="00353592">
              <w:rPr>
                <w:rFonts w:ascii="Times New Roman" w:hAnsi="Times New Roman" w:cs="Times New Roman"/>
                <w:sz w:val="20"/>
                <w:szCs w:val="20"/>
                <w:lang w:val="en-US"/>
              </w:rPr>
              <w:t>(5.97)</w:t>
            </w:r>
          </w:p>
          <w:p w14:paraId="0FF1350C" w14:textId="4E781F7E" w:rsidR="004B5357" w:rsidRPr="00353592" w:rsidRDefault="00361DD2"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(n=1838)</w:t>
            </w:r>
          </w:p>
        </w:tc>
        <w:tc>
          <w:tcPr>
            <w:tcW w:w="0" w:type="auto"/>
            <w:tcBorders>
              <w:top w:val="single" w:sz="4" w:space="0" w:color="000000"/>
              <w:left w:val="single" w:sz="4" w:space="0" w:color="000000"/>
              <w:bottom w:val="single" w:sz="4" w:space="0" w:color="000000"/>
              <w:right w:val="single" w:sz="4" w:space="0" w:color="000000"/>
            </w:tcBorders>
          </w:tcPr>
          <w:p w14:paraId="301EAAAB" w14:textId="2DFD23A9"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7.53</w:t>
            </w:r>
            <w:r w:rsidR="00BA33D1" w:rsidRPr="00353592">
              <w:rPr>
                <w:rFonts w:ascii="Times New Roman" w:hAnsi="Times New Roman" w:cs="Times New Roman"/>
                <w:sz w:val="20"/>
                <w:szCs w:val="20"/>
                <w:lang w:val="en-US"/>
              </w:rPr>
              <w:t xml:space="preserve"> (6.76)</w:t>
            </w:r>
          </w:p>
          <w:p w14:paraId="6AAE26E9" w14:textId="32256738"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n=899</w:t>
            </w:r>
            <w:r w:rsidRPr="00353592">
              <w:rPr>
                <w:rFonts w:ascii="Times New Roman" w:hAnsi="Times New Roman" w:cs="Times New Roman"/>
                <w:sz w:val="20"/>
                <w:szCs w:val="20"/>
                <w:lang w:val="en-US"/>
              </w:rPr>
              <w:t>)</w:t>
            </w:r>
          </w:p>
        </w:tc>
        <w:tc>
          <w:tcPr>
            <w:tcW w:w="1161" w:type="dxa"/>
            <w:tcBorders>
              <w:top w:val="single" w:sz="4" w:space="0" w:color="000000"/>
              <w:left w:val="single" w:sz="4" w:space="0" w:color="000000"/>
              <w:bottom w:val="single" w:sz="4" w:space="0" w:color="000000"/>
              <w:right w:val="single" w:sz="4" w:space="0" w:color="000000"/>
            </w:tcBorders>
          </w:tcPr>
          <w:p w14:paraId="286D7432" w14:textId="4E4614B1" w:rsidR="004B5357" w:rsidRPr="00353592" w:rsidRDefault="004B5357"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4.03</w:t>
            </w:r>
            <w:r w:rsidR="00BA33D1" w:rsidRPr="00353592">
              <w:rPr>
                <w:rFonts w:ascii="Times New Roman" w:hAnsi="Times New Roman" w:cs="Times New Roman"/>
                <w:sz w:val="20"/>
                <w:szCs w:val="20"/>
                <w:lang w:val="en-US"/>
              </w:rPr>
              <w:t xml:space="preserve"> (4.50)</w:t>
            </w:r>
          </w:p>
          <w:p w14:paraId="6B89F9A5" w14:textId="5989D8D7" w:rsidR="001A5275" w:rsidRPr="00353592" w:rsidRDefault="001A5275" w:rsidP="004B5357">
            <w:pPr>
              <w:pStyle w:val="Body"/>
              <w:spacing w:after="0" w:line="240" w:lineRule="auto"/>
              <w:rPr>
                <w:rFonts w:ascii="Times New Roman" w:hAnsi="Times New Roman" w:cs="Times New Roman"/>
                <w:sz w:val="20"/>
                <w:szCs w:val="20"/>
                <w:lang w:val="en-US"/>
              </w:rPr>
            </w:pPr>
            <w:r w:rsidRPr="00353592">
              <w:rPr>
                <w:rFonts w:ascii="Times New Roman" w:hAnsi="Times New Roman" w:cs="Times New Roman"/>
                <w:sz w:val="20"/>
                <w:szCs w:val="20"/>
                <w:lang w:val="en-US"/>
              </w:rPr>
              <w:t>(</w:t>
            </w:r>
            <w:r w:rsidR="00EF5D02" w:rsidRPr="00353592">
              <w:rPr>
                <w:rFonts w:ascii="Times New Roman" w:hAnsi="Times New Roman" w:cs="Times New Roman"/>
                <w:sz w:val="20"/>
                <w:szCs w:val="20"/>
                <w:lang w:val="en-US"/>
              </w:rPr>
              <w:t>n=939</w:t>
            </w:r>
            <w:r w:rsidRPr="00353592">
              <w:rPr>
                <w:rFonts w:ascii="Times New Roman" w:hAnsi="Times New Roman" w:cs="Times New Roman"/>
                <w:sz w:val="20"/>
                <w:szCs w:val="20"/>
                <w:lang w:val="en-US"/>
              </w:rPr>
              <w:t>)</w:t>
            </w:r>
          </w:p>
        </w:tc>
      </w:tr>
    </w:tbl>
    <w:p w14:paraId="4A9C66BC" w14:textId="77777777" w:rsidR="004B5357" w:rsidRDefault="004B5357" w:rsidP="00A3479F">
      <w:pPr>
        <w:rPr>
          <w:b/>
          <w:sz w:val="36"/>
          <w:szCs w:val="36"/>
        </w:rPr>
      </w:pPr>
    </w:p>
    <w:p w14:paraId="6D1E1123" w14:textId="77777777" w:rsidR="004B5357" w:rsidRDefault="004B5357" w:rsidP="00A3479F">
      <w:pPr>
        <w:rPr>
          <w:b/>
          <w:sz w:val="36"/>
          <w:szCs w:val="36"/>
        </w:rPr>
      </w:pPr>
    </w:p>
    <w:p w14:paraId="35845990" w14:textId="77777777" w:rsidR="004B5357" w:rsidRDefault="004B5357" w:rsidP="00A3479F">
      <w:pPr>
        <w:rPr>
          <w:b/>
          <w:sz w:val="36"/>
          <w:szCs w:val="36"/>
        </w:rPr>
      </w:pPr>
    </w:p>
    <w:p w14:paraId="316CA7E1" w14:textId="77777777" w:rsidR="004B5357" w:rsidRDefault="004B5357" w:rsidP="00A3479F">
      <w:pPr>
        <w:rPr>
          <w:b/>
          <w:sz w:val="36"/>
          <w:szCs w:val="36"/>
        </w:rPr>
      </w:pPr>
    </w:p>
    <w:p w14:paraId="30712FEA" w14:textId="77777777" w:rsidR="004B5357" w:rsidRDefault="004B5357" w:rsidP="00A3479F">
      <w:pPr>
        <w:rPr>
          <w:b/>
          <w:sz w:val="36"/>
          <w:szCs w:val="36"/>
        </w:rPr>
      </w:pPr>
    </w:p>
    <w:p w14:paraId="0148014C" w14:textId="77777777" w:rsidR="004B5357" w:rsidRDefault="004B5357" w:rsidP="00A3479F">
      <w:pPr>
        <w:rPr>
          <w:b/>
          <w:sz w:val="36"/>
          <w:szCs w:val="36"/>
        </w:rPr>
      </w:pPr>
    </w:p>
    <w:p w14:paraId="4266798E" w14:textId="77777777" w:rsidR="004B5357" w:rsidRDefault="004B5357" w:rsidP="00A3479F">
      <w:pPr>
        <w:rPr>
          <w:b/>
          <w:sz w:val="36"/>
          <w:szCs w:val="36"/>
        </w:rPr>
      </w:pPr>
    </w:p>
    <w:p w14:paraId="245C3CC8" w14:textId="77777777" w:rsidR="00BF2D75" w:rsidRDefault="00BF2D75" w:rsidP="00A3479F">
      <w:pPr>
        <w:rPr>
          <w:b/>
          <w:sz w:val="36"/>
          <w:szCs w:val="36"/>
        </w:rPr>
      </w:pPr>
    </w:p>
    <w:p w14:paraId="01948F97" w14:textId="77777777" w:rsidR="00BF2D75" w:rsidRDefault="00BF2D75" w:rsidP="00A3479F">
      <w:pPr>
        <w:rPr>
          <w:b/>
          <w:sz w:val="36"/>
          <w:szCs w:val="36"/>
        </w:rPr>
      </w:pPr>
    </w:p>
    <w:p w14:paraId="3B55398C" w14:textId="77777777" w:rsidR="00BF2D75" w:rsidRDefault="00BF2D75" w:rsidP="00A3479F">
      <w:pPr>
        <w:rPr>
          <w:b/>
          <w:sz w:val="36"/>
          <w:szCs w:val="36"/>
        </w:rPr>
      </w:pPr>
    </w:p>
    <w:p w14:paraId="4F8D7159" w14:textId="77777777" w:rsidR="00BF2D75" w:rsidRDefault="00BF2D75" w:rsidP="00A3479F">
      <w:pPr>
        <w:rPr>
          <w:b/>
          <w:sz w:val="36"/>
          <w:szCs w:val="36"/>
        </w:rPr>
      </w:pPr>
    </w:p>
    <w:p w14:paraId="00423F33" w14:textId="77777777" w:rsidR="00BF2D75" w:rsidRDefault="00BF2D75" w:rsidP="00A3479F">
      <w:pPr>
        <w:rPr>
          <w:b/>
          <w:sz w:val="36"/>
          <w:szCs w:val="36"/>
        </w:rPr>
      </w:pPr>
    </w:p>
    <w:p w14:paraId="087F2F2B" w14:textId="77777777" w:rsidR="00BF2D75" w:rsidRDefault="00BF2D75" w:rsidP="00A3479F">
      <w:pPr>
        <w:rPr>
          <w:b/>
          <w:sz w:val="36"/>
          <w:szCs w:val="36"/>
        </w:rPr>
      </w:pPr>
    </w:p>
    <w:p w14:paraId="12413B79" w14:textId="77777777" w:rsidR="00BF2D75" w:rsidRDefault="00BF2D75" w:rsidP="00A3479F">
      <w:pPr>
        <w:rPr>
          <w:b/>
          <w:sz w:val="36"/>
          <w:szCs w:val="36"/>
        </w:rPr>
      </w:pPr>
    </w:p>
    <w:p w14:paraId="6B93514F" w14:textId="77777777" w:rsidR="00BF2D75" w:rsidRDefault="00BF2D75" w:rsidP="00A3479F">
      <w:pPr>
        <w:rPr>
          <w:b/>
          <w:sz w:val="36"/>
          <w:szCs w:val="36"/>
        </w:rPr>
      </w:pPr>
    </w:p>
    <w:p w14:paraId="0DA335C8" w14:textId="77777777" w:rsidR="00BF2D75" w:rsidRDefault="00BF2D75" w:rsidP="00A3479F">
      <w:pPr>
        <w:rPr>
          <w:b/>
          <w:sz w:val="36"/>
          <w:szCs w:val="36"/>
        </w:rPr>
      </w:pPr>
    </w:p>
    <w:p w14:paraId="4B2DD48C" w14:textId="77777777" w:rsidR="00603D2D" w:rsidRDefault="00603D2D" w:rsidP="00A3479F">
      <w:pPr>
        <w:rPr>
          <w:b/>
          <w:sz w:val="36"/>
          <w:szCs w:val="36"/>
        </w:rPr>
      </w:pPr>
    </w:p>
    <w:p w14:paraId="0643675D" w14:textId="77777777" w:rsidR="00603D2D" w:rsidRDefault="00603D2D" w:rsidP="00A3479F">
      <w:pPr>
        <w:rPr>
          <w:b/>
          <w:sz w:val="36"/>
          <w:szCs w:val="36"/>
        </w:rPr>
      </w:pPr>
    </w:p>
    <w:p w14:paraId="395AE263" w14:textId="383FE510" w:rsidR="00A3479F" w:rsidRDefault="00A3479F" w:rsidP="00A3479F">
      <w:pPr>
        <w:rPr>
          <w:b/>
          <w:sz w:val="36"/>
          <w:szCs w:val="36"/>
        </w:rPr>
      </w:pPr>
      <w:r w:rsidRPr="006F0A96">
        <w:rPr>
          <w:b/>
          <w:sz w:val="36"/>
          <w:szCs w:val="36"/>
        </w:rPr>
        <w:lastRenderedPageBreak/>
        <w:t>Risk adjustment as exposure variable</w:t>
      </w:r>
    </w:p>
    <w:p w14:paraId="6EABB126" w14:textId="77777777" w:rsidR="00A3479F" w:rsidRDefault="00A3479F" w:rsidP="00A3479F">
      <w:pPr>
        <w:rPr>
          <w:b/>
          <w:sz w:val="36"/>
          <w:szCs w:val="36"/>
        </w:rPr>
      </w:pPr>
    </w:p>
    <w:p w14:paraId="4BB8000E" w14:textId="5082595C" w:rsidR="00A3479F" w:rsidRDefault="00A3479F" w:rsidP="00A3479F">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Supplementary Table </w:t>
      </w:r>
      <w:r w:rsidR="00F91A15">
        <w:rPr>
          <w:rFonts w:ascii="Times New Roman" w:hAnsi="Times New Roman"/>
          <w:sz w:val="24"/>
          <w:szCs w:val="24"/>
          <w:lang w:val="en-US"/>
        </w:rPr>
        <w:t>5</w:t>
      </w:r>
      <w:r>
        <w:rPr>
          <w:rFonts w:ascii="Times New Roman" w:hAnsi="Times New Roman"/>
          <w:sz w:val="24"/>
          <w:szCs w:val="24"/>
          <w:lang w:val="en-US"/>
        </w:rPr>
        <w:t xml:space="preserve">. Cross-sectional associations between risk adjustment (continuous exposure) </w:t>
      </w:r>
      <w:r w:rsidRPr="005C3522">
        <w:rPr>
          <w:rFonts w:ascii="Times New Roman" w:hAnsi="Times New Roman"/>
          <w:sz w:val="24"/>
          <w:szCs w:val="24"/>
          <w:lang w:val="en-US"/>
        </w:rPr>
        <w:t xml:space="preserve">and emotional symptoms at age 11 (continuous outcome), </w:t>
      </w:r>
      <w:r>
        <w:rPr>
          <w:rFonts w:ascii="Times New Roman" w:hAnsi="Times New Roman"/>
          <w:sz w:val="24"/>
          <w:szCs w:val="24"/>
          <w:lang w:val="en-US"/>
        </w:rPr>
        <w:t>complete case</w:t>
      </w:r>
      <w:r w:rsidRPr="005C3522">
        <w:rPr>
          <w:rFonts w:ascii="Times New Roman" w:hAnsi="Times New Roman"/>
          <w:sz w:val="24"/>
          <w:szCs w:val="24"/>
          <w:lang w:val="en-US"/>
        </w:rPr>
        <w:t xml:space="preserve"> </w:t>
      </w:r>
      <w:r>
        <w:rPr>
          <w:rFonts w:ascii="Times New Roman" w:hAnsi="Times New Roman"/>
          <w:sz w:val="24"/>
          <w:szCs w:val="24"/>
          <w:lang w:val="en-US"/>
        </w:rPr>
        <w:t>sample (n=10,396)</w:t>
      </w:r>
      <w:r w:rsidRPr="005C3522">
        <w:rPr>
          <w:rFonts w:ascii="Times New Roman" w:hAnsi="Times New Roman"/>
          <w:sz w:val="24"/>
          <w:szCs w:val="24"/>
          <w:lang w:val="en-US"/>
        </w:rPr>
        <w:t>.</w:t>
      </w:r>
    </w:p>
    <w:tbl>
      <w:tblPr>
        <w:tblW w:w="97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964"/>
        <w:gridCol w:w="4466"/>
        <w:gridCol w:w="1329"/>
      </w:tblGrid>
      <w:tr w:rsidR="00A3479F" w:rsidRPr="003C05D2" w14:paraId="323CA5BE" w14:textId="77777777" w:rsidTr="00BF2D75">
        <w:trPr>
          <w:trHeight w:val="96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6FFA9" w14:textId="77777777" w:rsidR="00A3479F" w:rsidRPr="003C05D2" w:rsidRDefault="00A3479F" w:rsidP="00BF2D75">
            <w:pPr>
              <w:pStyle w:val="Body"/>
              <w:jc w:val="center"/>
              <w:rPr>
                <w:rFonts w:ascii="Times New Roman" w:eastAsia="Times New Roman" w:hAnsi="Times New Roman" w:cs="Times New Roman"/>
                <w:lang w:val="en-US"/>
              </w:rPr>
            </w:pPr>
          </w:p>
          <w:p w14:paraId="74EAE9C8" w14:textId="77777777" w:rsidR="00A3479F" w:rsidRPr="003C05D2" w:rsidRDefault="00A3479F" w:rsidP="00BF2D75">
            <w:pPr>
              <w:pStyle w:val="Body"/>
              <w:spacing w:after="0" w:line="240" w:lineRule="auto"/>
              <w:jc w:val="center"/>
              <w:rPr>
                <w:rFonts w:ascii="Times New Roman" w:hAnsi="Times New Roman" w:cs="Times New Roman"/>
              </w:rPr>
            </w:pPr>
            <w:r w:rsidRPr="003C05D2">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tcPr>
          <w:p w14:paraId="7317935E" w14:textId="77777777" w:rsidR="00A3479F" w:rsidRPr="003C05D2" w:rsidRDefault="00A3479F" w:rsidP="00BF2D75">
            <w:pPr>
              <w:pStyle w:val="Body"/>
              <w:spacing w:after="0" w:line="240" w:lineRule="auto"/>
              <w:jc w:val="center"/>
              <w:rPr>
                <w:rFonts w:ascii="Times New Roman" w:eastAsia="Times New Roman" w:hAnsi="Times New Roman" w:cs="Times New Roman"/>
                <w:lang w:val="en-US"/>
              </w:rPr>
            </w:pPr>
          </w:p>
          <w:p w14:paraId="6A7D64C6" w14:textId="77777777" w:rsidR="00A3479F" w:rsidRPr="003C05D2" w:rsidRDefault="00A3479F" w:rsidP="00BF2D75">
            <w:pPr>
              <w:pStyle w:val="Body"/>
              <w:spacing w:after="0" w:line="240" w:lineRule="auto"/>
              <w:jc w:val="center"/>
              <w:rPr>
                <w:rFonts w:ascii="Times New Roman" w:eastAsia="Times New Roman" w:hAnsi="Times New Roman" w:cs="Times New Roman"/>
                <w:lang w:val="en-US"/>
              </w:rPr>
            </w:pPr>
            <w:r>
              <w:rPr>
                <w:rFonts w:ascii="Times New Roman" w:hAnsi="Times New Roman" w:cs="Times New Roman"/>
                <w:lang w:val="en-US"/>
              </w:rPr>
              <w:t>SDQ change</w:t>
            </w:r>
            <w:r w:rsidRPr="003C05D2">
              <w:rPr>
                <w:rFonts w:ascii="Times New Roman" w:hAnsi="Times New Roman" w:cs="Times New Roman"/>
                <w:lang w:val="en-US"/>
              </w:rPr>
              <w:t xml:space="preserve"> for a 1-point increase in risk adjustment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FE1DC" w14:textId="77777777" w:rsidR="00A3479F" w:rsidRPr="003C05D2" w:rsidRDefault="00A3479F" w:rsidP="00BF2D75">
            <w:pPr>
              <w:pStyle w:val="Body"/>
              <w:spacing w:after="0" w:line="240" w:lineRule="auto"/>
              <w:jc w:val="center"/>
              <w:rPr>
                <w:rFonts w:ascii="Times New Roman" w:hAnsi="Times New Roman" w:cs="Times New Roman"/>
              </w:rPr>
            </w:pPr>
          </w:p>
          <w:p w14:paraId="15D89E46" w14:textId="77777777" w:rsidR="00A3479F" w:rsidRPr="003C05D2" w:rsidRDefault="00A3479F" w:rsidP="00BF2D75">
            <w:pPr>
              <w:pStyle w:val="Body"/>
              <w:spacing w:after="0" w:line="240" w:lineRule="auto"/>
              <w:jc w:val="center"/>
              <w:rPr>
                <w:rFonts w:ascii="Times New Roman" w:hAnsi="Times New Roman" w:cs="Times New Roman"/>
              </w:rPr>
            </w:pPr>
            <w:r w:rsidRPr="003C05D2">
              <w:rPr>
                <w:rFonts w:ascii="Times New Roman" w:hAnsi="Times New Roman" w:cs="Times New Roman"/>
              </w:rPr>
              <w:t>P value</w:t>
            </w:r>
          </w:p>
        </w:tc>
      </w:tr>
      <w:tr w:rsidR="00A3479F" w:rsidRPr="003C05D2" w14:paraId="35E96D51"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3A58"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1a. Univariable (n=10,396</w:t>
            </w:r>
            <w:r w:rsidRPr="003C05D2">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C5E3761"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-.13 (-.19 to -.08</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F7647" w14:textId="77777777" w:rsidR="00A3479F" w:rsidRPr="003C05D2" w:rsidRDefault="00A3479F" w:rsidP="00BF2D75">
            <w:pPr>
              <w:pStyle w:val="Body"/>
              <w:spacing w:after="0" w:line="240" w:lineRule="auto"/>
              <w:rPr>
                <w:rFonts w:ascii="Times New Roman" w:hAnsi="Times New Roman" w:cs="Times New Roman"/>
              </w:rPr>
            </w:pPr>
            <w:r w:rsidRPr="003C05D2">
              <w:rPr>
                <w:rFonts w:ascii="Times New Roman" w:hAnsi="Times New Roman" w:cs="Times New Roman"/>
                <w:lang w:val="en-US"/>
              </w:rPr>
              <w:t>&lt;.0001</w:t>
            </w:r>
          </w:p>
        </w:tc>
      </w:tr>
      <w:tr w:rsidR="00A3479F" w:rsidRPr="003C05D2" w14:paraId="1C89273E"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38914"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1b.</w:t>
            </w:r>
            <w:r w:rsidRPr="003C05D2">
              <w:rPr>
                <w:rFonts w:ascii="Times New Roman" w:hAnsi="Times New Roman" w:cs="Times New Roman"/>
                <w:lang w:val="en-US"/>
              </w:rPr>
              <w:t xml:space="preserve"> Model 1</w:t>
            </w:r>
            <w:r>
              <w:rPr>
                <w:rFonts w:ascii="Times New Roman" w:hAnsi="Times New Roman" w:cs="Times New Roman"/>
                <w:lang w:val="en-US"/>
              </w:rPr>
              <w:t>a</w:t>
            </w:r>
            <w:r w:rsidRPr="003C05D2">
              <w:rPr>
                <w:rFonts w:ascii="Times New Roman" w:hAnsi="Times New Roman" w:cs="Times New Roman"/>
                <w:lang w:val="en-US"/>
              </w:rPr>
              <w:t xml:space="preserve"> </w:t>
            </w:r>
            <w:proofErr w:type="spellStart"/>
            <w:r w:rsidRPr="003C05D2">
              <w:rPr>
                <w:rFonts w:ascii="Times New Roman" w:hAnsi="Times New Roman" w:cs="Times New Roman"/>
                <w:lang w:val="en-US"/>
              </w:rPr>
              <w:t>adjusted</w:t>
            </w:r>
            <w:r w:rsidRPr="003C05D2">
              <w:rPr>
                <w:rFonts w:ascii="Times New Roman" w:hAnsi="Times New Roman" w:cs="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37E9723"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-.04 (-.09 to .01</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8EF82"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.121</w:t>
            </w:r>
          </w:p>
        </w:tc>
      </w:tr>
      <w:tr w:rsidR="00A3479F" w:rsidRPr="003C05D2" w14:paraId="75239A97"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4745"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1c. Model 1b</w:t>
            </w:r>
            <w:r w:rsidRPr="003C05D2">
              <w:rPr>
                <w:rFonts w:ascii="Times New Roman" w:hAnsi="Times New Roman" w:cs="Times New Roman"/>
                <w:lang w:val="en-US"/>
              </w:rPr>
              <w:t xml:space="preserve"> adjusted for </w:t>
            </w:r>
            <w:r>
              <w:rPr>
                <w:rFonts w:ascii="Times New Roman" w:hAnsi="Times New Roman" w:cs="Times New Roman"/>
                <w:lang w:val="en-US"/>
              </w:rPr>
              <w:t>gender</w:t>
            </w:r>
            <w:r w:rsidRPr="003C05D2">
              <w:rPr>
                <w:rFonts w:ascii="Times New Roman" w:hAnsi="Times New Roman" w:cs="Times New Roman"/>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C2026C"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-.04 (-.09 to .01</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3D9B4"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.124</w:t>
            </w:r>
          </w:p>
        </w:tc>
      </w:tr>
      <w:tr w:rsidR="00A3479F" w:rsidRPr="003C05D2" w14:paraId="47473D3C"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88A4" w14:textId="77777777" w:rsidR="00A3479F" w:rsidRPr="003C05D2" w:rsidRDefault="00A3479F" w:rsidP="00BF2D75">
            <w:pPr>
              <w:jc w:val="center"/>
              <w:rPr>
                <w:sz w:val="22"/>
                <w:szCs w:val="22"/>
              </w:rPr>
            </w:pPr>
          </w:p>
          <w:p w14:paraId="66FCEA18" w14:textId="77777777" w:rsidR="00A3479F" w:rsidRPr="003C05D2" w:rsidRDefault="00A3479F" w:rsidP="00BF2D75">
            <w:pPr>
              <w:jc w:val="center"/>
              <w:rPr>
                <w:sz w:val="22"/>
                <w:szCs w:val="22"/>
              </w:rPr>
            </w:pPr>
            <w:r w:rsidRPr="003C05D2">
              <w:rPr>
                <w:sz w:val="22"/>
                <w:szCs w:val="22"/>
              </w:rPr>
              <w:t>Sub-group analyses by gender</w:t>
            </w:r>
          </w:p>
          <w:p w14:paraId="0FAD97ED" w14:textId="77777777" w:rsidR="00A3479F" w:rsidRPr="003C05D2" w:rsidRDefault="00A3479F" w:rsidP="00BF2D75">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11AA2695" w14:textId="77777777" w:rsidR="00A3479F" w:rsidRPr="003C05D2" w:rsidRDefault="00A3479F" w:rsidP="00BF2D75">
            <w:pPr>
              <w:jc w:val="center"/>
              <w:rPr>
                <w:sz w:val="22"/>
                <w:szCs w:val="22"/>
              </w:rPr>
            </w:pPr>
          </w:p>
          <w:p w14:paraId="4796E08B" w14:textId="77777777" w:rsidR="00A3479F" w:rsidRPr="003C05D2" w:rsidRDefault="00A3479F" w:rsidP="00BF2D75">
            <w:pPr>
              <w:jc w:val="center"/>
              <w:rPr>
                <w:sz w:val="22"/>
                <w:szCs w:val="22"/>
              </w:rPr>
            </w:pPr>
            <w:r>
              <w:rPr>
                <w:sz w:val="22"/>
                <w:szCs w:val="22"/>
              </w:rPr>
              <w:t>SDQ change</w:t>
            </w:r>
            <w:r w:rsidRPr="003C05D2">
              <w:rPr>
                <w:sz w:val="22"/>
                <w:szCs w:val="22"/>
              </w:rPr>
              <w:t xml:space="preserve"> for a 1-point increase in risk adjustment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11A1A" w14:textId="77777777" w:rsidR="00A3479F" w:rsidRPr="003C05D2" w:rsidRDefault="00A3479F" w:rsidP="00BF2D75">
            <w:pPr>
              <w:rPr>
                <w:sz w:val="22"/>
                <w:szCs w:val="22"/>
              </w:rPr>
            </w:pPr>
          </w:p>
          <w:p w14:paraId="30C3169C" w14:textId="77777777" w:rsidR="00A3479F" w:rsidRPr="003C05D2" w:rsidRDefault="00A3479F" w:rsidP="00BF2D75">
            <w:pPr>
              <w:jc w:val="center"/>
              <w:rPr>
                <w:sz w:val="22"/>
                <w:szCs w:val="22"/>
              </w:rPr>
            </w:pPr>
            <w:r w:rsidRPr="003C05D2">
              <w:rPr>
                <w:sz w:val="22"/>
                <w:szCs w:val="22"/>
              </w:rPr>
              <w:t>P value</w:t>
            </w:r>
          </w:p>
        </w:tc>
      </w:tr>
      <w:tr w:rsidR="00A3479F" w:rsidRPr="003C05D2" w14:paraId="292F5525"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4FA1F"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2a.</w:t>
            </w:r>
            <w:r w:rsidRPr="003C05D2">
              <w:rPr>
                <w:rFonts w:ascii="Times New Roman" w:hAnsi="Times New Roman" w:cs="Times New Roman"/>
                <w:lang w:val="en-US"/>
              </w:rPr>
              <w:t xml:space="preserve"> Univariable, females </w:t>
            </w:r>
            <w:r>
              <w:rPr>
                <w:rFonts w:ascii="Times New Roman" w:hAnsi="Times New Roman" w:cs="Times New Roman"/>
                <w:lang w:val="en-US"/>
              </w:rPr>
              <w:t>(n= 5159</w:t>
            </w:r>
            <w:r w:rsidRPr="003C05D2">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40FC2A23"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-.14 (-.21 to -.07</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675E"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&lt;.0001</w:t>
            </w:r>
          </w:p>
        </w:tc>
      </w:tr>
      <w:tr w:rsidR="00A3479F" w:rsidRPr="003C05D2" w14:paraId="5EB7C377"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237AC"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2b. Model 2a adjusted</w:t>
            </w:r>
            <w:r>
              <w:rPr>
                <w:rFonts w:ascii="Times New Roman" w:hAnsi="Times New Roman"/>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Pr>
          <w:p w14:paraId="5C7E830C"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-.05</w:t>
            </w:r>
            <w:r w:rsidRPr="003C05D2">
              <w:rPr>
                <w:rFonts w:ascii="Times New Roman" w:hAnsi="Times New Roman" w:cs="Times New Roman"/>
                <w:lang w:val="en-US"/>
              </w:rPr>
              <w:t xml:space="preserve"> </w:t>
            </w:r>
            <w:r>
              <w:rPr>
                <w:rFonts w:ascii="Times New Roman" w:hAnsi="Times New Roman" w:cs="Times New Roman"/>
                <w:lang w:val="en-US"/>
              </w:rPr>
              <w:t>(-.13 to .02</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63AB9"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.128</w:t>
            </w:r>
          </w:p>
        </w:tc>
      </w:tr>
      <w:tr w:rsidR="00A3479F" w:rsidRPr="003C05D2" w14:paraId="258BC183"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29A99" w14:textId="77777777" w:rsidR="00A3479F" w:rsidRDefault="00A3479F" w:rsidP="00BF2D75">
            <w:pPr>
              <w:pStyle w:val="Body"/>
              <w:spacing w:after="0" w:line="240"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0C81CEC7" w14:textId="77777777" w:rsidR="00A3479F" w:rsidRDefault="00A3479F" w:rsidP="00BF2D75">
            <w:pPr>
              <w:pStyle w:val="Body"/>
              <w:spacing w:after="0" w:line="240" w:lineRule="auto"/>
              <w:rPr>
                <w:rFonts w:ascii="Times New Roman" w:hAnsi="Times New Roman" w:cs="Times New Roman"/>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6710C" w14:textId="77777777" w:rsidR="00A3479F" w:rsidRDefault="00A3479F" w:rsidP="00BF2D75">
            <w:pPr>
              <w:pStyle w:val="Body"/>
              <w:spacing w:after="0" w:line="240" w:lineRule="auto"/>
              <w:rPr>
                <w:rFonts w:ascii="Times New Roman" w:hAnsi="Times New Roman" w:cs="Times New Roman"/>
                <w:lang w:val="en-US"/>
              </w:rPr>
            </w:pPr>
          </w:p>
        </w:tc>
      </w:tr>
      <w:tr w:rsidR="00A3479F" w:rsidRPr="003C05D2" w14:paraId="3CFA3009"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B84A5"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3a. Univariable, males</w:t>
            </w:r>
            <w:r w:rsidRPr="003C05D2">
              <w:rPr>
                <w:rFonts w:ascii="Times New Roman" w:hAnsi="Times New Roman" w:cs="Times New Roman"/>
                <w:vertAlign w:val="superscript"/>
                <w:lang w:val="en-US"/>
              </w:rPr>
              <w:t xml:space="preserve"> </w:t>
            </w:r>
            <w:r>
              <w:rPr>
                <w:rFonts w:ascii="Times New Roman" w:hAnsi="Times New Roman" w:cs="Times New Roman"/>
                <w:lang w:val="en-US"/>
              </w:rPr>
              <w:t>(n=5237</w:t>
            </w:r>
            <w:r w:rsidRPr="003C05D2">
              <w:rPr>
                <w:rFonts w:ascii="Times New Roman" w:hAnsi="Times New Roman" w:cs="Times New Roman"/>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C6CA7C6"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-.13</w:t>
            </w:r>
            <w:r w:rsidRPr="003C05D2">
              <w:rPr>
                <w:rFonts w:ascii="Times New Roman" w:hAnsi="Times New Roman" w:cs="Times New Roman"/>
                <w:lang w:val="en-US"/>
              </w:rPr>
              <w:t xml:space="preserve"> (-.18 to -.07)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D3E42" w14:textId="77777777" w:rsidR="00A3479F" w:rsidRPr="003C05D2" w:rsidRDefault="00A3479F" w:rsidP="00BF2D75">
            <w:pPr>
              <w:pStyle w:val="Body"/>
              <w:spacing w:after="0" w:line="240" w:lineRule="auto"/>
              <w:rPr>
                <w:rFonts w:ascii="Times New Roman" w:hAnsi="Times New Roman" w:cs="Times New Roman"/>
              </w:rPr>
            </w:pPr>
            <w:r w:rsidRPr="003C05D2">
              <w:rPr>
                <w:rFonts w:ascii="Times New Roman" w:hAnsi="Times New Roman" w:cs="Times New Roman"/>
                <w:lang w:val="en-US"/>
              </w:rPr>
              <w:t>&lt;.0001</w:t>
            </w:r>
          </w:p>
        </w:tc>
      </w:tr>
      <w:tr w:rsidR="00A3479F" w:rsidRPr="003C05D2" w14:paraId="3EB0A9EA" w14:textId="77777777" w:rsidTr="00BF2D75">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19CBD" w14:textId="77777777" w:rsidR="00A3479F" w:rsidRPr="003C05D2" w:rsidRDefault="00A3479F" w:rsidP="00BF2D75">
            <w:pPr>
              <w:pStyle w:val="Body"/>
              <w:spacing w:after="0" w:line="240" w:lineRule="auto"/>
              <w:rPr>
                <w:rFonts w:ascii="Times New Roman" w:hAnsi="Times New Roman" w:cs="Times New Roman"/>
              </w:rPr>
            </w:pPr>
            <w:r w:rsidRPr="003C05D2">
              <w:rPr>
                <w:rFonts w:ascii="Times New Roman" w:hAnsi="Times New Roman" w:cs="Times New Roman"/>
                <w:lang w:val="en-US"/>
              </w:rPr>
              <w:t>Model</w:t>
            </w:r>
            <w:r>
              <w:rPr>
                <w:rFonts w:ascii="Times New Roman" w:hAnsi="Times New Roman" w:cs="Times New Roman"/>
                <w:lang w:val="en-US"/>
              </w:rPr>
              <w:t xml:space="preserve"> 3b. Model 3a adjusted</w:t>
            </w:r>
            <w:r>
              <w:rPr>
                <w:rFonts w:ascii="Times New Roman" w:hAnsi="Times New Roman"/>
                <w:sz w:val="20"/>
                <w:szCs w:val="20"/>
                <w:vertAlign w:val="superscript"/>
              </w:rPr>
              <w:t>b</w:t>
            </w:r>
          </w:p>
        </w:tc>
        <w:tc>
          <w:tcPr>
            <w:tcW w:w="0" w:type="auto"/>
            <w:tcBorders>
              <w:top w:val="single" w:sz="4" w:space="0" w:color="000000"/>
              <w:left w:val="single" w:sz="4" w:space="0" w:color="000000"/>
              <w:bottom w:val="single" w:sz="4" w:space="0" w:color="000000"/>
              <w:right w:val="single" w:sz="4" w:space="0" w:color="000000"/>
            </w:tcBorders>
          </w:tcPr>
          <w:p w14:paraId="6FB6E5D5" w14:textId="77777777" w:rsidR="00A3479F" w:rsidRPr="003C05D2" w:rsidRDefault="00A3479F" w:rsidP="00BF2D75">
            <w:pPr>
              <w:pStyle w:val="Body"/>
              <w:spacing w:after="0" w:line="240" w:lineRule="auto"/>
              <w:rPr>
                <w:rFonts w:ascii="Times New Roman" w:hAnsi="Times New Roman" w:cs="Times New Roman"/>
                <w:lang w:val="en-US"/>
              </w:rPr>
            </w:pPr>
            <w:r>
              <w:rPr>
                <w:rFonts w:ascii="Times New Roman" w:hAnsi="Times New Roman" w:cs="Times New Roman"/>
                <w:lang w:val="en-US"/>
              </w:rPr>
              <w:t>-.03 (-.09 to .04</w:t>
            </w:r>
            <w:r w:rsidRPr="003C05D2">
              <w:rPr>
                <w:rFonts w:ascii="Times New Roman" w:hAnsi="Times New Roman" w:cs="Times New Roman"/>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2127" w14:textId="77777777" w:rsidR="00A3479F" w:rsidRPr="003C05D2"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.436</w:t>
            </w:r>
          </w:p>
        </w:tc>
      </w:tr>
    </w:tbl>
    <w:p w14:paraId="1A733A32"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child age, child ethnicity, child IQ,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w:t>
      </w:r>
    </w:p>
    <w:p w14:paraId="518C4EE1"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0EBAE8DB"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b</w:t>
      </w:r>
      <w:r>
        <w:rPr>
          <w:rFonts w:ascii="Times New Roman" w:hAnsi="Times New Roman"/>
          <w:sz w:val="20"/>
          <w:szCs w:val="20"/>
          <w:lang w:val="en-US"/>
        </w:rPr>
        <w:t>Adjusted for the above confounders and, in addition, stage of breast development in females or stage of facial hair development in males.</w:t>
      </w:r>
    </w:p>
    <w:p w14:paraId="3383C83D"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61A5AC37"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2BCCB4F0" w14:textId="77777777" w:rsidR="00A3479F" w:rsidRDefault="00A3479F" w:rsidP="00A3479F">
      <w:pPr>
        <w:pStyle w:val="Body"/>
        <w:spacing w:line="240" w:lineRule="auto"/>
        <w:rPr>
          <w:rFonts w:ascii="Times New Roman" w:eastAsia="Times New Roman" w:hAnsi="Times New Roman" w:cs="Times New Roman"/>
          <w:sz w:val="24"/>
          <w:szCs w:val="24"/>
        </w:rPr>
      </w:pPr>
    </w:p>
    <w:p w14:paraId="674637CC" w14:textId="77777777" w:rsidR="00A3479F" w:rsidRDefault="00A3479F" w:rsidP="00A3479F">
      <w:pPr>
        <w:pStyle w:val="Body"/>
        <w:spacing w:line="240" w:lineRule="auto"/>
        <w:rPr>
          <w:rFonts w:ascii="Times New Roman" w:hAnsi="Times New Roman"/>
          <w:sz w:val="24"/>
          <w:szCs w:val="24"/>
          <w:lang w:val="en-US"/>
        </w:rPr>
      </w:pPr>
    </w:p>
    <w:p w14:paraId="0BD77A6F" w14:textId="77777777" w:rsidR="00A3479F" w:rsidRDefault="00A3479F" w:rsidP="00A3479F">
      <w:pPr>
        <w:pStyle w:val="Body"/>
        <w:spacing w:line="240" w:lineRule="auto"/>
        <w:rPr>
          <w:rFonts w:ascii="Times New Roman" w:hAnsi="Times New Roman"/>
          <w:sz w:val="24"/>
          <w:szCs w:val="24"/>
          <w:lang w:val="en-US"/>
        </w:rPr>
      </w:pPr>
    </w:p>
    <w:p w14:paraId="6480A853" w14:textId="77777777" w:rsidR="00A3479F" w:rsidRDefault="00A3479F" w:rsidP="00A3479F">
      <w:pPr>
        <w:pStyle w:val="Body"/>
        <w:spacing w:line="240" w:lineRule="auto"/>
        <w:rPr>
          <w:rFonts w:ascii="Times New Roman" w:hAnsi="Times New Roman"/>
          <w:sz w:val="24"/>
          <w:szCs w:val="24"/>
          <w:lang w:val="en-US"/>
        </w:rPr>
      </w:pPr>
    </w:p>
    <w:p w14:paraId="36C6543D" w14:textId="77777777" w:rsidR="00A3479F" w:rsidRDefault="00A3479F" w:rsidP="00A3479F">
      <w:pPr>
        <w:pStyle w:val="Body"/>
        <w:spacing w:line="240" w:lineRule="auto"/>
        <w:rPr>
          <w:rFonts w:ascii="Times New Roman" w:hAnsi="Times New Roman"/>
          <w:sz w:val="24"/>
          <w:szCs w:val="24"/>
          <w:lang w:val="en-US"/>
        </w:rPr>
      </w:pPr>
    </w:p>
    <w:p w14:paraId="719A8B10" w14:textId="77777777" w:rsidR="00A3479F" w:rsidRDefault="00A3479F" w:rsidP="00A3479F">
      <w:pPr>
        <w:pStyle w:val="Body"/>
        <w:spacing w:line="240" w:lineRule="auto"/>
        <w:rPr>
          <w:rFonts w:ascii="Times New Roman" w:hAnsi="Times New Roman"/>
          <w:sz w:val="24"/>
          <w:szCs w:val="24"/>
          <w:lang w:val="en-US"/>
        </w:rPr>
      </w:pPr>
    </w:p>
    <w:p w14:paraId="50D5DC06" w14:textId="77777777" w:rsidR="00A3479F" w:rsidRDefault="00A3479F" w:rsidP="00A3479F">
      <w:pPr>
        <w:pStyle w:val="Body"/>
        <w:spacing w:line="240" w:lineRule="auto"/>
        <w:rPr>
          <w:rFonts w:ascii="Times New Roman" w:hAnsi="Times New Roman"/>
          <w:sz w:val="24"/>
          <w:szCs w:val="24"/>
          <w:lang w:val="en-US"/>
        </w:rPr>
      </w:pPr>
    </w:p>
    <w:p w14:paraId="3766ABB8" w14:textId="77777777" w:rsidR="00A3479F" w:rsidRDefault="00A3479F" w:rsidP="00A3479F">
      <w:pPr>
        <w:pStyle w:val="Body"/>
        <w:spacing w:line="240" w:lineRule="auto"/>
        <w:rPr>
          <w:rFonts w:ascii="Times New Roman" w:hAnsi="Times New Roman"/>
          <w:sz w:val="24"/>
          <w:szCs w:val="24"/>
          <w:lang w:val="en-US"/>
        </w:rPr>
      </w:pPr>
    </w:p>
    <w:p w14:paraId="78D68E01" w14:textId="77777777" w:rsidR="00A3479F" w:rsidRDefault="00A3479F" w:rsidP="00A3479F">
      <w:pPr>
        <w:pStyle w:val="Body"/>
        <w:spacing w:line="240" w:lineRule="auto"/>
        <w:rPr>
          <w:rFonts w:ascii="Times New Roman" w:hAnsi="Times New Roman"/>
          <w:sz w:val="24"/>
          <w:szCs w:val="24"/>
          <w:lang w:val="en-US"/>
        </w:rPr>
      </w:pPr>
    </w:p>
    <w:p w14:paraId="5A12A63C" w14:textId="77777777" w:rsidR="00A3479F" w:rsidRDefault="00A3479F" w:rsidP="00A3479F">
      <w:pPr>
        <w:pStyle w:val="Body"/>
        <w:spacing w:line="240" w:lineRule="auto"/>
        <w:rPr>
          <w:rFonts w:ascii="Times New Roman" w:hAnsi="Times New Roman"/>
          <w:sz w:val="24"/>
          <w:szCs w:val="24"/>
          <w:lang w:val="en-US"/>
        </w:rPr>
      </w:pPr>
    </w:p>
    <w:p w14:paraId="18803EF7" w14:textId="77777777" w:rsidR="00A3479F" w:rsidRDefault="00A3479F" w:rsidP="00A3479F">
      <w:pPr>
        <w:pStyle w:val="Body"/>
        <w:spacing w:line="240" w:lineRule="auto"/>
        <w:rPr>
          <w:rFonts w:ascii="Times New Roman" w:hAnsi="Times New Roman"/>
          <w:sz w:val="24"/>
          <w:szCs w:val="24"/>
          <w:lang w:val="en-US"/>
        </w:rPr>
      </w:pPr>
    </w:p>
    <w:p w14:paraId="0AFC442E" w14:textId="33AAF5B7" w:rsidR="00A3479F" w:rsidRDefault="00A3479F" w:rsidP="00A3479F">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Supplementary Table </w:t>
      </w:r>
      <w:r w:rsidR="00F91A15">
        <w:rPr>
          <w:rFonts w:ascii="Times New Roman" w:hAnsi="Times New Roman"/>
          <w:sz w:val="24"/>
          <w:szCs w:val="24"/>
          <w:lang w:val="en-US"/>
        </w:rPr>
        <w:t>6</w:t>
      </w:r>
      <w:r>
        <w:rPr>
          <w:rFonts w:ascii="Times New Roman" w:hAnsi="Times New Roman"/>
          <w:sz w:val="24"/>
          <w:szCs w:val="24"/>
          <w:lang w:val="en-US"/>
        </w:rPr>
        <w:t>. Cross-sectional associations between risk adjustment (continuous exposure) and depressive symptoms at age 14</w:t>
      </w:r>
      <w:r w:rsidRPr="005C3522">
        <w:rPr>
          <w:rFonts w:ascii="Times New Roman" w:hAnsi="Times New Roman"/>
          <w:sz w:val="24"/>
          <w:szCs w:val="24"/>
          <w:lang w:val="en-US"/>
        </w:rPr>
        <w:t xml:space="preserve"> (continuous outcome), </w:t>
      </w:r>
      <w:r>
        <w:rPr>
          <w:rFonts w:ascii="Times New Roman" w:hAnsi="Times New Roman"/>
          <w:sz w:val="24"/>
          <w:szCs w:val="24"/>
          <w:lang w:val="en-US"/>
        </w:rPr>
        <w:t>complete case</w:t>
      </w:r>
      <w:r w:rsidRPr="005C3522">
        <w:rPr>
          <w:rFonts w:ascii="Times New Roman" w:hAnsi="Times New Roman"/>
          <w:sz w:val="24"/>
          <w:szCs w:val="24"/>
          <w:lang w:val="en-US"/>
        </w:rPr>
        <w:t xml:space="preserve"> </w:t>
      </w:r>
      <w:r>
        <w:rPr>
          <w:rFonts w:ascii="Times New Roman" w:hAnsi="Times New Roman"/>
          <w:sz w:val="24"/>
          <w:szCs w:val="24"/>
          <w:lang w:val="en-US"/>
        </w:rPr>
        <w:t>sample (n=8628)</w:t>
      </w:r>
      <w:r w:rsidRPr="005C3522">
        <w:rPr>
          <w:rFonts w:ascii="Times New Roman" w:hAnsi="Times New Roman"/>
          <w:sz w:val="24"/>
          <w:szCs w:val="24"/>
          <w:lang w:val="en-US"/>
        </w:rPr>
        <w:t>.</w:t>
      </w:r>
    </w:p>
    <w:tbl>
      <w:tblPr>
        <w:tblW w:w="97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966"/>
        <w:gridCol w:w="4813"/>
        <w:gridCol w:w="980"/>
      </w:tblGrid>
      <w:tr w:rsidR="00A3479F" w:rsidRPr="002722A6" w14:paraId="7702AFCD" w14:textId="77777777" w:rsidTr="00BF2D75">
        <w:trPr>
          <w:trHeight w:val="961"/>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03FE7" w14:textId="77777777" w:rsidR="00A3479F" w:rsidRPr="002722A6" w:rsidRDefault="00A3479F" w:rsidP="00BF2D75">
            <w:pPr>
              <w:pStyle w:val="Body"/>
              <w:jc w:val="center"/>
              <w:rPr>
                <w:rFonts w:ascii="Times New Roman" w:eastAsia="Times New Roman" w:hAnsi="Times New Roman" w:cs="Times New Roman"/>
                <w:lang w:val="en-US"/>
              </w:rPr>
            </w:pPr>
          </w:p>
          <w:p w14:paraId="72303451" w14:textId="77777777" w:rsidR="00A3479F" w:rsidRPr="002722A6" w:rsidRDefault="00A3479F" w:rsidP="00BF2D75">
            <w:pPr>
              <w:pStyle w:val="Body"/>
              <w:spacing w:after="0" w:line="240" w:lineRule="auto"/>
              <w:jc w:val="center"/>
            </w:pPr>
            <w:r>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F87E" w14:textId="77777777" w:rsidR="00A3479F" w:rsidRPr="002722A6" w:rsidRDefault="00A3479F" w:rsidP="00BF2D75">
            <w:pPr>
              <w:pStyle w:val="Body"/>
              <w:spacing w:after="0" w:line="240" w:lineRule="auto"/>
              <w:jc w:val="center"/>
              <w:rPr>
                <w:rFonts w:ascii="Times New Roman" w:eastAsia="Times New Roman" w:hAnsi="Times New Roman" w:cs="Times New Roman"/>
                <w:lang w:val="en-US"/>
              </w:rPr>
            </w:pPr>
          </w:p>
          <w:p w14:paraId="3670D75C" w14:textId="77777777" w:rsidR="00A3479F" w:rsidRPr="002722A6" w:rsidRDefault="00A3479F" w:rsidP="00BF2D75">
            <w:pPr>
              <w:pStyle w:val="Body"/>
              <w:spacing w:after="0" w:line="240" w:lineRule="auto"/>
              <w:jc w:val="center"/>
            </w:pPr>
            <w:r>
              <w:rPr>
                <w:rFonts w:ascii="Times New Roman" w:hAnsi="Times New Roman"/>
                <w:lang w:val="en-US"/>
              </w:rPr>
              <w:t>MFQ change</w:t>
            </w:r>
            <w:r w:rsidRPr="002722A6">
              <w:rPr>
                <w:rFonts w:ascii="Times New Roman" w:hAnsi="Times New Roman"/>
                <w:lang w:val="en-US"/>
              </w:rPr>
              <w:t xml:space="preserve"> for a 1-point increase in risk adjustment</w:t>
            </w:r>
          </w:p>
        </w:tc>
        <w:tc>
          <w:tcPr>
            <w:tcW w:w="980" w:type="dxa"/>
            <w:tcBorders>
              <w:top w:val="single" w:sz="4" w:space="0" w:color="000000"/>
              <w:left w:val="single" w:sz="4" w:space="0" w:color="000000"/>
              <w:bottom w:val="single" w:sz="4" w:space="0" w:color="000000"/>
              <w:right w:val="single" w:sz="4" w:space="0" w:color="000000"/>
            </w:tcBorders>
          </w:tcPr>
          <w:p w14:paraId="2202B93E" w14:textId="77777777" w:rsidR="00A3479F" w:rsidRDefault="00A3479F" w:rsidP="00BF2D75">
            <w:pPr>
              <w:pStyle w:val="Body"/>
              <w:spacing w:after="0" w:line="240" w:lineRule="auto"/>
              <w:jc w:val="center"/>
              <w:rPr>
                <w:rFonts w:ascii="Times New Roman" w:eastAsia="Times New Roman" w:hAnsi="Times New Roman" w:cs="Times New Roman"/>
                <w:lang w:val="en-US"/>
              </w:rPr>
            </w:pPr>
          </w:p>
          <w:p w14:paraId="5D894AAD" w14:textId="77777777" w:rsidR="00A3479F" w:rsidRPr="002722A6" w:rsidRDefault="00A3479F" w:rsidP="00BF2D75">
            <w:pPr>
              <w:pStyle w:val="Body"/>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P value</w:t>
            </w:r>
          </w:p>
        </w:tc>
      </w:tr>
      <w:tr w:rsidR="00A3479F" w:rsidRPr="002722A6" w14:paraId="2D552C55"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F4D53" w14:textId="77777777" w:rsidR="00A3479F" w:rsidRPr="002722A6" w:rsidRDefault="00A3479F" w:rsidP="00BF2D75">
            <w:pPr>
              <w:pStyle w:val="Body"/>
              <w:spacing w:after="0" w:line="240" w:lineRule="auto"/>
            </w:pPr>
            <w:r w:rsidRPr="002722A6">
              <w:rPr>
                <w:rFonts w:ascii="Times New Roman" w:hAnsi="Times New Roman"/>
                <w:lang w:val="en-US"/>
              </w:rPr>
              <w:t>Model 1</w:t>
            </w:r>
            <w:r>
              <w:rPr>
                <w:rFonts w:ascii="Times New Roman" w:hAnsi="Times New Roman"/>
                <w:lang w:val="en-US"/>
              </w:rPr>
              <w:t>a.</w:t>
            </w:r>
            <w:r w:rsidRPr="002722A6">
              <w:rPr>
                <w:rFonts w:ascii="Times New Roman" w:hAnsi="Times New Roman"/>
                <w:lang w:val="en-US"/>
              </w:rPr>
              <w:t xml:space="preserve"> Univariable</w:t>
            </w:r>
            <w:r>
              <w:rPr>
                <w:rFonts w:ascii="Times New Roman" w:hAnsi="Times New Roman"/>
                <w:lang w:val="en-US"/>
              </w:rPr>
              <w:t xml:space="preserve"> (n=8628</w:t>
            </w:r>
            <w:r w:rsidRPr="002722A6">
              <w:rPr>
                <w:rFonts w:ascii="Times New Roman" w:hAnsi="Times New Roman"/>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63ABF" w14:textId="77777777" w:rsidR="00A3479F" w:rsidRPr="002722A6" w:rsidRDefault="00A3479F" w:rsidP="00BF2D75">
            <w:pPr>
              <w:pStyle w:val="Body"/>
              <w:spacing w:after="0" w:line="240" w:lineRule="auto"/>
            </w:pPr>
            <w:r>
              <w:rPr>
                <w:rFonts w:ascii="Times New Roman" w:hAnsi="Times New Roman"/>
                <w:lang w:val="en-US"/>
              </w:rPr>
              <w:t xml:space="preserve">-.17 (-.33 to -.02) </w:t>
            </w:r>
          </w:p>
        </w:tc>
        <w:tc>
          <w:tcPr>
            <w:tcW w:w="980" w:type="dxa"/>
            <w:tcBorders>
              <w:top w:val="single" w:sz="4" w:space="0" w:color="000000"/>
              <w:left w:val="single" w:sz="4" w:space="0" w:color="000000"/>
              <w:bottom w:val="single" w:sz="4" w:space="0" w:color="000000"/>
              <w:right w:val="single" w:sz="4" w:space="0" w:color="000000"/>
            </w:tcBorders>
          </w:tcPr>
          <w:p w14:paraId="3F68AA2C"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.029</w:t>
            </w:r>
          </w:p>
        </w:tc>
      </w:tr>
      <w:tr w:rsidR="00A3479F" w:rsidRPr="002722A6" w14:paraId="7FC9620E"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8442" w14:textId="79784EC4" w:rsidR="00A3479F" w:rsidRPr="002722A6" w:rsidRDefault="00A3479F" w:rsidP="00BF2D75">
            <w:pPr>
              <w:pStyle w:val="Body"/>
              <w:spacing w:after="0" w:line="240" w:lineRule="auto"/>
            </w:pPr>
            <w:r>
              <w:rPr>
                <w:rFonts w:ascii="Times New Roman" w:hAnsi="Times New Roman"/>
                <w:lang w:val="en-US"/>
              </w:rPr>
              <w:t>Model 1b.</w:t>
            </w:r>
            <w:r w:rsidRPr="002722A6">
              <w:rPr>
                <w:rFonts w:ascii="Times New Roman" w:hAnsi="Times New Roman"/>
                <w:lang w:val="en-US"/>
              </w:rPr>
              <w:t xml:space="preserve"> Model 1</w:t>
            </w:r>
            <w:r w:rsidR="00D82892">
              <w:rPr>
                <w:rFonts w:ascii="Times New Roman" w:hAnsi="Times New Roman"/>
                <w:lang w:val="en-US"/>
              </w:rPr>
              <w:t>a</w:t>
            </w:r>
            <w:r w:rsidRPr="002722A6">
              <w:rPr>
                <w:rFonts w:ascii="Times New Roman" w:hAnsi="Times New Roman"/>
                <w:lang w:val="en-US"/>
              </w:rPr>
              <w:t xml:space="preserve"> </w:t>
            </w:r>
            <w:proofErr w:type="spellStart"/>
            <w:r w:rsidRPr="002722A6">
              <w:rPr>
                <w:rFonts w:ascii="Times New Roman" w:hAnsi="Times New Roman"/>
                <w:lang w:val="en-US"/>
              </w:rPr>
              <w:t>adjusted</w:t>
            </w:r>
            <w:r w:rsidRPr="002722A6">
              <w:rPr>
                <w:rFonts w:ascii="Times New Roman" w:hAnsi="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8A77B" w14:textId="77777777" w:rsidR="00A3479F" w:rsidRPr="002722A6" w:rsidRDefault="00A3479F" w:rsidP="00BF2D75">
            <w:pPr>
              <w:pStyle w:val="Body"/>
              <w:spacing w:after="0" w:line="240" w:lineRule="auto"/>
            </w:pPr>
            <w:r>
              <w:rPr>
                <w:rFonts w:ascii="Times New Roman" w:hAnsi="Times New Roman"/>
                <w:lang w:val="en-US"/>
              </w:rPr>
              <w:t xml:space="preserve">-.10 (-.26 to .06) </w:t>
            </w:r>
          </w:p>
        </w:tc>
        <w:tc>
          <w:tcPr>
            <w:tcW w:w="980" w:type="dxa"/>
            <w:tcBorders>
              <w:top w:val="single" w:sz="4" w:space="0" w:color="000000"/>
              <w:left w:val="single" w:sz="4" w:space="0" w:color="000000"/>
              <w:bottom w:val="single" w:sz="4" w:space="0" w:color="000000"/>
              <w:right w:val="single" w:sz="4" w:space="0" w:color="000000"/>
            </w:tcBorders>
          </w:tcPr>
          <w:p w14:paraId="1A6DC272"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.205</w:t>
            </w:r>
          </w:p>
        </w:tc>
      </w:tr>
      <w:tr w:rsidR="00A3479F" w:rsidRPr="002722A6" w14:paraId="3DFB53FE"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3C0B3" w14:textId="2724A2D7" w:rsidR="00A3479F" w:rsidRPr="002722A6" w:rsidRDefault="00A3479F" w:rsidP="00BF2D75">
            <w:pPr>
              <w:pStyle w:val="Body"/>
              <w:spacing w:after="0" w:line="240" w:lineRule="auto"/>
            </w:pPr>
            <w:r>
              <w:rPr>
                <w:rFonts w:ascii="Times New Roman" w:hAnsi="Times New Roman"/>
                <w:lang w:val="en-US"/>
              </w:rPr>
              <w:t>Model 1c.</w:t>
            </w:r>
            <w:r w:rsidR="00D82892">
              <w:rPr>
                <w:rFonts w:ascii="Times New Roman" w:hAnsi="Times New Roman"/>
                <w:lang w:val="en-US"/>
              </w:rPr>
              <w:t xml:space="preserve"> Model 1a</w:t>
            </w:r>
            <w:r w:rsidRPr="002722A6">
              <w:rPr>
                <w:rFonts w:ascii="Times New Roman" w:hAnsi="Times New Roman"/>
                <w:lang w:val="en-US"/>
              </w:rPr>
              <w:t xml:space="preserve"> adjusted for sex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788E" w14:textId="77777777" w:rsidR="00A3479F" w:rsidRPr="002722A6" w:rsidRDefault="00A3479F" w:rsidP="00BF2D75">
            <w:pPr>
              <w:pStyle w:val="Body"/>
              <w:spacing w:after="0" w:line="240" w:lineRule="auto"/>
            </w:pPr>
            <w:r>
              <w:rPr>
                <w:rFonts w:ascii="Times New Roman" w:hAnsi="Times New Roman"/>
                <w:lang w:val="en-US"/>
              </w:rPr>
              <w:t xml:space="preserve">.03 (-.13 to .19) </w:t>
            </w:r>
          </w:p>
        </w:tc>
        <w:tc>
          <w:tcPr>
            <w:tcW w:w="980" w:type="dxa"/>
            <w:tcBorders>
              <w:top w:val="single" w:sz="4" w:space="0" w:color="000000"/>
              <w:left w:val="single" w:sz="4" w:space="0" w:color="000000"/>
              <w:bottom w:val="single" w:sz="4" w:space="0" w:color="000000"/>
              <w:right w:val="single" w:sz="4" w:space="0" w:color="000000"/>
            </w:tcBorders>
          </w:tcPr>
          <w:p w14:paraId="3F51BE39"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.699</w:t>
            </w:r>
          </w:p>
        </w:tc>
      </w:tr>
      <w:tr w:rsidR="00A3479F" w:rsidRPr="002722A6" w14:paraId="6B1955BA"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1575" w14:textId="77777777" w:rsidR="00A3479F" w:rsidRDefault="00A3479F" w:rsidP="00BF2D75">
            <w:pPr>
              <w:jc w:val="center"/>
              <w:rPr>
                <w:sz w:val="22"/>
                <w:szCs w:val="22"/>
              </w:rPr>
            </w:pPr>
          </w:p>
          <w:p w14:paraId="2F8E0FB5" w14:textId="77777777" w:rsidR="00A3479F" w:rsidRDefault="00A3479F" w:rsidP="00BF2D75">
            <w:pPr>
              <w:jc w:val="center"/>
              <w:rPr>
                <w:sz w:val="22"/>
                <w:szCs w:val="22"/>
              </w:rPr>
            </w:pPr>
            <w:r w:rsidRPr="002722A6">
              <w:rPr>
                <w:sz w:val="22"/>
                <w:szCs w:val="22"/>
              </w:rPr>
              <w:t>Sub-group analyses by gender</w:t>
            </w:r>
          </w:p>
          <w:p w14:paraId="77FD634C" w14:textId="77777777" w:rsidR="00A3479F" w:rsidRPr="002722A6" w:rsidRDefault="00A3479F" w:rsidP="00BF2D75">
            <w:pPr>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764ED" w14:textId="77777777" w:rsidR="00A3479F" w:rsidRDefault="00A3479F" w:rsidP="00BF2D75">
            <w:pPr>
              <w:jc w:val="center"/>
              <w:rPr>
                <w:sz w:val="22"/>
                <w:szCs w:val="22"/>
              </w:rPr>
            </w:pPr>
          </w:p>
          <w:p w14:paraId="3847BDED" w14:textId="77777777" w:rsidR="00A3479F" w:rsidRPr="002722A6" w:rsidRDefault="00A3479F" w:rsidP="00BF2D75">
            <w:pPr>
              <w:jc w:val="center"/>
              <w:rPr>
                <w:sz w:val="22"/>
                <w:szCs w:val="22"/>
              </w:rPr>
            </w:pPr>
            <w:r>
              <w:rPr>
                <w:sz w:val="22"/>
                <w:szCs w:val="22"/>
              </w:rPr>
              <w:t>MFQ change</w:t>
            </w:r>
            <w:r w:rsidRPr="002722A6">
              <w:rPr>
                <w:sz w:val="22"/>
                <w:szCs w:val="22"/>
              </w:rPr>
              <w:t xml:space="preserve"> for a 1-point increase in risk adjustment</w:t>
            </w:r>
          </w:p>
        </w:tc>
        <w:tc>
          <w:tcPr>
            <w:tcW w:w="980" w:type="dxa"/>
            <w:tcBorders>
              <w:top w:val="single" w:sz="4" w:space="0" w:color="000000"/>
              <w:left w:val="single" w:sz="4" w:space="0" w:color="000000"/>
              <w:bottom w:val="single" w:sz="4" w:space="0" w:color="000000"/>
              <w:right w:val="single" w:sz="4" w:space="0" w:color="000000"/>
            </w:tcBorders>
          </w:tcPr>
          <w:p w14:paraId="334E012B" w14:textId="77777777" w:rsidR="00A3479F" w:rsidRDefault="00A3479F" w:rsidP="00BF2D75">
            <w:pPr>
              <w:jc w:val="center"/>
              <w:rPr>
                <w:sz w:val="22"/>
                <w:szCs w:val="22"/>
              </w:rPr>
            </w:pPr>
          </w:p>
          <w:p w14:paraId="528FA0D1" w14:textId="77777777" w:rsidR="00A3479F" w:rsidRDefault="00A3479F" w:rsidP="00BF2D75">
            <w:pPr>
              <w:jc w:val="center"/>
              <w:rPr>
                <w:sz w:val="22"/>
                <w:szCs w:val="22"/>
              </w:rPr>
            </w:pPr>
            <w:r>
              <w:rPr>
                <w:sz w:val="22"/>
                <w:szCs w:val="22"/>
              </w:rPr>
              <w:t>P value</w:t>
            </w:r>
          </w:p>
        </w:tc>
      </w:tr>
      <w:tr w:rsidR="00A3479F" w:rsidRPr="002722A6" w14:paraId="57CD53AE"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ABEAD" w14:textId="77777777" w:rsidR="00A3479F" w:rsidRPr="002722A6" w:rsidRDefault="00A3479F" w:rsidP="00BF2D75">
            <w:pPr>
              <w:pStyle w:val="Body"/>
              <w:spacing w:after="0" w:line="240" w:lineRule="auto"/>
            </w:pPr>
            <w:r>
              <w:rPr>
                <w:rFonts w:ascii="Times New Roman" w:hAnsi="Times New Roman"/>
                <w:lang w:val="en-US"/>
              </w:rPr>
              <w:t>Model 2a.</w:t>
            </w:r>
            <w:r w:rsidRPr="002722A6">
              <w:rPr>
                <w:rFonts w:ascii="Times New Roman" w:hAnsi="Times New Roman"/>
                <w:lang w:val="en-US"/>
              </w:rPr>
              <w:t xml:space="preserve"> Univariable, females</w:t>
            </w:r>
            <w:r>
              <w:rPr>
                <w:rFonts w:ascii="Times New Roman" w:hAnsi="Times New Roman"/>
                <w:lang w:val="en-US"/>
              </w:rPr>
              <w:t xml:space="preserve"> (n=4354</w:t>
            </w:r>
            <w:r w:rsidRPr="002722A6">
              <w:rPr>
                <w:rFonts w:ascii="Times New Roman" w:hAnsi="Times New Roman"/>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1C14C" w14:textId="77777777" w:rsidR="00A3479F" w:rsidRPr="002722A6" w:rsidRDefault="00A3479F" w:rsidP="00BF2D75">
            <w:pPr>
              <w:pStyle w:val="Body"/>
              <w:spacing w:after="0" w:line="240" w:lineRule="auto"/>
            </w:pPr>
            <w:r>
              <w:rPr>
                <w:rFonts w:ascii="Times New Roman" w:hAnsi="Times New Roman"/>
                <w:lang w:val="en-US"/>
              </w:rPr>
              <w:t>-.07 (-.33 to .19)</w:t>
            </w:r>
          </w:p>
        </w:tc>
        <w:tc>
          <w:tcPr>
            <w:tcW w:w="980" w:type="dxa"/>
            <w:tcBorders>
              <w:top w:val="single" w:sz="4" w:space="0" w:color="000000"/>
              <w:left w:val="single" w:sz="4" w:space="0" w:color="000000"/>
              <w:bottom w:val="single" w:sz="4" w:space="0" w:color="000000"/>
              <w:right w:val="single" w:sz="4" w:space="0" w:color="000000"/>
            </w:tcBorders>
          </w:tcPr>
          <w:p w14:paraId="0A116145"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.588</w:t>
            </w:r>
          </w:p>
        </w:tc>
      </w:tr>
      <w:tr w:rsidR="00A3479F" w:rsidRPr="002722A6" w14:paraId="575FCDD3"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1C37" w14:textId="77777777" w:rsidR="00A3479F" w:rsidRPr="002722A6" w:rsidRDefault="00A3479F" w:rsidP="00BF2D75">
            <w:pPr>
              <w:pStyle w:val="Body"/>
              <w:spacing w:after="0" w:line="240" w:lineRule="auto"/>
            </w:pPr>
            <w:r>
              <w:rPr>
                <w:rFonts w:ascii="Times New Roman" w:hAnsi="Times New Roman"/>
                <w:lang w:val="en-US"/>
              </w:rPr>
              <w:t xml:space="preserve">Model 2b. Model 2a </w:t>
            </w:r>
            <w:proofErr w:type="spellStart"/>
            <w:r>
              <w:rPr>
                <w:rFonts w:ascii="Times New Roman" w:hAnsi="Times New Roman"/>
                <w:lang w:val="en-US"/>
              </w:rPr>
              <w:t>adjusted</w:t>
            </w:r>
            <w:r w:rsidRPr="002722A6">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75A4D" w14:textId="77777777" w:rsidR="00A3479F" w:rsidRPr="002722A6" w:rsidRDefault="00A3479F" w:rsidP="00BF2D75">
            <w:pPr>
              <w:pStyle w:val="Body"/>
              <w:spacing w:after="0" w:line="240" w:lineRule="auto"/>
            </w:pPr>
            <w:r>
              <w:rPr>
                <w:rFonts w:ascii="Times New Roman" w:hAnsi="Times New Roman"/>
                <w:lang w:val="en-US"/>
              </w:rPr>
              <w:t xml:space="preserve">.05 (-.22 to .32) </w:t>
            </w:r>
          </w:p>
        </w:tc>
        <w:tc>
          <w:tcPr>
            <w:tcW w:w="980" w:type="dxa"/>
            <w:tcBorders>
              <w:top w:val="single" w:sz="4" w:space="0" w:color="000000"/>
              <w:left w:val="single" w:sz="4" w:space="0" w:color="000000"/>
              <w:bottom w:val="single" w:sz="4" w:space="0" w:color="000000"/>
              <w:right w:val="single" w:sz="4" w:space="0" w:color="000000"/>
            </w:tcBorders>
          </w:tcPr>
          <w:p w14:paraId="7EEFFA3C"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.714</w:t>
            </w:r>
          </w:p>
        </w:tc>
      </w:tr>
      <w:tr w:rsidR="00A3479F" w:rsidRPr="002722A6" w14:paraId="489D5967"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0593" w14:textId="77777777" w:rsidR="00A3479F" w:rsidRDefault="00A3479F" w:rsidP="00BF2D75">
            <w:pPr>
              <w:pStyle w:val="Body"/>
              <w:spacing w:after="0" w:line="240" w:lineRule="auto"/>
              <w:rPr>
                <w:rFonts w:ascii="Times New Roman" w:hAnsi="Times New Roman"/>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9DC9" w14:textId="77777777" w:rsidR="00A3479F" w:rsidRDefault="00A3479F" w:rsidP="00BF2D75">
            <w:pPr>
              <w:pStyle w:val="Body"/>
              <w:spacing w:after="0" w:line="240" w:lineRule="auto"/>
              <w:rPr>
                <w:rFonts w:ascii="Times New Roman" w:hAnsi="Times New Roman"/>
                <w:lang w:val="en-US"/>
              </w:rPr>
            </w:pPr>
          </w:p>
        </w:tc>
        <w:tc>
          <w:tcPr>
            <w:tcW w:w="980" w:type="dxa"/>
            <w:tcBorders>
              <w:top w:val="single" w:sz="4" w:space="0" w:color="000000"/>
              <w:left w:val="single" w:sz="4" w:space="0" w:color="000000"/>
              <w:bottom w:val="single" w:sz="4" w:space="0" w:color="000000"/>
              <w:right w:val="single" w:sz="4" w:space="0" w:color="000000"/>
            </w:tcBorders>
          </w:tcPr>
          <w:p w14:paraId="52740980" w14:textId="77777777" w:rsidR="00A3479F" w:rsidRDefault="00A3479F" w:rsidP="00BF2D75">
            <w:pPr>
              <w:pStyle w:val="Body"/>
              <w:spacing w:after="0" w:line="240" w:lineRule="auto"/>
              <w:rPr>
                <w:rFonts w:ascii="Times New Roman" w:hAnsi="Times New Roman"/>
                <w:lang w:val="en-US"/>
              </w:rPr>
            </w:pPr>
          </w:p>
        </w:tc>
      </w:tr>
      <w:tr w:rsidR="00A3479F" w:rsidRPr="002722A6" w14:paraId="5C65E622"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B9F74" w14:textId="77777777" w:rsidR="00A3479F" w:rsidRPr="002722A6" w:rsidRDefault="00A3479F" w:rsidP="00BF2D75">
            <w:pPr>
              <w:pStyle w:val="Body"/>
              <w:spacing w:after="0" w:line="240" w:lineRule="auto"/>
            </w:pPr>
            <w:r>
              <w:rPr>
                <w:rFonts w:ascii="Times New Roman" w:hAnsi="Times New Roman"/>
                <w:lang w:val="en-US"/>
              </w:rPr>
              <w:t>Model 3a.</w:t>
            </w:r>
            <w:r w:rsidRPr="002722A6">
              <w:rPr>
                <w:rFonts w:ascii="Times New Roman" w:hAnsi="Times New Roman"/>
                <w:lang w:val="en-US"/>
              </w:rPr>
              <w:t xml:space="preserve"> Univariable males</w:t>
            </w:r>
            <w:r>
              <w:rPr>
                <w:rFonts w:ascii="Times New Roman" w:hAnsi="Times New Roman"/>
                <w:lang w:val="en-US"/>
              </w:rPr>
              <w:t xml:space="preserve"> (n=4274</w:t>
            </w:r>
            <w:r w:rsidRPr="002722A6">
              <w:rPr>
                <w:rFonts w:ascii="Times New Roman" w:hAnsi="Times New Roman"/>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1994" w14:textId="77777777" w:rsidR="00A3479F" w:rsidRPr="002722A6" w:rsidRDefault="00A3479F" w:rsidP="00BF2D75">
            <w:pPr>
              <w:pStyle w:val="Body"/>
              <w:spacing w:after="0" w:line="240" w:lineRule="auto"/>
            </w:pPr>
            <w:r>
              <w:rPr>
                <w:rFonts w:ascii="Times New Roman" w:hAnsi="Times New Roman"/>
                <w:lang w:val="en-US"/>
              </w:rPr>
              <w:t xml:space="preserve">-.01 (-.18 to .15) </w:t>
            </w:r>
          </w:p>
        </w:tc>
        <w:tc>
          <w:tcPr>
            <w:tcW w:w="980" w:type="dxa"/>
            <w:tcBorders>
              <w:top w:val="single" w:sz="4" w:space="0" w:color="000000"/>
              <w:left w:val="single" w:sz="4" w:space="0" w:color="000000"/>
              <w:bottom w:val="single" w:sz="4" w:space="0" w:color="000000"/>
              <w:right w:val="single" w:sz="4" w:space="0" w:color="000000"/>
            </w:tcBorders>
          </w:tcPr>
          <w:p w14:paraId="0B5F26F3"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.883</w:t>
            </w:r>
          </w:p>
        </w:tc>
      </w:tr>
      <w:tr w:rsidR="00A3479F" w:rsidRPr="002722A6" w14:paraId="10E555AB" w14:textId="77777777" w:rsidTr="00BF2D75">
        <w:trPr>
          <w:trHeight w:val="300"/>
        </w:trPr>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A867C" w14:textId="77777777" w:rsidR="00A3479F" w:rsidRPr="002722A6" w:rsidRDefault="00A3479F" w:rsidP="00BF2D75">
            <w:pPr>
              <w:pStyle w:val="Body"/>
              <w:spacing w:after="0" w:line="240" w:lineRule="auto"/>
            </w:pPr>
            <w:r>
              <w:rPr>
                <w:rFonts w:ascii="Times New Roman" w:hAnsi="Times New Roman"/>
                <w:lang w:val="en-US"/>
              </w:rPr>
              <w:t xml:space="preserve">Model 3b. Model 3a </w:t>
            </w:r>
            <w:proofErr w:type="spellStart"/>
            <w:r>
              <w:rPr>
                <w:rFonts w:ascii="Times New Roman" w:hAnsi="Times New Roman"/>
                <w:lang w:val="en-US"/>
              </w:rPr>
              <w:t>adjusted</w:t>
            </w:r>
            <w:r w:rsidRPr="002722A6">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61E9B" w14:textId="77777777" w:rsidR="00A3479F" w:rsidRPr="002722A6" w:rsidRDefault="00A3479F" w:rsidP="00BF2D75">
            <w:pPr>
              <w:pStyle w:val="Body"/>
              <w:spacing w:after="0" w:line="240" w:lineRule="auto"/>
            </w:pPr>
            <w:r>
              <w:rPr>
                <w:rFonts w:ascii="Times New Roman" w:hAnsi="Times New Roman"/>
                <w:lang w:val="en-US"/>
              </w:rPr>
              <w:t>.01</w:t>
            </w:r>
            <w:r w:rsidRPr="002722A6">
              <w:rPr>
                <w:rFonts w:ascii="Times New Roman" w:hAnsi="Times New Roman"/>
                <w:lang w:val="en-US"/>
              </w:rPr>
              <w:t xml:space="preserve"> </w:t>
            </w:r>
            <w:r>
              <w:rPr>
                <w:rFonts w:ascii="Times New Roman" w:hAnsi="Times New Roman"/>
                <w:lang w:val="en-US"/>
              </w:rPr>
              <w:t xml:space="preserve">(-.16 to .18) </w:t>
            </w:r>
          </w:p>
        </w:tc>
        <w:tc>
          <w:tcPr>
            <w:tcW w:w="980" w:type="dxa"/>
            <w:tcBorders>
              <w:top w:val="single" w:sz="4" w:space="0" w:color="000000"/>
              <w:left w:val="single" w:sz="4" w:space="0" w:color="000000"/>
              <w:bottom w:val="single" w:sz="4" w:space="0" w:color="000000"/>
              <w:right w:val="single" w:sz="4" w:space="0" w:color="000000"/>
            </w:tcBorders>
          </w:tcPr>
          <w:p w14:paraId="29111F2A" w14:textId="77777777" w:rsidR="00A3479F" w:rsidRDefault="00A3479F" w:rsidP="00BF2D75">
            <w:pPr>
              <w:pStyle w:val="Body"/>
              <w:spacing w:after="0" w:line="240" w:lineRule="auto"/>
              <w:rPr>
                <w:rFonts w:ascii="Times New Roman" w:hAnsi="Times New Roman"/>
                <w:lang w:val="en-US"/>
              </w:rPr>
            </w:pPr>
            <w:r>
              <w:rPr>
                <w:rFonts w:ascii="Times New Roman" w:hAnsi="Times New Roman"/>
                <w:lang w:val="en-US"/>
              </w:rPr>
              <w:t>.905</w:t>
            </w:r>
          </w:p>
        </w:tc>
      </w:tr>
    </w:tbl>
    <w:p w14:paraId="49143891"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child age, child ethnicity, child IQ,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w:t>
      </w:r>
    </w:p>
    <w:p w14:paraId="27CAFC67"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3141BA36"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b</w:t>
      </w:r>
      <w:r w:rsidRPr="00C11C56">
        <w:rPr>
          <w:rFonts w:ascii="Times New Roman" w:hAnsi="Times New Roman"/>
          <w:sz w:val="20"/>
          <w:szCs w:val="20"/>
          <w:vertAlign w:val="superscript"/>
        </w:rPr>
        <w:t xml:space="preserve"> </w:t>
      </w:r>
      <w:r>
        <w:rPr>
          <w:rFonts w:ascii="Times New Roman" w:hAnsi="Times New Roman"/>
          <w:sz w:val="20"/>
          <w:szCs w:val="20"/>
          <w:lang w:val="en-US"/>
        </w:rPr>
        <w:t>Adjusted for the above confounders and, in addition, stage of breast development in females or stage of facial hair development in males.</w:t>
      </w:r>
    </w:p>
    <w:p w14:paraId="41916556"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01E9652B"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71DADCB0"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7451435F"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6C9298F5"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4F02DC2D" w14:textId="77777777" w:rsidR="00A3479F" w:rsidRDefault="00A3479F" w:rsidP="00A3479F">
      <w:pPr>
        <w:pStyle w:val="Body"/>
        <w:spacing w:after="0" w:line="240" w:lineRule="auto"/>
        <w:rPr>
          <w:rFonts w:ascii="Times New Roman" w:eastAsia="Times New Roman" w:hAnsi="Times New Roman" w:cs="Times New Roman"/>
          <w:noProof/>
          <w:sz w:val="24"/>
          <w:szCs w:val="24"/>
        </w:rPr>
      </w:pPr>
    </w:p>
    <w:p w14:paraId="3BC576DA" w14:textId="77777777" w:rsidR="00A3479F" w:rsidRDefault="00A3479F" w:rsidP="00A3479F">
      <w:pPr>
        <w:pStyle w:val="Body"/>
        <w:spacing w:after="0" w:line="240" w:lineRule="auto"/>
        <w:rPr>
          <w:rFonts w:ascii="Times New Roman" w:eastAsia="Times New Roman" w:hAnsi="Times New Roman" w:cs="Times New Roman"/>
          <w:noProof/>
          <w:sz w:val="24"/>
          <w:szCs w:val="24"/>
        </w:rPr>
      </w:pPr>
    </w:p>
    <w:p w14:paraId="216D4E22"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795B2605" w14:textId="77777777" w:rsidR="00A3479F" w:rsidRDefault="00A3479F" w:rsidP="00A3479F">
      <w:pPr>
        <w:pStyle w:val="Body"/>
        <w:spacing w:after="0" w:line="240" w:lineRule="auto"/>
        <w:rPr>
          <w:rFonts w:ascii="Times New Roman" w:eastAsia="Times New Roman" w:hAnsi="Times New Roman" w:cs="Times New Roman"/>
          <w:sz w:val="24"/>
          <w:szCs w:val="24"/>
        </w:rPr>
      </w:pPr>
    </w:p>
    <w:p w14:paraId="38CE8C72" w14:textId="77777777" w:rsidR="00A3479F" w:rsidRDefault="00A3479F" w:rsidP="00A3479F">
      <w:pPr>
        <w:pStyle w:val="Body"/>
        <w:spacing w:after="0" w:line="240" w:lineRule="auto"/>
        <w:rPr>
          <w:rFonts w:ascii="Times New Roman" w:hAnsi="Times New Roman"/>
          <w:sz w:val="24"/>
          <w:szCs w:val="24"/>
          <w:lang w:val="en-US"/>
        </w:rPr>
      </w:pPr>
    </w:p>
    <w:p w14:paraId="66EECA5A" w14:textId="77777777" w:rsidR="00A3479F" w:rsidRDefault="00A3479F" w:rsidP="00A3479F">
      <w:pPr>
        <w:pStyle w:val="Body"/>
        <w:spacing w:after="0" w:line="240" w:lineRule="auto"/>
        <w:rPr>
          <w:rFonts w:ascii="Times New Roman" w:hAnsi="Times New Roman"/>
          <w:sz w:val="24"/>
          <w:szCs w:val="24"/>
          <w:lang w:val="en-US"/>
        </w:rPr>
      </w:pPr>
    </w:p>
    <w:p w14:paraId="71D5CFD6" w14:textId="77777777" w:rsidR="00A3479F" w:rsidRDefault="00A3479F" w:rsidP="00A3479F">
      <w:pPr>
        <w:pStyle w:val="Body"/>
        <w:spacing w:after="0" w:line="240" w:lineRule="auto"/>
        <w:rPr>
          <w:rFonts w:ascii="Times New Roman" w:hAnsi="Times New Roman"/>
          <w:sz w:val="24"/>
          <w:szCs w:val="24"/>
          <w:lang w:val="en-US"/>
        </w:rPr>
      </w:pPr>
    </w:p>
    <w:p w14:paraId="32932939" w14:textId="77777777" w:rsidR="00A3479F" w:rsidRDefault="00A3479F" w:rsidP="00A3479F">
      <w:pPr>
        <w:pStyle w:val="Body"/>
        <w:spacing w:after="0" w:line="240" w:lineRule="auto"/>
        <w:rPr>
          <w:rFonts w:ascii="Times New Roman" w:hAnsi="Times New Roman"/>
          <w:sz w:val="24"/>
          <w:szCs w:val="24"/>
          <w:lang w:val="en-US"/>
        </w:rPr>
      </w:pPr>
    </w:p>
    <w:p w14:paraId="52A13983" w14:textId="77777777" w:rsidR="00A3479F" w:rsidRDefault="00A3479F" w:rsidP="00A3479F">
      <w:pPr>
        <w:pStyle w:val="Body"/>
        <w:spacing w:after="0" w:line="240" w:lineRule="auto"/>
        <w:rPr>
          <w:rFonts w:ascii="Times New Roman" w:hAnsi="Times New Roman"/>
          <w:sz w:val="24"/>
          <w:szCs w:val="24"/>
          <w:lang w:val="en-US"/>
        </w:rPr>
      </w:pPr>
    </w:p>
    <w:p w14:paraId="0E282D36" w14:textId="77777777" w:rsidR="00A3479F" w:rsidRDefault="00A3479F" w:rsidP="00A3479F">
      <w:pPr>
        <w:pStyle w:val="Body"/>
        <w:spacing w:after="0" w:line="240" w:lineRule="auto"/>
        <w:rPr>
          <w:rFonts w:ascii="Times New Roman" w:hAnsi="Times New Roman"/>
          <w:sz w:val="24"/>
          <w:szCs w:val="24"/>
          <w:lang w:val="en-US"/>
        </w:rPr>
      </w:pPr>
    </w:p>
    <w:p w14:paraId="365B2332" w14:textId="77777777" w:rsidR="00A3479F" w:rsidRDefault="00A3479F" w:rsidP="00A3479F">
      <w:pPr>
        <w:pStyle w:val="Body"/>
        <w:spacing w:after="0" w:line="240" w:lineRule="auto"/>
        <w:rPr>
          <w:rFonts w:ascii="Times New Roman" w:hAnsi="Times New Roman"/>
          <w:sz w:val="24"/>
          <w:szCs w:val="24"/>
          <w:lang w:val="en-US"/>
        </w:rPr>
      </w:pPr>
    </w:p>
    <w:p w14:paraId="6161FFF1" w14:textId="77777777" w:rsidR="00A3479F" w:rsidRDefault="00A3479F" w:rsidP="00A3479F">
      <w:pPr>
        <w:pStyle w:val="Body"/>
        <w:spacing w:after="0" w:line="240" w:lineRule="auto"/>
        <w:rPr>
          <w:rFonts w:ascii="Times New Roman" w:hAnsi="Times New Roman"/>
          <w:sz w:val="24"/>
          <w:szCs w:val="24"/>
          <w:lang w:val="en-US"/>
        </w:rPr>
      </w:pPr>
    </w:p>
    <w:p w14:paraId="07A4A509" w14:textId="77777777" w:rsidR="00A3479F" w:rsidRDefault="00A3479F" w:rsidP="00A3479F">
      <w:pPr>
        <w:pStyle w:val="Body"/>
        <w:spacing w:after="0" w:line="240" w:lineRule="auto"/>
        <w:rPr>
          <w:rFonts w:ascii="Times New Roman" w:hAnsi="Times New Roman"/>
          <w:sz w:val="24"/>
          <w:szCs w:val="24"/>
          <w:lang w:val="en-US"/>
        </w:rPr>
      </w:pPr>
    </w:p>
    <w:p w14:paraId="525BEDA3" w14:textId="77777777" w:rsidR="00A3479F" w:rsidRDefault="00A3479F" w:rsidP="00A3479F">
      <w:pPr>
        <w:pStyle w:val="Body"/>
        <w:spacing w:after="0" w:line="240" w:lineRule="auto"/>
        <w:rPr>
          <w:rFonts w:ascii="Times New Roman" w:hAnsi="Times New Roman"/>
          <w:sz w:val="24"/>
          <w:szCs w:val="24"/>
          <w:lang w:val="en-US"/>
        </w:rPr>
      </w:pPr>
    </w:p>
    <w:p w14:paraId="2BB855DD" w14:textId="77777777" w:rsidR="00A3479F" w:rsidRDefault="00A3479F" w:rsidP="00A3479F">
      <w:pPr>
        <w:pStyle w:val="Body"/>
        <w:spacing w:after="0" w:line="240" w:lineRule="auto"/>
        <w:rPr>
          <w:rFonts w:ascii="Times New Roman" w:hAnsi="Times New Roman"/>
          <w:sz w:val="24"/>
          <w:szCs w:val="24"/>
          <w:lang w:val="en-US"/>
        </w:rPr>
      </w:pPr>
    </w:p>
    <w:p w14:paraId="59C2DC58" w14:textId="40A13869" w:rsidR="00A3479F" w:rsidRDefault="00A3479F" w:rsidP="00A3479F">
      <w:pPr>
        <w:pStyle w:val="Body"/>
        <w:spacing w:after="0" w:line="240" w:lineRule="auto"/>
        <w:rPr>
          <w:rFonts w:ascii="Times New Roman" w:hAnsi="Times New Roman"/>
          <w:sz w:val="24"/>
          <w:szCs w:val="24"/>
        </w:rPr>
      </w:pPr>
      <w:r>
        <w:rPr>
          <w:rFonts w:ascii="Times New Roman" w:hAnsi="Times New Roman"/>
          <w:sz w:val="24"/>
          <w:szCs w:val="24"/>
          <w:lang w:val="en-US"/>
        </w:rPr>
        <w:lastRenderedPageBreak/>
        <w:t xml:space="preserve">Supplementary Table </w:t>
      </w:r>
      <w:r w:rsidR="00F91A15">
        <w:rPr>
          <w:rFonts w:ascii="Times New Roman" w:hAnsi="Times New Roman"/>
          <w:sz w:val="24"/>
          <w:szCs w:val="24"/>
          <w:lang w:val="en-US"/>
        </w:rPr>
        <w:t>7</w:t>
      </w:r>
      <w:r>
        <w:rPr>
          <w:rFonts w:ascii="Times New Roman" w:hAnsi="Times New Roman"/>
          <w:sz w:val="24"/>
          <w:szCs w:val="24"/>
          <w:lang w:val="en-US"/>
        </w:rPr>
        <w:t xml:space="preserve">. Longitudinal association between risk adjustment (continuous exposure) at age 11 and </w:t>
      </w:r>
      <w:r w:rsidRPr="005C3522">
        <w:rPr>
          <w:rFonts w:ascii="Times New Roman" w:hAnsi="Times New Roman"/>
          <w:sz w:val="24"/>
          <w:szCs w:val="24"/>
          <w:lang w:val="en-US"/>
        </w:rPr>
        <w:t xml:space="preserve">depressive symptoms (continuous outcome) at age 14, </w:t>
      </w:r>
      <w:r>
        <w:rPr>
          <w:rFonts w:ascii="Times New Roman" w:hAnsi="Times New Roman"/>
          <w:sz w:val="24"/>
          <w:szCs w:val="24"/>
          <w:lang w:val="en-US"/>
        </w:rPr>
        <w:t>complete cases</w:t>
      </w:r>
      <w:r w:rsidR="00B17688">
        <w:rPr>
          <w:rFonts w:ascii="Times New Roman" w:hAnsi="Times New Roman"/>
          <w:sz w:val="24"/>
          <w:szCs w:val="24"/>
          <w:lang w:val="en-US"/>
        </w:rPr>
        <w:t xml:space="preserve"> (n=8418)</w:t>
      </w:r>
      <w:r w:rsidRPr="005C3522">
        <w:rPr>
          <w:rFonts w:ascii="Times New Roman" w:hAnsi="Times New Roman"/>
          <w:sz w:val="24"/>
          <w:szCs w:val="24"/>
        </w:rPr>
        <w:t>.</w:t>
      </w:r>
    </w:p>
    <w:p w14:paraId="238C0CBD" w14:textId="77777777" w:rsidR="00A3479F" w:rsidRDefault="00A3479F" w:rsidP="00A3479F">
      <w:pPr>
        <w:pStyle w:val="Body"/>
        <w:spacing w:after="0" w:line="240" w:lineRule="auto"/>
        <w:rPr>
          <w:rFonts w:ascii="Times New Roman" w:eastAsia="Times New Roman" w:hAnsi="Times New Roman" w:cs="Times New Roman"/>
          <w:sz w:val="24"/>
          <w:szCs w:val="24"/>
        </w:rPr>
      </w:pPr>
    </w:p>
    <w:tbl>
      <w:tblPr>
        <w:tblW w:w="98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846"/>
        <w:gridCol w:w="4911"/>
        <w:gridCol w:w="1095"/>
      </w:tblGrid>
      <w:tr w:rsidR="00A3479F" w:rsidRPr="00612427" w14:paraId="3C82EADB" w14:textId="77777777" w:rsidTr="00BF2D75">
        <w:trPr>
          <w:trHeight w:val="961"/>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1704C" w14:textId="77777777" w:rsidR="00A3479F" w:rsidRPr="00612427" w:rsidRDefault="00A3479F" w:rsidP="00BF2D75">
            <w:pPr>
              <w:pStyle w:val="Body"/>
              <w:jc w:val="center"/>
              <w:rPr>
                <w:rFonts w:ascii="Times New Roman" w:eastAsia="Times New Roman" w:hAnsi="Times New Roman" w:cs="Times New Roman"/>
                <w:lang w:val="en-US"/>
              </w:rPr>
            </w:pPr>
          </w:p>
          <w:p w14:paraId="53CDF1F1" w14:textId="77777777" w:rsidR="00A3479F" w:rsidRPr="00612427" w:rsidRDefault="00A3479F" w:rsidP="00BF2D75">
            <w:pPr>
              <w:pStyle w:val="Body"/>
              <w:spacing w:after="0" w:line="240" w:lineRule="auto"/>
              <w:jc w:val="center"/>
              <w:rPr>
                <w:rFonts w:ascii="Times New Roman" w:hAnsi="Times New Roman" w:cs="Times New Roman"/>
              </w:rPr>
            </w:pPr>
            <w:r>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tcPr>
          <w:p w14:paraId="1EC79EB1" w14:textId="77777777" w:rsidR="00A3479F" w:rsidRDefault="00A3479F" w:rsidP="00BF2D75">
            <w:pPr>
              <w:pStyle w:val="Body"/>
              <w:spacing w:after="0" w:line="240" w:lineRule="auto"/>
              <w:jc w:val="center"/>
              <w:rPr>
                <w:rFonts w:ascii="Times New Roman" w:hAnsi="Times New Roman" w:cs="Times New Roman"/>
                <w:lang w:val="en-US"/>
              </w:rPr>
            </w:pPr>
          </w:p>
          <w:p w14:paraId="6B1FB49B" w14:textId="77777777" w:rsidR="00A3479F" w:rsidRPr="00612427" w:rsidRDefault="00A3479F" w:rsidP="00BF2D75">
            <w:pPr>
              <w:pStyle w:val="Body"/>
              <w:spacing w:after="0" w:line="240" w:lineRule="auto"/>
              <w:jc w:val="center"/>
              <w:rPr>
                <w:rFonts w:ascii="Times New Roman" w:eastAsia="Times New Roman" w:hAnsi="Times New Roman" w:cs="Times New Roman"/>
                <w:lang w:val="en-US"/>
              </w:rPr>
            </w:pPr>
            <w:r>
              <w:rPr>
                <w:rFonts w:ascii="Times New Roman" w:hAnsi="Times New Roman" w:cs="Times New Roman"/>
                <w:lang w:val="en-US"/>
              </w:rPr>
              <w:t>MFQ change</w:t>
            </w:r>
            <w:r w:rsidRPr="00612427">
              <w:rPr>
                <w:rFonts w:ascii="Times New Roman" w:hAnsi="Times New Roman" w:cs="Times New Roman"/>
                <w:lang w:val="en-US"/>
              </w:rPr>
              <w:t xml:space="preserve"> for a 1-point increase in risk adjustment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08303" w14:textId="77777777" w:rsidR="00A3479F" w:rsidRPr="00612427" w:rsidRDefault="00A3479F" w:rsidP="00BF2D75">
            <w:pPr>
              <w:pStyle w:val="Body"/>
              <w:spacing w:after="0" w:line="240" w:lineRule="auto"/>
              <w:rPr>
                <w:rFonts w:ascii="Times New Roman" w:eastAsia="Times New Roman" w:hAnsi="Times New Roman" w:cs="Times New Roman"/>
                <w:lang w:val="en-US"/>
              </w:rPr>
            </w:pPr>
          </w:p>
          <w:p w14:paraId="238EE8BA"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rPr>
              <w:t>P value</w:t>
            </w:r>
          </w:p>
        </w:tc>
      </w:tr>
      <w:tr w:rsidR="00A3479F" w:rsidRPr="00612427" w14:paraId="2B5C7A5B"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B1BF"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Model 1</w:t>
            </w:r>
            <w:r>
              <w:rPr>
                <w:rFonts w:ascii="Times New Roman" w:hAnsi="Times New Roman" w:cs="Times New Roman"/>
                <w:lang w:val="en-US"/>
              </w:rPr>
              <w:t>a.</w:t>
            </w:r>
            <w:r w:rsidRPr="00612427">
              <w:rPr>
                <w:rFonts w:ascii="Times New Roman" w:hAnsi="Times New Roman" w:cs="Times New Roman"/>
                <w:lang w:val="en-US"/>
              </w:rPr>
              <w:t xml:space="preserve"> Univariable (n=</w:t>
            </w:r>
            <w:r w:rsidRPr="00612427">
              <w:rPr>
                <w:rFonts w:ascii="Times New Roman" w:hAnsi="Times New Roman" w:cs="Times New Roman"/>
              </w:rPr>
              <w:t xml:space="preserve"> </w:t>
            </w:r>
            <w:r w:rsidRPr="00612427">
              <w:rPr>
                <w:rFonts w:ascii="Times New Roman" w:hAnsi="Times New Roman" w:cs="Times New Roman"/>
                <w:lang w:val="en-US"/>
              </w:rPr>
              <w:t>8,418)</w:t>
            </w:r>
          </w:p>
        </w:tc>
        <w:tc>
          <w:tcPr>
            <w:tcW w:w="0" w:type="auto"/>
            <w:tcBorders>
              <w:top w:val="single" w:sz="4" w:space="0" w:color="000000"/>
              <w:left w:val="single" w:sz="4" w:space="0" w:color="000000"/>
              <w:bottom w:val="single" w:sz="4" w:space="0" w:color="000000"/>
              <w:right w:val="single" w:sz="4" w:space="0" w:color="000000"/>
            </w:tcBorders>
          </w:tcPr>
          <w:p w14:paraId="0247AC3B"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-.03 (-.18 to .12)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FD9F"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.666</w:t>
            </w:r>
          </w:p>
        </w:tc>
      </w:tr>
      <w:tr w:rsidR="00A3479F" w:rsidRPr="00612427" w14:paraId="096A3C91"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ECB61" w14:textId="3195F1BA"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1b.</w:t>
            </w:r>
            <w:r w:rsidRPr="00612427">
              <w:rPr>
                <w:rFonts w:ascii="Times New Roman" w:hAnsi="Times New Roman" w:cs="Times New Roman"/>
                <w:lang w:val="en-US"/>
              </w:rPr>
              <w:t xml:space="preserve"> Model 1</w:t>
            </w:r>
            <w:r w:rsidR="00D82892">
              <w:rPr>
                <w:rFonts w:ascii="Times New Roman" w:hAnsi="Times New Roman" w:cs="Times New Roman"/>
                <w:lang w:val="en-US"/>
              </w:rPr>
              <w:t>a</w:t>
            </w:r>
            <w:r w:rsidRPr="00612427">
              <w:rPr>
                <w:rFonts w:ascii="Times New Roman" w:hAnsi="Times New Roman" w:cs="Times New Roman"/>
                <w:lang w:val="en-US"/>
              </w:rPr>
              <w:t xml:space="preserve"> </w:t>
            </w:r>
            <w:proofErr w:type="spellStart"/>
            <w:r w:rsidRPr="00612427">
              <w:rPr>
                <w:rFonts w:ascii="Times New Roman" w:hAnsi="Times New Roman" w:cs="Times New Roman"/>
                <w:lang w:val="en-US"/>
              </w:rPr>
              <w:t>adjusted</w:t>
            </w:r>
            <w:r w:rsidRPr="00612427">
              <w:rPr>
                <w:rFonts w:ascii="Times New Roman" w:hAnsi="Times New Roman" w:cs="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395D054E"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.09 (-.07 to .25)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15C99"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.275</w:t>
            </w:r>
          </w:p>
        </w:tc>
      </w:tr>
      <w:tr w:rsidR="00A3479F" w:rsidRPr="00612427" w14:paraId="76DF60E2"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23821" w14:textId="70DD6BAA"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1c.</w:t>
            </w:r>
            <w:r w:rsidR="00D82892">
              <w:rPr>
                <w:rFonts w:ascii="Times New Roman" w:hAnsi="Times New Roman" w:cs="Times New Roman"/>
                <w:lang w:val="en-US"/>
              </w:rPr>
              <w:t xml:space="preserve"> Model 1b</w:t>
            </w:r>
            <w:r w:rsidRPr="00612427">
              <w:rPr>
                <w:rFonts w:ascii="Times New Roman" w:hAnsi="Times New Roman" w:cs="Times New Roman"/>
                <w:lang w:val="en-US"/>
              </w:rPr>
              <w:t xml:space="preserve"> adjusted for sex </w:t>
            </w:r>
          </w:p>
        </w:tc>
        <w:tc>
          <w:tcPr>
            <w:tcW w:w="0" w:type="auto"/>
            <w:tcBorders>
              <w:top w:val="single" w:sz="4" w:space="0" w:color="000000"/>
              <w:left w:val="single" w:sz="4" w:space="0" w:color="000000"/>
              <w:bottom w:val="single" w:sz="4" w:space="0" w:color="000000"/>
              <w:right w:val="single" w:sz="4" w:space="0" w:color="000000"/>
            </w:tcBorders>
          </w:tcPr>
          <w:p w14:paraId="29501F55"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.12 (-.03 to .28)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ED573"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.123</w:t>
            </w:r>
          </w:p>
        </w:tc>
      </w:tr>
      <w:tr w:rsidR="00A3479F" w:rsidRPr="00612427" w14:paraId="5FB8CEF9"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C293" w14:textId="77777777" w:rsidR="00A3479F" w:rsidRPr="00612427" w:rsidRDefault="00A3479F" w:rsidP="00BF2D75">
            <w:pPr>
              <w:jc w:val="center"/>
              <w:rPr>
                <w:sz w:val="22"/>
                <w:szCs w:val="22"/>
              </w:rPr>
            </w:pPr>
          </w:p>
          <w:p w14:paraId="4FF977B7" w14:textId="77777777" w:rsidR="00A3479F" w:rsidRPr="00612427" w:rsidRDefault="00A3479F" w:rsidP="00BF2D75">
            <w:pPr>
              <w:jc w:val="center"/>
              <w:rPr>
                <w:sz w:val="22"/>
                <w:szCs w:val="22"/>
              </w:rPr>
            </w:pPr>
            <w:r w:rsidRPr="00612427">
              <w:rPr>
                <w:sz w:val="22"/>
                <w:szCs w:val="22"/>
              </w:rPr>
              <w:t>Sub-group analyses by gender</w:t>
            </w:r>
          </w:p>
          <w:p w14:paraId="30727A21" w14:textId="77777777" w:rsidR="00A3479F" w:rsidRPr="00612427" w:rsidRDefault="00A3479F" w:rsidP="00BF2D75">
            <w:pPr>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32C404E1" w14:textId="77777777" w:rsidR="00A3479F" w:rsidRPr="00612427" w:rsidRDefault="00A3479F" w:rsidP="00BF2D75">
            <w:pPr>
              <w:jc w:val="center"/>
              <w:rPr>
                <w:sz w:val="22"/>
                <w:szCs w:val="22"/>
              </w:rPr>
            </w:pPr>
          </w:p>
          <w:p w14:paraId="24FBEAC1" w14:textId="77777777" w:rsidR="00A3479F" w:rsidRPr="00612427" w:rsidRDefault="00A3479F" w:rsidP="00BF2D75">
            <w:pPr>
              <w:jc w:val="center"/>
              <w:rPr>
                <w:sz w:val="22"/>
                <w:szCs w:val="22"/>
              </w:rPr>
            </w:pPr>
            <w:r>
              <w:rPr>
                <w:sz w:val="22"/>
                <w:szCs w:val="22"/>
              </w:rPr>
              <w:t>MFQ change</w:t>
            </w:r>
            <w:r w:rsidRPr="00612427">
              <w:rPr>
                <w:sz w:val="22"/>
                <w:szCs w:val="22"/>
              </w:rPr>
              <w:t xml:space="preserve"> for a 1-point increase in risk adjustment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BEBC" w14:textId="77777777" w:rsidR="00A3479F" w:rsidRPr="00612427" w:rsidRDefault="00A3479F" w:rsidP="00BF2D75">
            <w:pPr>
              <w:rPr>
                <w:sz w:val="22"/>
                <w:szCs w:val="22"/>
              </w:rPr>
            </w:pPr>
          </w:p>
          <w:p w14:paraId="46C71D38" w14:textId="77777777" w:rsidR="00A3479F" w:rsidRPr="00612427" w:rsidRDefault="00A3479F" w:rsidP="00BF2D75">
            <w:pPr>
              <w:rPr>
                <w:sz w:val="22"/>
                <w:szCs w:val="22"/>
              </w:rPr>
            </w:pPr>
            <w:r w:rsidRPr="00612427">
              <w:rPr>
                <w:sz w:val="22"/>
                <w:szCs w:val="22"/>
              </w:rPr>
              <w:t>P value</w:t>
            </w:r>
          </w:p>
        </w:tc>
      </w:tr>
      <w:tr w:rsidR="00A3479F" w:rsidRPr="00612427" w14:paraId="350A5372"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91A4C" w14:textId="77777777"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2a.</w:t>
            </w:r>
            <w:r w:rsidRPr="00612427">
              <w:rPr>
                <w:rFonts w:ascii="Times New Roman" w:hAnsi="Times New Roman" w:cs="Times New Roman"/>
                <w:lang w:val="en-US"/>
              </w:rPr>
              <w:t xml:space="preserve"> Univariable, females (n=4257)</w:t>
            </w:r>
          </w:p>
        </w:tc>
        <w:tc>
          <w:tcPr>
            <w:tcW w:w="0" w:type="auto"/>
            <w:tcBorders>
              <w:top w:val="single" w:sz="4" w:space="0" w:color="000000"/>
              <w:left w:val="single" w:sz="4" w:space="0" w:color="000000"/>
              <w:bottom w:val="single" w:sz="4" w:space="0" w:color="000000"/>
              <w:right w:val="single" w:sz="4" w:space="0" w:color="000000"/>
            </w:tcBorders>
          </w:tcPr>
          <w:p w14:paraId="3CA2A868"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-.03 (-.30 to .24)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36C9B"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.810</w:t>
            </w:r>
          </w:p>
        </w:tc>
      </w:tr>
      <w:tr w:rsidR="00A3479F" w:rsidRPr="00612427" w14:paraId="5F640BF5"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00DC9" w14:textId="77777777"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 xml:space="preserve">Model 2b. Model 2a </w:t>
            </w:r>
            <w:proofErr w:type="spellStart"/>
            <w:r>
              <w:rPr>
                <w:rFonts w:ascii="Times New Roman" w:hAnsi="Times New Roman" w:cs="Times New Roman"/>
                <w:lang w:val="en-US"/>
              </w:rPr>
              <w:t>adjusted</w:t>
            </w:r>
            <w:r w:rsidRPr="00612427">
              <w:rPr>
                <w:rFonts w:ascii="Times New Roman" w:hAnsi="Times New Roman" w:cs="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168DBBE7"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.07 (-.22 to .35)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4543"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.635</w:t>
            </w:r>
          </w:p>
        </w:tc>
      </w:tr>
      <w:tr w:rsidR="00A3479F" w:rsidRPr="00612427" w14:paraId="2454BB6E"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B9012" w14:textId="77777777" w:rsidR="00A3479F" w:rsidRDefault="00A3479F" w:rsidP="00BF2D75">
            <w:pPr>
              <w:pStyle w:val="Body"/>
              <w:spacing w:after="0" w:line="240" w:lineRule="auto"/>
              <w:rPr>
                <w:rFonts w:ascii="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Pr>
          <w:p w14:paraId="4E42C2C1" w14:textId="77777777" w:rsidR="00A3479F" w:rsidRPr="00612427" w:rsidRDefault="00A3479F" w:rsidP="00BF2D75">
            <w:pPr>
              <w:pStyle w:val="Body"/>
              <w:spacing w:after="0" w:line="240" w:lineRule="auto"/>
              <w:rPr>
                <w:rFonts w:ascii="Times New Roman" w:hAnsi="Times New Roman" w:cs="Times New Roman"/>
                <w:lang w:val="en-US"/>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3323" w14:textId="77777777" w:rsidR="00A3479F" w:rsidRPr="00612427" w:rsidRDefault="00A3479F" w:rsidP="00BF2D75">
            <w:pPr>
              <w:pStyle w:val="Body"/>
              <w:spacing w:after="0" w:line="240" w:lineRule="auto"/>
              <w:rPr>
                <w:rFonts w:ascii="Times New Roman" w:hAnsi="Times New Roman" w:cs="Times New Roman"/>
                <w:lang w:val="en-US"/>
              </w:rPr>
            </w:pPr>
          </w:p>
        </w:tc>
      </w:tr>
      <w:tr w:rsidR="00A3479F" w:rsidRPr="00612427" w14:paraId="0361F91A"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72C39" w14:textId="77777777"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Model 3a.</w:t>
            </w:r>
            <w:r w:rsidRPr="00612427">
              <w:rPr>
                <w:rFonts w:ascii="Times New Roman" w:hAnsi="Times New Roman" w:cs="Times New Roman"/>
                <w:lang w:val="en-US"/>
              </w:rPr>
              <w:t xml:space="preserve"> Univariable</w:t>
            </w:r>
            <w:r>
              <w:rPr>
                <w:rFonts w:ascii="Times New Roman" w:hAnsi="Times New Roman" w:cs="Times New Roman"/>
                <w:lang w:val="en-US"/>
              </w:rPr>
              <w:t>,</w:t>
            </w:r>
            <w:r w:rsidRPr="00612427">
              <w:rPr>
                <w:rFonts w:ascii="Times New Roman" w:hAnsi="Times New Roman" w:cs="Times New Roman"/>
                <w:lang w:val="en-US"/>
              </w:rPr>
              <w:t xml:space="preserve"> males (n=4161)</w:t>
            </w:r>
          </w:p>
        </w:tc>
        <w:tc>
          <w:tcPr>
            <w:tcW w:w="0" w:type="auto"/>
            <w:tcBorders>
              <w:top w:val="single" w:sz="4" w:space="0" w:color="000000"/>
              <w:left w:val="single" w:sz="4" w:space="0" w:color="000000"/>
              <w:bottom w:val="single" w:sz="4" w:space="0" w:color="000000"/>
              <w:right w:val="single" w:sz="4" w:space="0" w:color="000000"/>
            </w:tcBorders>
          </w:tcPr>
          <w:p w14:paraId="65586890"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.01 (-.15 to .18)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03EB2"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.858</w:t>
            </w:r>
          </w:p>
        </w:tc>
      </w:tr>
      <w:tr w:rsidR="00A3479F" w:rsidRPr="00612427" w14:paraId="0A4E8673" w14:textId="77777777" w:rsidTr="00BF2D75">
        <w:trPr>
          <w:trHeight w:val="300"/>
        </w:trPr>
        <w:tc>
          <w:tcPr>
            <w:tcW w:w="3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0407" w14:textId="77777777" w:rsidR="00A3479F" w:rsidRPr="00612427" w:rsidRDefault="00A3479F" w:rsidP="00BF2D75">
            <w:pPr>
              <w:pStyle w:val="Body"/>
              <w:spacing w:after="0" w:line="240" w:lineRule="auto"/>
              <w:rPr>
                <w:rFonts w:ascii="Times New Roman" w:hAnsi="Times New Roman" w:cs="Times New Roman"/>
              </w:rPr>
            </w:pPr>
            <w:r>
              <w:rPr>
                <w:rFonts w:ascii="Times New Roman" w:hAnsi="Times New Roman" w:cs="Times New Roman"/>
                <w:lang w:val="en-US"/>
              </w:rPr>
              <w:t xml:space="preserve">Model 3b. Model 3a </w:t>
            </w:r>
            <w:proofErr w:type="spellStart"/>
            <w:r>
              <w:rPr>
                <w:rFonts w:ascii="Times New Roman" w:hAnsi="Times New Roman" w:cs="Times New Roman"/>
                <w:lang w:val="en-US"/>
              </w:rPr>
              <w:t>adjusted</w:t>
            </w:r>
            <w:r w:rsidRPr="00612427">
              <w:rPr>
                <w:rFonts w:ascii="Times New Roman" w:hAnsi="Times New Roman" w:cs="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90D797B" w14:textId="77777777" w:rsidR="00A3479F" w:rsidRPr="00612427" w:rsidRDefault="00A3479F" w:rsidP="00BF2D75">
            <w:pPr>
              <w:pStyle w:val="Body"/>
              <w:spacing w:after="0" w:line="240" w:lineRule="auto"/>
              <w:rPr>
                <w:rFonts w:ascii="Times New Roman" w:hAnsi="Times New Roman" w:cs="Times New Roman"/>
                <w:lang w:val="en-US"/>
              </w:rPr>
            </w:pPr>
            <w:r w:rsidRPr="00612427">
              <w:rPr>
                <w:rFonts w:ascii="Times New Roman" w:hAnsi="Times New Roman" w:cs="Times New Roman"/>
                <w:lang w:val="en-US"/>
              </w:rPr>
              <w:t xml:space="preserve">.15 (-.01 to .32)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A1D9B" w14:textId="77777777" w:rsidR="00A3479F" w:rsidRPr="00612427" w:rsidRDefault="00A3479F" w:rsidP="00BF2D75">
            <w:pPr>
              <w:pStyle w:val="Body"/>
              <w:spacing w:after="0" w:line="240" w:lineRule="auto"/>
              <w:rPr>
                <w:rFonts w:ascii="Times New Roman" w:hAnsi="Times New Roman" w:cs="Times New Roman"/>
              </w:rPr>
            </w:pPr>
            <w:r w:rsidRPr="00612427">
              <w:rPr>
                <w:rFonts w:ascii="Times New Roman" w:hAnsi="Times New Roman" w:cs="Times New Roman"/>
                <w:lang w:val="en-US"/>
              </w:rPr>
              <w:t>.069</w:t>
            </w:r>
          </w:p>
        </w:tc>
      </w:tr>
    </w:tbl>
    <w:p w14:paraId="018893AB"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child age, child ethnicity, child IQ and </w:t>
      </w:r>
      <w:r>
        <w:rPr>
          <w:rFonts w:ascii="Times New Roman" w:hAnsi="Times New Roman"/>
          <w:sz w:val="20"/>
          <w:szCs w:val="20"/>
        </w:rPr>
        <w:t>SDQ</w:t>
      </w:r>
      <w:r>
        <w:rPr>
          <w:rFonts w:ascii="Times New Roman" w:hAnsi="Times New Roman"/>
          <w:sz w:val="20"/>
          <w:szCs w:val="20"/>
          <w:lang w:val="en-US"/>
        </w:rPr>
        <w:t xml:space="preserve"> total difficulties score.</w:t>
      </w:r>
    </w:p>
    <w:p w14:paraId="6F95A8D6" w14:textId="77777777" w:rsidR="00A3479F" w:rsidRDefault="00A3479F" w:rsidP="00A3479F">
      <w:pPr>
        <w:pStyle w:val="Body"/>
        <w:spacing w:after="0" w:line="240" w:lineRule="auto"/>
        <w:rPr>
          <w:rFonts w:ascii="Times New Roman" w:eastAsia="Times New Roman" w:hAnsi="Times New Roman" w:cs="Times New Roman"/>
          <w:sz w:val="20"/>
          <w:szCs w:val="20"/>
        </w:rPr>
      </w:pPr>
    </w:p>
    <w:p w14:paraId="5B7B0FE7" w14:textId="77777777" w:rsidR="00A3479F" w:rsidRDefault="00A3479F" w:rsidP="00A3479F">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c</w:t>
      </w:r>
      <w:r>
        <w:rPr>
          <w:rFonts w:ascii="Times New Roman" w:hAnsi="Times New Roman"/>
          <w:sz w:val="20"/>
          <w:szCs w:val="20"/>
          <w:lang w:val="en-US"/>
        </w:rPr>
        <w:t>Adjusted for the above confounders and, in addition, stage of breast development in females or stage of facial hair development in males.</w:t>
      </w:r>
    </w:p>
    <w:p w14:paraId="1B1E0788" w14:textId="77777777" w:rsidR="00A3479F" w:rsidRDefault="00A3479F" w:rsidP="00A3479F">
      <w:pPr>
        <w:rPr>
          <w:b/>
          <w:sz w:val="36"/>
          <w:szCs w:val="36"/>
        </w:rPr>
      </w:pPr>
    </w:p>
    <w:p w14:paraId="600E991E" w14:textId="77777777" w:rsidR="00A3479F" w:rsidRDefault="00A3479F" w:rsidP="009C1A85">
      <w:pPr>
        <w:pStyle w:val="Body"/>
        <w:spacing w:line="240" w:lineRule="auto"/>
        <w:rPr>
          <w:rFonts w:ascii="Times New Roman" w:hAnsi="Times New Roman"/>
          <w:b/>
          <w:sz w:val="36"/>
          <w:szCs w:val="36"/>
          <w:lang w:val="en-US"/>
        </w:rPr>
      </w:pPr>
    </w:p>
    <w:p w14:paraId="2B150CAF" w14:textId="77777777" w:rsidR="00A3479F" w:rsidRDefault="00A3479F" w:rsidP="009C1A85">
      <w:pPr>
        <w:pStyle w:val="Body"/>
        <w:spacing w:line="240" w:lineRule="auto"/>
        <w:rPr>
          <w:rFonts w:ascii="Times New Roman" w:hAnsi="Times New Roman"/>
          <w:b/>
          <w:sz w:val="36"/>
          <w:szCs w:val="36"/>
          <w:lang w:val="en-US"/>
        </w:rPr>
      </w:pPr>
    </w:p>
    <w:p w14:paraId="619467EB" w14:textId="77777777" w:rsidR="00A3479F" w:rsidRDefault="00A3479F" w:rsidP="009C1A85">
      <w:pPr>
        <w:pStyle w:val="Body"/>
        <w:spacing w:line="240" w:lineRule="auto"/>
        <w:rPr>
          <w:rFonts w:ascii="Times New Roman" w:hAnsi="Times New Roman"/>
          <w:b/>
          <w:sz w:val="36"/>
          <w:szCs w:val="36"/>
          <w:lang w:val="en-US"/>
        </w:rPr>
      </w:pPr>
    </w:p>
    <w:p w14:paraId="1563941D" w14:textId="77777777" w:rsidR="00A3479F" w:rsidRDefault="00A3479F" w:rsidP="009C1A85">
      <w:pPr>
        <w:pStyle w:val="Body"/>
        <w:spacing w:line="240" w:lineRule="auto"/>
        <w:rPr>
          <w:rFonts w:ascii="Times New Roman" w:hAnsi="Times New Roman"/>
          <w:b/>
          <w:sz w:val="36"/>
          <w:szCs w:val="36"/>
          <w:lang w:val="en-US"/>
        </w:rPr>
      </w:pPr>
    </w:p>
    <w:p w14:paraId="2835EC09" w14:textId="77777777" w:rsidR="00A3479F" w:rsidRDefault="00A3479F" w:rsidP="009C1A85">
      <w:pPr>
        <w:pStyle w:val="Body"/>
        <w:spacing w:line="240" w:lineRule="auto"/>
        <w:rPr>
          <w:rFonts w:ascii="Times New Roman" w:hAnsi="Times New Roman"/>
          <w:b/>
          <w:sz w:val="36"/>
          <w:szCs w:val="36"/>
          <w:lang w:val="en-US"/>
        </w:rPr>
      </w:pPr>
    </w:p>
    <w:p w14:paraId="37ACE465" w14:textId="77777777" w:rsidR="00A3479F" w:rsidRDefault="00A3479F" w:rsidP="009C1A85">
      <w:pPr>
        <w:pStyle w:val="Body"/>
        <w:spacing w:line="240" w:lineRule="auto"/>
        <w:rPr>
          <w:rFonts w:ascii="Times New Roman" w:hAnsi="Times New Roman"/>
          <w:b/>
          <w:sz w:val="36"/>
          <w:szCs w:val="36"/>
          <w:lang w:val="en-US"/>
        </w:rPr>
      </w:pPr>
    </w:p>
    <w:p w14:paraId="7EC2C955" w14:textId="77777777" w:rsidR="00A3479F" w:rsidRDefault="00A3479F" w:rsidP="009C1A85">
      <w:pPr>
        <w:pStyle w:val="Body"/>
        <w:spacing w:line="240" w:lineRule="auto"/>
        <w:rPr>
          <w:rFonts w:ascii="Times New Roman" w:hAnsi="Times New Roman"/>
          <w:b/>
          <w:sz w:val="36"/>
          <w:szCs w:val="36"/>
          <w:lang w:val="en-US"/>
        </w:rPr>
      </w:pPr>
    </w:p>
    <w:p w14:paraId="11B2CF7F" w14:textId="77777777" w:rsidR="00A3479F" w:rsidRDefault="00A3479F" w:rsidP="009C1A85">
      <w:pPr>
        <w:pStyle w:val="Body"/>
        <w:spacing w:line="240" w:lineRule="auto"/>
        <w:rPr>
          <w:rFonts w:ascii="Times New Roman" w:hAnsi="Times New Roman"/>
          <w:b/>
          <w:sz w:val="36"/>
          <w:szCs w:val="36"/>
          <w:lang w:val="en-US"/>
        </w:rPr>
      </w:pPr>
    </w:p>
    <w:p w14:paraId="13CEFA4E" w14:textId="77777777" w:rsidR="00A3479F" w:rsidRDefault="00A3479F" w:rsidP="009C1A85">
      <w:pPr>
        <w:pStyle w:val="Body"/>
        <w:spacing w:line="240" w:lineRule="auto"/>
        <w:rPr>
          <w:rFonts w:ascii="Times New Roman" w:hAnsi="Times New Roman"/>
          <w:b/>
          <w:sz w:val="36"/>
          <w:szCs w:val="36"/>
          <w:lang w:val="en-US"/>
        </w:rPr>
      </w:pPr>
    </w:p>
    <w:p w14:paraId="3DDCA430" w14:textId="381ED4D2" w:rsidR="00E76213" w:rsidRPr="00E76213" w:rsidRDefault="004F3C0C" w:rsidP="009C1A85">
      <w:pPr>
        <w:pStyle w:val="Body"/>
        <w:spacing w:line="240" w:lineRule="auto"/>
        <w:rPr>
          <w:rFonts w:ascii="Times New Roman" w:hAnsi="Times New Roman"/>
          <w:b/>
          <w:sz w:val="36"/>
          <w:szCs w:val="36"/>
          <w:lang w:val="en-US"/>
        </w:rPr>
      </w:pPr>
      <w:r>
        <w:rPr>
          <w:rFonts w:ascii="Times New Roman" w:hAnsi="Times New Roman"/>
          <w:b/>
          <w:sz w:val="36"/>
          <w:szCs w:val="36"/>
          <w:lang w:val="en-US"/>
        </w:rPr>
        <w:lastRenderedPageBreak/>
        <w:t>Imputed associations with risk taking</w:t>
      </w:r>
    </w:p>
    <w:p w14:paraId="1A4BC748" w14:textId="03FDE033" w:rsidR="009C1A85" w:rsidRDefault="00C0050B" w:rsidP="009C1A85">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Supplementary Table </w:t>
      </w:r>
      <w:r w:rsidR="00F91A15">
        <w:rPr>
          <w:rFonts w:ascii="Times New Roman" w:hAnsi="Times New Roman"/>
          <w:sz w:val="24"/>
          <w:szCs w:val="24"/>
          <w:lang w:val="en-US"/>
        </w:rPr>
        <w:t>8</w:t>
      </w:r>
      <w:r w:rsidR="009C1A85">
        <w:rPr>
          <w:rFonts w:ascii="Times New Roman" w:hAnsi="Times New Roman"/>
          <w:sz w:val="24"/>
          <w:szCs w:val="24"/>
          <w:lang w:val="en-US"/>
        </w:rPr>
        <w:t xml:space="preserve">. Cross-sectional associations between </w:t>
      </w:r>
      <w:r w:rsidR="00EA0133">
        <w:rPr>
          <w:rFonts w:ascii="Times New Roman" w:hAnsi="Times New Roman"/>
          <w:sz w:val="24"/>
          <w:szCs w:val="24"/>
          <w:lang w:val="en-US"/>
        </w:rPr>
        <w:t>risk taking</w:t>
      </w:r>
      <w:r w:rsidR="009C1A85">
        <w:rPr>
          <w:rFonts w:ascii="Times New Roman" w:hAnsi="Times New Roman"/>
          <w:sz w:val="24"/>
          <w:szCs w:val="24"/>
          <w:lang w:val="en-US"/>
        </w:rPr>
        <w:t xml:space="preserve"> (continuous exposure) </w:t>
      </w:r>
      <w:r w:rsidR="009C1A85" w:rsidRPr="005C3522">
        <w:rPr>
          <w:rFonts w:ascii="Times New Roman" w:hAnsi="Times New Roman"/>
          <w:sz w:val="24"/>
          <w:szCs w:val="24"/>
          <w:lang w:val="en-US"/>
        </w:rPr>
        <w:t>and emotional symptoms at age 11 (continuous outcome), multiply imputed</w:t>
      </w:r>
      <w:r w:rsidR="002954C6" w:rsidRPr="005C3522">
        <w:rPr>
          <w:rFonts w:ascii="Times New Roman" w:hAnsi="Times New Roman"/>
          <w:sz w:val="24"/>
          <w:szCs w:val="24"/>
          <w:lang w:val="en-US"/>
        </w:rPr>
        <w:t xml:space="preserve"> sample </w:t>
      </w:r>
      <w:r w:rsidR="00D82892">
        <w:rPr>
          <w:rFonts w:ascii="Times New Roman" w:hAnsi="Times New Roman"/>
          <w:sz w:val="24"/>
          <w:szCs w:val="24"/>
          <w:lang w:val="en-US"/>
        </w:rPr>
        <w:t>(n=12,355).</w:t>
      </w:r>
    </w:p>
    <w:tbl>
      <w:tblPr>
        <w:tblW w:w="96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890"/>
        <w:gridCol w:w="4799"/>
        <w:gridCol w:w="929"/>
      </w:tblGrid>
      <w:tr w:rsidR="00725B62" w:rsidRPr="0096045B" w14:paraId="1BAA07ED" w14:textId="54EB2862" w:rsidTr="009641B5">
        <w:trPr>
          <w:trHeight w:val="961"/>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D584" w14:textId="77777777" w:rsidR="00725B62" w:rsidRPr="0096045B" w:rsidRDefault="00725B62" w:rsidP="00057549">
            <w:pPr>
              <w:pStyle w:val="Body"/>
              <w:jc w:val="center"/>
              <w:rPr>
                <w:rFonts w:ascii="Times New Roman" w:eastAsia="Times New Roman" w:hAnsi="Times New Roman" w:cs="Times New Roman"/>
                <w:lang w:val="en-US"/>
              </w:rPr>
            </w:pPr>
          </w:p>
          <w:p w14:paraId="01942A49" w14:textId="1E8920DC" w:rsidR="00725B62" w:rsidRPr="0096045B" w:rsidRDefault="00B53E85" w:rsidP="00057549">
            <w:pPr>
              <w:pStyle w:val="Body"/>
              <w:spacing w:after="0" w:line="240" w:lineRule="auto"/>
              <w:jc w:val="center"/>
            </w:pPr>
            <w:r>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D344" w14:textId="77777777" w:rsidR="00725B62" w:rsidRPr="0096045B" w:rsidRDefault="00725B62" w:rsidP="00057549">
            <w:pPr>
              <w:pStyle w:val="Body"/>
              <w:spacing w:after="0" w:line="240" w:lineRule="auto"/>
              <w:jc w:val="center"/>
              <w:rPr>
                <w:rFonts w:ascii="Times New Roman" w:eastAsia="Times New Roman" w:hAnsi="Times New Roman" w:cs="Times New Roman"/>
                <w:lang w:val="en-US"/>
              </w:rPr>
            </w:pPr>
          </w:p>
          <w:p w14:paraId="688399A4" w14:textId="3EAA0B78" w:rsidR="00725B62" w:rsidRPr="0096045B" w:rsidRDefault="00725B62" w:rsidP="0008680F">
            <w:pPr>
              <w:pStyle w:val="Body"/>
              <w:spacing w:after="0" w:line="240" w:lineRule="auto"/>
              <w:jc w:val="center"/>
            </w:pPr>
            <w:r w:rsidRPr="0096045B">
              <w:rPr>
                <w:rFonts w:ascii="Times New Roman" w:hAnsi="Times New Roman"/>
                <w:lang w:val="en-US"/>
              </w:rPr>
              <w:t xml:space="preserve">SDQ </w:t>
            </w:r>
            <w:r w:rsidR="0008680F">
              <w:rPr>
                <w:rFonts w:ascii="Times New Roman" w:hAnsi="Times New Roman"/>
                <w:lang w:val="en-US"/>
              </w:rPr>
              <w:t xml:space="preserve">change </w:t>
            </w:r>
            <w:r w:rsidRPr="0096045B">
              <w:rPr>
                <w:rFonts w:ascii="Times New Roman" w:hAnsi="Times New Roman"/>
                <w:lang w:val="en-US"/>
              </w:rPr>
              <w:t>for a 20-point increase in risk taking</w:t>
            </w:r>
          </w:p>
        </w:tc>
        <w:tc>
          <w:tcPr>
            <w:tcW w:w="929" w:type="dxa"/>
            <w:tcBorders>
              <w:top w:val="single" w:sz="4" w:space="0" w:color="000000"/>
              <w:left w:val="single" w:sz="4" w:space="0" w:color="000000"/>
              <w:bottom w:val="single" w:sz="4" w:space="0" w:color="000000"/>
              <w:right w:val="single" w:sz="4" w:space="0" w:color="000000"/>
            </w:tcBorders>
          </w:tcPr>
          <w:p w14:paraId="2842FC83" w14:textId="77777777" w:rsidR="00AA302B" w:rsidRDefault="00AA302B" w:rsidP="00057549">
            <w:pPr>
              <w:pStyle w:val="Body"/>
              <w:spacing w:after="0" w:line="240" w:lineRule="auto"/>
              <w:jc w:val="center"/>
              <w:rPr>
                <w:rFonts w:ascii="Times New Roman" w:eastAsia="Times New Roman" w:hAnsi="Times New Roman" w:cs="Times New Roman"/>
                <w:lang w:val="en-US"/>
              </w:rPr>
            </w:pPr>
          </w:p>
          <w:p w14:paraId="5C792213" w14:textId="36AFDA9D" w:rsidR="00725B62" w:rsidRPr="0096045B" w:rsidRDefault="00725B62" w:rsidP="00057549">
            <w:pPr>
              <w:pStyle w:val="Body"/>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P value</w:t>
            </w:r>
          </w:p>
        </w:tc>
      </w:tr>
      <w:tr w:rsidR="00725B62" w:rsidRPr="0096045B" w14:paraId="1E201B8B" w14:textId="2E1D1104"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EDB13" w14:textId="1ACDCA66" w:rsidR="00725B62" w:rsidRPr="0096045B" w:rsidRDefault="00725B62" w:rsidP="00057549">
            <w:pPr>
              <w:pStyle w:val="Body"/>
              <w:spacing w:after="0" w:line="240" w:lineRule="auto"/>
            </w:pPr>
            <w:r w:rsidRPr="0096045B">
              <w:rPr>
                <w:rFonts w:ascii="Times New Roman" w:hAnsi="Times New Roman"/>
                <w:lang w:val="en-US"/>
              </w:rPr>
              <w:t>Model 1 Univariable (n=12,355</w:t>
            </w:r>
            <w:r>
              <w:rPr>
                <w:rFonts w:ascii="Times New Roman" w:hAnsi="Times New Roman"/>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748C9" w14:textId="40587D5D" w:rsidR="00725B62" w:rsidRPr="0096045B" w:rsidRDefault="00725B62" w:rsidP="00725B62">
            <w:pPr>
              <w:pStyle w:val="Body"/>
              <w:spacing w:after="0" w:line="240" w:lineRule="auto"/>
            </w:pPr>
            <w:r w:rsidRPr="0096045B">
              <w:rPr>
                <w:rFonts w:ascii="Times New Roman" w:hAnsi="Times New Roman"/>
                <w:lang w:val="en-US"/>
              </w:rPr>
              <w:t xml:space="preserve">-.01 (-.07 to .04) </w:t>
            </w:r>
          </w:p>
        </w:tc>
        <w:tc>
          <w:tcPr>
            <w:tcW w:w="929" w:type="dxa"/>
            <w:tcBorders>
              <w:top w:val="single" w:sz="4" w:space="0" w:color="000000"/>
              <w:left w:val="single" w:sz="4" w:space="0" w:color="000000"/>
              <w:bottom w:val="single" w:sz="4" w:space="0" w:color="000000"/>
              <w:right w:val="single" w:sz="4" w:space="0" w:color="000000"/>
            </w:tcBorders>
          </w:tcPr>
          <w:p w14:paraId="2C227F53" w14:textId="1DCE1E79" w:rsidR="00725B62" w:rsidRPr="0096045B" w:rsidRDefault="00725B62" w:rsidP="00057549">
            <w:pPr>
              <w:pStyle w:val="Body"/>
              <w:spacing w:after="0" w:line="240" w:lineRule="auto"/>
              <w:rPr>
                <w:rFonts w:ascii="Times New Roman" w:hAnsi="Times New Roman"/>
                <w:lang w:val="en-US"/>
              </w:rPr>
            </w:pPr>
            <w:r w:rsidRPr="0096045B">
              <w:rPr>
                <w:rFonts w:ascii="Times New Roman" w:hAnsi="Times New Roman"/>
                <w:lang w:val="en-US"/>
              </w:rPr>
              <w:t>.617</w:t>
            </w:r>
          </w:p>
        </w:tc>
      </w:tr>
      <w:tr w:rsidR="00725B62" w:rsidRPr="0096045B" w14:paraId="01A38181" w14:textId="427B67D2"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52C6" w14:textId="77777777" w:rsidR="00725B62" w:rsidRPr="0096045B" w:rsidRDefault="00725B62" w:rsidP="00057549">
            <w:pPr>
              <w:pStyle w:val="Body"/>
              <w:spacing w:after="0" w:line="240" w:lineRule="auto"/>
            </w:pPr>
            <w:r w:rsidRPr="0096045B">
              <w:rPr>
                <w:rFonts w:ascii="Times New Roman" w:hAnsi="Times New Roman"/>
                <w:lang w:val="en-US"/>
              </w:rPr>
              <w:t xml:space="preserve">Model 2: Model 1 </w:t>
            </w:r>
            <w:proofErr w:type="spellStart"/>
            <w:r w:rsidRPr="0096045B">
              <w:rPr>
                <w:rFonts w:ascii="Times New Roman" w:hAnsi="Times New Roman"/>
                <w:lang w:val="en-US"/>
              </w:rPr>
              <w:t>adjusted</w:t>
            </w:r>
            <w:r w:rsidRPr="0096045B">
              <w:rPr>
                <w:rFonts w:ascii="Times New Roman" w:hAnsi="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675E" w14:textId="64173B33" w:rsidR="00725B62" w:rsidRPr="0096045B" w:rsidRDefault="00725B62" w:rsidP="00725B62">
            <w:pPr>
              <w:pStyle w:val="Body"/>
              <w:spacing w:after="0" w:line="240" w:lineRule="auto"/>
            </w:pPr>
            <w:r w:rsidRPr="0096045B">
              <w:rPr>
                <w:rFonts w:ascii="Times New Roman" w:hAnsi="Times New Roman"/>
                <w:lang w:val="en-US"/>
              </w:rPr>
              <w:t xml:space="preserve">-.03 (-.08 to .02) </w:t>
            </w:r>
          </w:p>
        </w:tc>
        <w:tc>
          <w:tcPr>
            <w:tcW w:w="929" w:type="dxa"/>
            <w:tcBorders>
              <w:top w:val="single" w:sz="4" w:space="0" w:color="000000"/>
              <w:left w:val="single" w:sz="4" w:space="0" w:color="000000"/>
              <w:bottom w:val="single" w:sz="4" w:space="0" w:color="000000"/>
              <w:right w:val="single" w:sz="4" w:space="0" w:color="000000"/>
            </w:tcBorders>
          </w:tcPr>
          <w:p w14:paraId="134AC6DF" w14:textId="6A47095A" w:rsidR="00725B62" w:rsidRPr="0096045B" w:rsidRDefault="00725B62" w:rsidP="00057549">
            <w:pPr>
              <w:pStyle w:val="Body"/>
              <w:spacing w:after="0" w:line="240" w:lineRule="auto"/>
              <w:rPr>
                <w:rFonts w:ascii="Times New Roman" w:hAnsi="Times New Roman"/>
                <w:lang w:val="en-US"/>
              </w:rPr>
            </w:pPr>
            <w:r w:rsidRPr="0096045B">
              <w:rPr>
                <w:rFonts w:ascii="Times New Roman" w:hAnsi="Times New Roman"/>
                <w:lang w:val="en-US"/>
              </w:rPr>
              <w:t>.221</w:t>
            </w:r>
          </w:p>
        </w:tc>
      </w:tr>
      <w:tr w:rsidR="00725B62" w:rsidRPr="0096045B" w14:paraId="657A2831" w14:textId="36BC1BD9"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BEB2E" w14:textId="77777777" w:rsidR="00725B62" w:rsidRPr="0096045B" w:rsidRDefault="00725B62" w:rsidP="00057549">
            <w:pPr>
              <w:pStyle w:val="Body"/>
              <w:spacing w:after="0" w:line="240" w:lineRule="auto"/>
            </w:pPr>
            <w:r w:rsidRPr="0096045B">
              <w:rPr>
                <w:rFonts w:ascii="Times New Roman" w:hAnsi="Times New Roman"/>
                <w:lang w:val="en-US"/>
              </w:rPr>
              <w:t xml:space="preserve">Model 3: Model 2 adjusted for sex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4230" w14:textId="00C22C43" w:rsidR="00725B62" w:rsidRPr="0096045B" w:rsidRDefault="00725B62" w:rsidP="00725B62">
            <w:pPr>
              <w:pStyle w:val="Body"/>
              <w:spacing w:after="0" w:line="240" w:lineRule="auto"/>
            </w:pPr>
            <w:r w:rsidRPr="0096045B">
              <w:rPr>
                <w:rFonts w:ascii="Times New Roman" w:hAnsi="Times New Roman"/>
                <w:lang w:val="en-US"/>
              </w:rPr>
              <w:t xml:space="preserve">-.03 (-.08 to .03) </w:t>
            </w:r>
          </w:p>
        </w:tc>
        <w:tc>
          <w:tcPr>
            <w:tcW w:w="929" w:type="dxa"/>
            <w:tcBorders>
              <w:top w:val="single" w:sz="4" w:space="0" w:color="000000"/>
              <w:left w:val="single" w:sz="4" w:space="0" w:color="000000"/>
              <w:bottom w:val="single" w:sz="4" w:space="0" w:color="000000"/>
              <w:right w:val="single" w:sz="4" w:space="0" w:color="000000"/>
            </w:tcBorders>
          </w:tcPr>
          <w:p w14:paraId="69852E91" w14:textId="3428A523" w:rsidR="00725B62" w:rsidRPr="0096045B" w:rsidRDefault="00725B62" w:rsidP="00057549">
            <w:pPr>
              <w:pStyle w:val="Body"/>
              <w:spacing w:after="0" w:line="240" w:lineRule="auto"/>
              <w:rPr>
                <w:rFonts w:ascii="Times New Roman" w:hAnsi="Times New Roman"/>
                <w:lang w:val="en-US"/>
              </w:rPr>
            </w:pPr>
            <w:r w:rsidRPr="0096045B">
              <w:rPr>
                <w:rFonts w:ascii="Times New Roman" w:hAnsi="Times New Roman"/>
                <w:lang w:val="en-US"/>
              </w:rPr>
              <w:t>.320</w:t>
            </w:r>
          </w:p>
        </w:tc>
      </w:tr>
      <w:tr w:rsidR="00725B62" w:rsidRPr="0096045B" w14:paraId="4264365E" w14:textId="35586F9B"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4BD3" w14:textId="77777777" w:rsidR="00725B62" w:rsidRDefault="00725B62" w:rsidP="0096045B">
            <w:pPr>
              <w:jc w:val="center"/>
              <w:rPr>
                <w:sz w:val="22"/>
                <w:szCs w:val="22"/>
              </w:rPr>
            </w:pPr>
          </w:p>
          <w:p w14:paraId="7F1C5301" w14:textId="77777777" w:rsidR="00725B62" w:rsidRPr="0096045B" w:rsidRDefault="00725B62" w:rsidP="0096045B">
            <w:pPr>
              <w:jc w:val="center"/>
              <w:rPr>
                <w:sz w:val="22"/>
                <w:szCs w:val="22"/>
              </w:rPr>
            </w:pPr>
            <w:r w:rsidRPr="0096045B">
              <w:rPr>
                <w:sz w:val="22"/>
                <w:szCs w:val="22"/>
              </w:rPr>
              <w:t>Sub-group analyses by gender</w:t>
            </w:r>
          </w:p>
          <w:p w14:paraId="1A64CA47" w14:textId="77777777" w:rsidR="00725B62" w:rsidRPr="0096045B" w:rsidRDefault="00725B62" w:rsidP="00057549">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BA6A" w14:textId="77777777" w:rsidR="00725B62" w:rsidRDefault="00725B62" w:rsidP="0096045B">
            <w:pPr>
              <w:jc w:val="center"/>
              <w:rPr>
                <w:sz w:val="22"/>
                <w:szCs w:val="22"/>
              </w:rPr>
            </w:pPr>
          </w:p>
          <w:p w14:paraId="27B0BD8B" w14:textId="02501B5A" w:rsidR="00725B62" w:rsidRPr="0096045B" w:rsidRDefault="0008680F" w:rsidP="0096045B">
            <w:pPr>
              <w:jc w:val="center"/>
              <w:rPr>
                <w:sz w:val="22"/>
                <w:szCs w:val="22"/>
              </w:rPr>
            </w:pPr>
            <w:r>
              <w:rPr>
                <w:sz w:val="22"/>
                <w:szCs w:val="22"/>
              </w:rPr>
              <w:t>SDQ change</w:t>
            </w:r>
            <w:r w:rsidR="00725B62" w:rsidRPr="0096045B">
              <w:rPr>
                <w:sz w:val="22"/>
                <w:szCs w:val="22"/>
              </w:rPr>
              <w:t xml:space="preserve"> for a 20-point increase in risk taking</w:t>
            </w:r>
          </w:p>
        </w:tc>
        <w:tc>
          <w:tcPr>
            <w:tcW w:w="929" w:type="dxa"/>
            <w:tcBorders>
              <w:top w:val="single" w:sz="4" w:space="0" w:color="000000"/>
              <w:left w:val="single" w:sz="4" w:space="0" w:color="000000"/>
              <w:bottom w:val="single" w:sz="4" w:space="0" w:color="000000"/>
              <w:right w:val="single" w:sz="4" w:space="0" w:color="000000"/>
            </w:tcBorders>
          </w:tcPr>
          <w:p w14:paraId="1E5AD72F" w14:textId="77777777" w:rsidR="00033EA3" w:rsidRDefault="00033EA3" w:rsidP="0096045B">
            <w:pPr>
              <w:jc w:val="center"/>
              <w:rPr>
                <w:sz w:val="22"/>
                <w:szCs w:val="22"/>
              </w:rPr>
            </w:pPr>
          </w:p>
          <w:p w14:paraId="1CBE5B9C" w14:textId="6C29E59E" w:rsidR="00725B62" w:rsidRDefault="00033EA3" w:rsidP="0096045B">
            <w:pPr>
              <w:jc w:val="center"/>
              <w:rPr>
                <w:sz w:val="22"/>
                <w:szCs w:val="22"/>
              </w:rPr>
            </w:pPr>
            <w:r>
              <w:rPr>
                <w:sz w:val="22"/>
                <w:szCs w:val="22"/>
              </w:rPr>
              <w:t>P value</w:t>
            </w:r>
          </w:p>
        </w:tc>
      </w:tr>
      <w:tr w:rsidR="00725B62" w:rsidRPr="0096045B" w14:paraId="5F164710" w14:textId="4DCD4264"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688D2" w14:textId="4F4BEC55" w:rsidR="00725B62" w:rsidRPr="0096045B" w:rsidRDefault="00725B62" w:rsidP="00057549">
            <w:pPr>
              <w:pStyle w:val="Body"/>
              <w:spacing w:after="0" w:line="240" w:lineRule="auto"/>
            </w:pPr>
            <w:r w:rsidRPr="0096045B">
              <w:rPr>
                <w:rFonts w:ascii="Times New Roman" w:hAnsi="Times New Roman"/>
                <w:lang w:val="en-US"/>
              </w:rPr>
              <w:t>Model 4: Univariable, females</w:t>
            </w:r>
            <w:r>
              <w:rPr>
                <w:rFonts w:ascii="Times New Roman" w:hAnsi="Times New Roman"/>
                <w:lang w:val="en-US"/>
              </w:rPr>
              <w:t xml:space="preserve"> (n=6144)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B9D81" w14:textId="7A146F83" w:rsidR="00725B62" w:rsidRPr="0096045B" w:rsidRDefault="00725B62" w:rsidP="00725B62">
            <w:pPr>
              <w:pStyle w:val="Body"/>
              <w:spacing w:after="0" w:line="240" w:lineRule="auto"/>
            </w:pPr>
            <w:r w:rsidRPr="0096045B">
              <w:rPr>
                <w:rFonts w:ascii="Times New Roman" w:hAnsi="Times New Roman"/>
                <w:lang w:val="en-US"/>
              </w:rPr>
              <w:t xml:space="preserve">.02 (-.05 to .10) </w:t>
            </w:r>
          </w:p>
        </w:tc>
        <w:tc>
          <w:tcPr>
            <w:tcW w:w="929" w:type="dxa"/>
            <w:tcBorders>
              <w:top w:val="single" w:sz="4" w:space="0" w:color="000000"/>
              <w:left w:val="single" w:sz="4" w:space="0" w:color="000000"/>
              <w:bottom w:val="single" w:sz="4" w:space="0" w:color="000000"/>
              <w:right w:val="single" w:sz="4" w:space="0" w:color="000000"/>
            </w:tcBorders>
          </w:tcPr>
          <w:p w14:paraId="5678E48C" w14:textId="7D06E428" w:rsidR="00725B62" w:rsidRPr="0096045B" w:rsidRDefault="00725B62" w:rsidP="00057549">
            <w:pPr>
              <w:pStyle w:val="Body"/>
              <w:spacing w:after="0" w:line="240" w:lineRule="auto"/>
              <w:rPr>
                <w:rFonts w:ascii="Times New Roman" w:hAnsi="Times New Roman"/>
                <w:lang w:val="en-US"/>
              </w:rPr>
            </w:pPr>
            <w:r w:rsidRPr="0096045B">
              <w:rPr>
                <w:rFonts w:ascii="Times New Roman" w:hAnsi="Times New Roman"/>
                <w:lang w:val="en-US"/>
              </w:rPr>
              <w:t>.522</w:t>
            </w:r>
          </w:p>
        </w:tc>
      </w:tr>
      <w:tr w:rsidR="00725B62" w:rsidRPr="0096045B" w14:paraId="0A992BD6" w14:textId="76E4B01D"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0B8C" w14:textId="3AEDBD8E" w:rsidR="00725B62" w:rsidRPr="0096045B" w:rsidRDefault="0008680F" w:rsidP="0096045B">
            <w:pPr>
              <w:pStyle w:val="Body"/>
              <w:spacing w:after="0" w:line="240" w:lineRule="auto"/>
            </w:pPr>
            <w:r>
              <w:rPr>
                <w:rFonts w:ascii="Times New Roman" w:hAnsi="Times New Roman"/>
                <w:lang w:val="en-US"/>
              </w:rPr>
              <w:t>Model 5</w:t>
            </w:r>
            <w:r w:rsidR="00725B62">
              <w:rPr>
                <w:rFonts w:ascii="Times New Roman" w:hAnsi="Times New Roman"/>
                <w:lang w:val="en-US"/>
              </w:rPr>
              <w:t xml:space="preserve">: Model 4 </w:t>
            </w:r>
            <w:proofErr w:type="spellStart"/>
            <w:r w:rsidR="00725B62">
              <w:rPr>
                <w:rFonts w:ascii="Times New Roman" w:hAnsi="Times New Roman"/>
                <w:lang w:val="en-US"/>
              </w:rPr>
              <w:t>adjusted</w:t>
            </w:r>
            <w:r w:rsidR="00725B62" w:rsidRPr="0096045B">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4F8CA" w14:textId="006BB6D1" w:rsidR="00725B62" w:rsidRPr="0096045B" w:rsidRDefault="00725B62" w:rsidP="00725B62">
            <w:pPr>
              <w:pStyle w:val="Body"/>
              <w:spacing w:after="0" w:line="240" w:lineRule="auto"/>
            </w:pPr>
            <w:r w:rsidRPr="0096045B">
              <w:rPr>
                <w:rFonts w:ascii="Times New Roman" w:hAnsi="Times New Roman"/>
                <w:lang w:val="en-US"/>
              </w:rPr>
              <w:t xml:space="preserve">-.03 (-.09 to .04) </w:t>
            </w:r>
          </w:p>
        </w:tc>
        <w:tc>
          <w:tcPr>
            <w:tcW w:w="929" w:type="dxa"/>
            <w:tcBorders>
              <w:top w:val="single" w:sz="4" w:space="0" w:color="000000"/>
              <w:left w:val="single" w:sz="4" w:space="0" w:color="000000"/>
              <w:bottom w:val="single" w:sz="4" w:space="0" w:color="000000"/>
              <w:right w:val="single" w:sz="4" w:space="0" w:color="000000"/>
            </w:tcBorders>
          </w:tcPr>
          <w:p w14:paraId="3E453FE5" w14:textId="3F512C8B" w:rsidR="00725B62" w:rsidRPr="0096045B" w:rsidRDefault="00725B62" w:rsidP="0096045B">
            <w:pPr>
              <w:pStyle w:val="Body"/>
              <w:spacing w:after="0" w:line="240" w:lineRule="auto"/>
              <w:rPr>
                <w:rFonts w:ascii="Times New Roman" w:hAnsi="Times New Roman"/>
                <w:lang w:val="en-US"/>
              </w:rPr>
            </w:pPr>
            <w:r w:rsidRPr="0096045B">
              <w:rPr>
                <w:rFonts w:ascii="Times New Roman" w:hAnsi="Times New Roman"/>
                <w:lang w:val="en-US"/>
              </w:rPr>
              <w:t>.445</w:t>
            </w:r>
          </w:p>
        </w:tc>
      </w:tr>
      <w:tr w:rsidR="00725B62" w:rsidRPr="0096045B" w14:paraId="78FB38E4" w14:textId="01B11BAC"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36B0A" w14:textId="77777777" w:rsidR="00725B62" w:rsidRPr="0096045B" w:rsidRDefault="00725B62" w:rsidP="0096045B">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E1E40" w14:textId="77777777" w:rsidR="00725B62" w:rsidRPr="0096045B" w:rsidRDefault="00725B62" w:rsidP="0096045B">
            <w:pPr>
              <w:rPr>
                <w:sz w:val="22"/>
                <w:szCs w:val="22"/>
              </w:rPr>
            </w:pPr>
          </w:p>
        </w:tc>
        <w:tc>
          <w:tcPr>
            <w:tcW w:w="929" w:type="dxa"/>
            <w:tcBorders>
              <w:top w:val="single" w:sz="4" w:space="0" w:color="000000"/>
              <w:left w:val="single" w:sz="4" w:space="0" w:color="000000"/>
              <w:bottom w:val="single" w:sz="4" w:space="0" w:color="000000"/>
              <w:right w:val="single" w:sz="4" w:space="0" w:color="000000"/>
            </w:tcBorders>
          </w:tcPr>
          <w:p w14:paraId="027F430B" w14:textId="77777777" w:rsidR="00725B62" w:rsidRPr="0096045B" w:rsidRDefault="00725B62" w:rsidP="0096045B">
            <w:pPr>
              <w:rPr>
                <w:sz w:val="22"/>
                <w:szCs w:val="22"/>
              </w:rPr>
            </w:pPr>
          </w:p>
        </w:tc>
      </w:tr>
      <w:tr w:rsidR="00725B62" w:rsidRPr="0096045B" w14:paraId="39F58535" w14:textId="673BC142"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27325" w14:textId="547BBF2E" w:rsidR="00725B62" w:rsidRPr="0096045B" w:rsidRDefault="0008680F" w:rsidP="0096045B">
            <w:pPr>
              <w:pStyle w:val="Body"/>
              <w:spacing w:after="0" w:line="240" w:lineRule="auto"/>
            </w:pPr>
            <w:r>
              <w:rPr>
                <w:rFonts w:ascii="Times New Roman" w:hAnsi="Times New Roman"/>
                <w:lang w:val="en-US"/>
              </w:rPr>
              <w:t>Model 6</w:t>
            </w:r>
            <w:r w:rsidR="00725B62" w:rsidRPr="0096045B">
              <w:rPr>
                <w:rFonts w:ascii="Times New Roman" w:hAnsi="Times New Roman"/>
                <w:lang w:val="en-US"/>
              </w:rPr>
              <w:t>: Univariable males</w:t>
            </w:r>
            <w:r w:rsidR="00725B62">
              <w:rPr>
                <w:rFonts w:ascii="Times New Roman" w:hAnsi="Times New Roman"/>
                <w:lang w:val="en-US"/>
              </w:rPr>
              <w:t xml:space="preserve"> (n=6211)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83712" w14:textId="3C41489C" w:rsidR="00725B62" w:rsidRPr="0096045B" w:rsidRDefault="00725B62" w:rsidP="00725B62">
            <w:pPr>
              <w:pStyle w:val="Body"/>
              <w:spacing w:after="0" w:line="240" w:lineRule="auto"/>
            </w:pPr>
            <w:r w:rsidRPr="0096045B">
              <w:rPr>
                <w:rFonts w:ascii="Times New Roman" w:hAnsi="Times New Roman"/>
                <w:lang w:val="en-US"/>
              </w:rPr>
              <w:t xml:space="preserve">.02 (-.06 to .09) </w:t>
            </w:r>
          </w:p>
        </w:tc>
        <w:tc>
          <w:tcPr>
            <w:tcW w:w="929" w:type="dxa"/>
            <w:tcBorders>
              <w:top w:val="single" w:sz="4" w:space="0" w:color="000000"/>
              <w:left w:val="single" w:sz="4" w:space="0" w:color="000000"/>
              <w:bottom w:val="single" w:sz="4" w:space="0" w:color="000000"/>
              <w:right w:val="single" w:sz="4" w:space="0" w:color="000000"/>
            </w:tcBorders>
          </w:tcPr>
          <w:p w14:paraId="7A71DDA8" w14:textId="2F8B4EF5" w:rsidR="00725B62" w:rsidRPr="0096045B" w:rsidRDefault="00725B62" w:rsidP="0096045B">
            <w:pPr>
              <w:pStyle w:val="Body"/>
              <w:spacing w:after="0" w:line="240" w:lineRule="auto"/>
              <w:rPr>
                <w:rFonts w:ascii="Times New Roman" w:hAnsi="Times New Roman"/>
                <w:lang w:val="en-US"/>
              </w:rPr>
            </w:pPr>
            <w:r w:rsidRPr="0096045B">
              <w:rPr>
                <w:rFonts w:ascii="Times New Roman" w:hAnsi="Times New Roman"/>
                <w:lang w:val="en-US"/>
              </w:rPr>
              <w:t>.646</w:t>
            </w:r>
          </w:p>
        </w:tc>
      </w:tr>
      <w:tr w:rsidR="00725B62" w:rsidRPr="0096045B" w14:paraId="0B0A929E" w14:textId="7D5162AD" w:rsidTr="009641B5">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409AA" w14:textId="6F984BF9" w:rsidR="00725B62" w:rsidRPr="0096045B" w:rsidRDefault="00725B62" w:rsidP="0096045B">
            <w:pPr>
              <w:pStyle w:val="Body"/>
              <w:spacing w:after="0" w:line="240" w:lineRule="auto"/>
            </w:pPr>
            <w:r>
              <w:rPr>
                <w:rFonts w:ascii="Times New Roman" w:hAnsi="Times New Roman"/>
                <w:lang w:val="en-US"/>
              </w:rPr>
              <w:t xml:space="preserve">Model 7: Model 6 </w:t>
            </w:r>
            <w:proofErr w:type="spellStart"/>
            <w:r>
              <w:rPr>
                <w:rFonts w:ascii="Times New Roman" w:hAnsi="Times New Roman"/>
                <w:lang w:val="en-US"/>
              </w:rPr>
              <w:t>adjusted</w:t>
            </w:r>
            <w:r w:rsidRPr="0096045B">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7635" w14:textId="60854542" w:rsidR="00725B62" w:rsidRPr="0096045B" w:rsidRDefault="00725B62" w:rsidP="00725B62">
            <w:pPr>
              <w:pStyle w:val="Body"/>
              <w:spacing w:after="0" w:line="240" w:lineRule="auto"/>
            </w:pPr>
            <w:r w:rsidRPr="0096045B">
              <w:rPr>
                <w:rFonts w:ascii="Times New Roman" w:hAnsi="Times New Roman"/>
                <w:lang w:val="en-US"/>
              </w:rPr>
              <w:t xml:space="preserve">-.03 (-.10 to .05) </w:t>
            </w:r>
          </w:p>
        </w:tc>
        <w:tc>
          <w:tcPr>
            <w:tcW w:w="929" w:type="dxa"/>
            <w:tcBorders>
              <w:top w:val="single" w:sz="4" w:space="0" w:color="000000"/>
              <w:left w:val="single" w:sz="4" w:space="0" w:color="000000"/>
              <w:bottom w:val="single" w:sz="4" w:space="0" w:color="000000"/>
              <w:right w:val="single" w:sz="4" w:space="0" w:color="000000"/>
            </w:tcBorders>
          </w:tcPr>
          <w:p w14:paraId="36436F60" w14:textId="73BED615" w:rsidR="00725B62" w:rsidRPr="0096045B" w:rsidRDefault="00725B62" w:rsidP="0096045B">
            <w:pPr>
              <w:pStyle w:val="Body"/>
              <w:spacing w:after="0" w:line="240" w:lineRule="auto"/>
              <w:rPr>
                <w:rFonts w:ascii="Times New Roman" w:hAnsi="Times New Roman"/>
                <w:lang w:val="en-US"/>
              </w:rPr>
            </w:pPr>
            <w:r w:rsidRPr="0096045B">
              <w:rPr>
                <w:rFonts w:ascii="Times New Roman" w:hAnsi="Times New Roman"/>
                <w:lang w:val="en-US"/>
              </w:rPr>
              <w:t>.481</w:t>
            </w:r>
          </w:p>
        </w:tc>
      </w:tr>
    </w:tbl>
    <w:p w14:paraId="2FA77631" w14:textId="77777777" w:rsidR="009C1A85" w:rsidRDefault="009C1A85" w:rsidP="009C1A85">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child age, child ethnicity, child IQ,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w:t>
      </w:r>
    </w:p>
    <w:p w14:paraId="466DF185" w14:textId="77777777" w:rsidR="009C1A85" w:rsidRDefault="009C1A85" w:rsidP="009C1A85">
      <w:pPr>
        <w:pStyle w:val="Body"/>
        <w:spacing w:after="0" w:line="240" w:lineRule="auto"/>
        <w:rPr>
          <w:rFonts w:ascii="Times New Roman" w:eastAsia="Times New Roman" w:hAnsi="Times New Roman" w:cs="Times New Roman"/>
          <w:sz w:val="20"/>
          <w:szCs w:val="20"/>
        </w:rPr>
      </w:pPr>
    </w:p>
    <w:p w14:paraId="02D74C3E" w14:textId="4FDC028E" w:rsidR="009C1A85" w:rsidRDefault="009C1A85" w:rsidP="009C1A85">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b</w:t>
      </w:r>
      <w:r>
        <w:rPr>
          <w:rFonts w:ascii="Times New Roman" w:hAnsi="Times New Roman"/>
          <w:sz w:val="20"/>
          <w:szCs w:val="20"/>
          <w:lang w:val="en-US"/>
        </w:rPr>
        <w:t xml:space="preserve">Adjusted for the above confounders and, in addition, stage of breast development in females and </w:t>
      </w:r>
      <w:r w:rsidR="00C11C56">
        <w:rPr>
          <w:rFonts w:ascii="Times New Roman" w:hAnsi="Times New Roman"/>
          <w:sz w:val="20"/>
          <w:szCs w:val="20"/>
          <w:lang w:val="en-US"/>
        </w:rPr>
        <w:t xml:space="preserve">stage of </w:t>
      </w:r>
      <w:r>
        <w:rPr>
          <w:rFonts w:ascii="Times New Roman" w:hAnsi="Times New Roman"/>
          <w:sz w:val="20"/>
          <w:szCs w:val="20"/>
          <w:lang w:val="en-US"/>
        </w:rPr>
        <w:t>facial hair development in males.</w:t>
      </w:r>
    </w:p>
    <w:p w14:paraId="1894A098" w14:textId="77777777" w:rsidR="009C1A85" w:rsidRDefault="009C1A85" w:rsidP="009C1A85">
      <w:pPr>
        <w:pStyle w:val="Body"/>
        <w:spacing w:after="0" w:line="240" w:lineRule="auto"/>
        <w:rPr>
          <w:rFonts w:ascii="Times New Roman" w:eastAsia="Times New Roman" w:hAnsi="Times New Roman" w:cs="Times New Roman"/>
          <w:sz w:val="20"/>
          <w:szCs w:val="20"/>
        </w:rPr>
      </w:pPr>
    </w:p>
    <w:p w14:paraId="18E1B84C" w14:textId="77777777" w:rsidR="009C1A85" w:rsidRDefault="009C1A85" w:rsidP="009C1A85">
      <w:pPr>
        <w:pStyle w:val="Body"/>
        <w:spacing w:after="0" w:line="240" w:lineRule="auto"/>
        <w:rPr>
          <w:rFonts w:ascii="Times New Roman" w:eastAsia="Times New Roman" w:hAnsi="Times New Roman" w:cs="Times New Roman"/>
          <w:sz w:val="20"/>
          <w:szCs w:val="20"/>
        </w:rPr>
      </w:pPr>
    </w:p>
    <w:p w14:paraId="2667F442" w14:textId="77777777" w:rsidR="009C1A85" w:rsidRDefault="009C1A85" w:rsidP="009C1A85">
      <w:pPr>
        <w:pStyle w:val="Body"/>
        <w:spacing w:line="240" w:lineRule="auto"/>
        <w:rPr>
          <w:rFonts w:ascii="Times New Roman" w:eastAsia="Times New Roman" w:hAnsi="Times New Roman" w:cs="Times New Roman"/>
          <w:sz w:val="24"/>
          <w:szCs w:val="24"/>
        </w:rPr>
      </w:pPr>
    </w:p>
    <w:p w14:paraId="7D1247BD" w14:textId="587A3E75" w:rsidR="009C1A85" w:rsidRDefault="009C1A85" w:rsidP="009C1A85">
      <w:pPr>
        <w:pStyle w:val="Body"/>
        <w:spacing w:line="240" w:lineRule="auto"/>
        <w:rPr>
          <w:rFonts w:ascii="Times New Roman" w:hAnsi="Times New Roman"/>
          <w:sz w:val="24"/>
          <w:szCs w:val="24"/>
          <w:lang w:val="en-US"/>
        </w:rPr>
      </w:pPr>
    </w:p>
    <w:p w14:paraId="41570D9A" w14:textId="77777777" w:rsidR="009C1A85" w:rsidRDefault="009C1A85" w:rsidP="009C1A85">
      <w:pPr>
        <w:pStyle w:val="Body"/>
        <w:spacing w:line="240" w:lineRule="auto"/>
        <w:rPr>
          <w:rFonts w:ascii="Times New Roman" w:hAnsi="Times New Roman"/>
          <w:sz w:val="24"/>
          <w:szCs w:val="24"/>
          <w:lang w:val="en-US"/>
        </w:rPr>
      </w:pPr>
    </w:p>
    <w:p w14:paraId="43B1B52C" w14:textId="77777777" w:rsidR="009C1A85" w:rsidRDefault="009C1A85" w:rsidP="009C1A85">
      <w:pPr>
        <w:pStyle w:val="Body"/>
        <w:spacing w:line="240" w:lineRule="auto"/>
        <w:rPr>
          <w:rFonts w:ascii="Times New Roman" w:hAnsi="Times New Roman"/>
          <w:sz w:val="24"/>
          <w:szCs w:val="24"/>
          <w:lang w:val="en-US"/>
        </w:rPr>
      </w:pPr>
    </w:p>
    <w:p w14:paraId="138025DD" w14:textId="77777777" w:rsidR="009C1A85" w:rsidRDefault="009C1A85" w:rsidP="009C1A85">
      <w:pPr>
        <w:pStyle w:val="Body"/>
        <w:spacing w:line="240" w:lineRule="auto"/>
        <w:rPr>
          <w:rFonts w:ascii="Times New Roman" w:hAnsi="Times New Roman"/>
          <w:sz w:val="24"/>
          <w:szCs w:val="24"/>
          <w:lang w:val="en-US"/>
        </w:rPr>
      </w:pPr>
    </w:p>
    <w:p w14:paraId="363950B3" w14:textId="77777777" w:rsidR="009C1A85" w:rsidRDefault="009C1A85" w:rsidP="009C1A85">
      <w:pPr>
        <w:pStyle w:val="Body"/>
        <w:spacing w:line="240" w:lineRule="auto"/>
        <w:rPr>
          <w:rFonts w:ascii="Times New Roman" w:hAnsi="Times New Roman"/>
          <w:sz w:val="24"/>
          <w:szCs w:val="24"/>
          <w:lang w:val="en-US"/>
        </w:rPr>
      </w:pPr>
    </w:p>
    <w:p w14:paraId="4FD9AC75" w14:textId="77777777" w:rsidR="009C1A85" w:rsidRDefault="009C1A85" w:rsidP="009C1A85">
      <w:pPr>
        <w:pStyle w:val="Body"/>
        <w:spacing w:line="240" w:lineRule="auto"/>
        <w:rPr>
          <w:rFonts w:ascii="Times New Roman" w:hAnsi="Times New Roman"/>
          <w:sz w:val="24"/>
          <w:szCs w:val="24"/>
          <w:lang w:val="en-US"/>
        </w:rPr>
      </w:pPr>
    </w:p>
    <w:p w14:paraId="6CB9DEA4" w14:textId="77777777" w:rsidR="009C1A85" w:rsidRDefault="009C1A85" w:rsidP="009C1A85">
      <w:pPr>
        <w:pStyle w:val="Body"/>
        <w:spacing w:line="240" w:lineRule="auto"/>
        <w:rPr>
          <w:rFonts w:ascii="Times New Roman" w:hAnsi="Times New Roman"/>
          <w:sz w:val="24"/>
          <w:szCs w:val="24"/>
          <w:lang w:val="en-US"/>
        </w:rPr>
      </w:pPr>
    </w:p>
    <w:p w14:paraId="319F2720" w14:textId="77777777" w:rsidR="009C1A85" w:rsidRDefault="009C1A85" w:rsidP="009C1A85">
      <w:pPr>
        <w:pStyle w:val="Body"/>
        <w:spacing w:line="240" w:lineRule="auto"/>
        <w:rPr>
          <w:rFonts w:ascii="Times New Roman" w:hAnsi="Times New Roman"/>
          <w:sz w:val="24"/>
          <w:szCs w:val="24"/>
          <w:lang w:val="en-US"/>
        </w:rPr>
      </w:pPr>
    </w:p>
    <w:p w14:paraId="41ACBFAE" w14:textId="77777777" w:rsidR="009C1A85" w:rsidRDefault="009C1A85" w:rsidP="009C1A85">
      <w:pPr>
        <w:pStyle w:val="Body"/>
        <w:spacing w:line="240" w:lineRule="auto"/>
        <w:rPr>
          <w:rFonts w:ascii="Times New Roman" w:hAnsi="Times New Roman"/>
          <w:sz w:val="24"/>
          <w:szCs w:val="24"/>
          <w:lang w:val="en-US"/>
        </w:rPr>
      </w:pPr>
    </w:p>
    <w:p w14:paraId="1B4253E0" w14:textId="77777777" w:rsidR="009C1A85" w:rsidRDefault="009C1A85" w:rsidP="009C1A85">
      <w:pPr>
        <w:pStyle w:val="Body"/>
        <w:spacing w:line="240" w:lineRule="auto"/>
        <w:rPr>
          <w:rFonts w:ascii="Times New Roman" w:hAnsi="Times New Roman"/>
          <w:sz w:val="24"/>
          <w:szCs w:val="24"/>
          <w:lang w:val="en-US"/>
        </w:rPr>
      </w:pPr>
    </w:p>
    <w:p w14:paraId="21D7CC22" w14:textId="3D8EC604" w:rsidR="009C1A85" w:rsidRDefault="00C0050B" w:rsidP="009C1A85">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Supplementary Table </w:t>
      </w:r>
      <w:r w:rsidR="00F91A15">
        <w:rPr>
          <w:rFonts w:ascii="Times New Roman" w:hAnsi="Times New Roman"/>
          <w:sz w:val="24"/>
          <w:szCs w:val="24"/>
          <w:lang w:val="en-US"/>
        </w:rPr>
        <w:t>9</w:t>
      </w:r>
      <w:r w:rsidR="009C1A85">
        <w:rPr>
          <w:rFonts w:ascii="Times New Roman" w:hAnsi="Times New Roman"/>
          <w:sz w:val="24"/>
          <w:szCs w:val="24"/>
          <w:lang w:val="en-US"/>
        </w:rPr>
        <w:t xml:space="preserve">. Cross-sectional associations between </w:t>
      </w:r>
      <w:r w:rsidR="00EA0133">
        <w:rPr>
          <w:rFonts w:ascii="Times New Roman" w:hAnsi="Times New Roman"/>
          <w:sz w:val="24"/>
          <w:szCs w:val="24"/>
          <w:lang w:val="en-US"/>
        </w:rPr>
        <w:t>risk taking</w:t>
      </w:r>
      <w:r w:rsidR="009C1A85">
        <w:rPr>
          <w:rFonts w:ascii="Times New Roman" w:hAnsi="Times New Roman"/>
          <w:sz w:val="24"/>
          <w:szCs w:val="24"/>
          <w:lang w:val="en-US"/>
        </w:rPr>
        <w:t xml:space="preserve"> (continuous exposure) and </w:t>
      </w:r>
      <w:r w:rsidR="009C1A85" w:rsidRPr="005C3522">
        <w:rPr>
          <w:rFonts w:ascii="Times New Roman" w:hAnsi="Times New Roman"/>
          <w:sz w:val="24"/>
          <w:szCs w:val="24"/>
          <w:lang w:val="en-US"/>
        </w:rPr>
        <w:t>depressive symptoms at age 14 (continuous outcome), imputed</w:t>
      </w:r>
      <w:r w:rsidR="005C58F1">
        <w:rPr>
          <w:rFonts w:ascii="Times New Roman" w:hAnsi="Times New Roman"/>
          <w:sz w:val="24"/>
          <w:szCs w:val="24"/>
          <w:lang w:val="en-US"/>
        </w:rPr>
        <w:t xml:space="preserve"> sample</w:t>
      </w:r>
      <w:r w:rsidR="00D82892">
        <w:rPr>
          <w:rFonts w:ascii="Times New Roman" w:hAnsi="Times New Roman"/>
          <w:sz w:val="24"/>
          <w:szCs w:val="24"/>
          <w:lang w:val="en-US"/>
        </w:rPr>
        <w:t xml:space="preserve"> (n=10,578)</w:t>
      </w:r>
      <w:r w:rsidR="005C58F1">
        <w:rPr>
          <w:rFonts w:ascii="Times New Roman" w:hAnsi="Times New Roman"/>
          <w:sz w:val="24"/>
          <w:szCs w:val="24"/>
          <w:lang w:val="en-US"/>
        </w:rPr>
        <w:t>.</w:t>
      </w:r>
    </w:p>
    <w:tbl>
      <w:tblPr>
        <w:tblW w:w="9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890"/>
        <w:gridCol w:w="4850"/>
        <w:gridCol w:w="980"/>
      </w:tblGrid>
      <w:tr w:rsidR="003C652F" w:rsidRPr="00DA61AE" w14:paraId="4AEE61F0" w14:textId="63978698" w:rsidTr="005C58F1">
        <w:trPr>
          <w:trHeight w:val="961"/>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F16A" w14:textId="77777777" w:rsidR="003C652F" w:rsidRPr="00DA61AE" w:rsidRDefault="003C652F" w:rsidP="00057549">
            <w:pPr>
              <w:pStyle w:val="Body"/>
              <w:jc w:val="center"/>
              <w:rPr>
                <w:rFonts w:ascii="Times New Roman" w:eastAsia="Times New Roman" w:hAnsi="Times New Roman" w:cs="Times New Roman"/>
                <w:lang w:val="en-US"/>
              </w:rPr>
            </w:pPr>
          </w:p>
          <w:p w14:paraId="2E407123" w14:textId="2D344BA6" w:rsidR="003C652F" w:rsidRPr="00DA61AE" w:rsidRDefault="00B53E85" w:rsidP="00057549">
            <w:pPr>
              <w:pStyle w:val="Body"/>
              <w:spacing w:after="0" w:line="240" w:lineRule="auto"/>
              <w:jc w:val="center"/>
            </w:pPr>
            <w:r w:rsidRPr="00DA61AE">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087B" w14:textId="77777777" w:rsidR="003C652F" w:rsidRPr="00DA61AE" w:rsidRDefault="003C652F" w:rsidP="00057549">
            <w:pPr>
              <w:pStyle w:val="Body"/>
              <w:spacing w:after="0" w:line="240" w:lineRule="auto"/>
              <w:jc w:val="center"/>
              <w:rPr>
                <w:rFonts w:ascii="Times New Roman" w:eastAsia="Times New Roman" w:hAnsi="Times New Roman" w:cs="Times New Roman"/>
                <w:lang w:val="en-US"/>
              </w:rPr>
            </w:pPr>
          </w:p>
          <w:p w14:paraId="4EEF3C70" w14:textId="3F22F33E" w:rsidR="003C652F" w:rsidRPr="00DA61AE" w:rsidRDefault="00DA61AE" w:rsidP="00DA61AE">
            <w:pPr>
              <w:pStyle w:val="Body"/>
              <w:spacing w:after="0" w:line="240" w:lineRule="auto"/>
              <w:jc w:val="center"/>
            </w:pPr>
            <w:r w:rsidRPr="00DA61AE">
              <w:rPr>
                <w:rFonts w:ascii="Times New Roman" w:hAnsi="Times New Roman"/>
                <w:lang w:val="en-US"/>
              </w:rPr>
              <w:t>MFQ change</w:t>
            </w:r>
            <w:r w:rsidR="003C652F" w:rsidRPr="00DA61AE">
              <w:rPr>
                <w:rFonts w:ascii="Times New Roman" w:hAnsi="Times New Roman"/>
                <w:lang w:val="en-US"/>
              </w:rPr>
              <w:t xml:space="preserve"> for a 20-point increase in risk taking</w:t>
            </w:r>
          </w:p>
        </w:tc>
        <w:tc>
          <w:tcPr>
            <w:tcW w:w="980" w:type="dxa"/>
            <w:tcBorders>
              <w:top w:val="single" w:sz="4" w:space="0" w:color="000000"/>
              <w:left w:val="single" w:sz="4" w:space="0" w:color="000000"/>
              <w:bottom w:val="single" w:sz="4" w:space="0" w:color="000000"/>
              <w:right w:val="single" w:sz="4" w:space="0" w:color="000000"/>
            </w:tcBorders>
          </w:tcPr>
          <w:p w14:paraId="5208F685" w14:textId="77777777" w:rsidR="00033EA3" w:rsidRPr="00DA61AE" w:rsidRDefault="00033EA3" w:rsidP="00057549">
            <w:pPr>
              <w:pStyle w:val="Body"/>
              <w:spacing w:after="0" w:line="240" w:lineRule="auto"/>
              <w:jc w:val="center"/>
              <w:rPr>
                <w:rFonts w:ascii="Times New Roman" w:eastAsia="Times New Roman" w:hAnsi="Times New Roman" w:cs="Times New Roman"/>
                <w:lang w:val="en-US"/>
              </w:rPr>
            </w:pPr>
          </w:p>
          <w:p w14:paraId="47135FB1" w14:textId="55EFAAA1" w:rsidR="003C652F" w:rsidRPr="00DA61AE" w:rsidRDefault="003C652F" w:rsidP="00057549">
            <w:pPr>
              <w:pStyle w:val="Body"/>
              <w:spacing w:after="0" w:line="240" w:lineRule="auto"/>
              <w:jc w:val="center"/>
              <w:rPr>
                <w:rFonts w:ascii="Times New Roman" w:eastAsia="Times New Roman" w:hAnsi="Times New Roman" w:cs="Times New Roman"/>
                <w:lang w:val="en-US"/>
              </w:rPr>
            </w:pPr>
            <w:r w:rsidRPr="00DA61AE">
              <w:rPr>
                <w:rFonts w:ascii="Times New Roman" w:eastAsia="Times New Roman" w:hAnsi="Times New Roman" w:cs="Times New Roman"/>
                <w:lang w:val="en-US"/>
              </w:rPr>
              <w:t>P value</w:t>
            </w:r>
          </w:p>
        </w:tc>
      </w:tr>
      <w:tr w:rsidR="003C652F" w:rsidRPr="00DA61AE" w14:paraId="565F3A2C" w14:textId="4D4AE769"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01871" w14:textId="63EA9DDD" w:rsidR="003C652F" w:rsidRPr="00DA61AE" w:rsidRDefault="003C652F" w:rsidP="00057549">
            <w:pPr>
              <w:pStyle w:val="Body"/>
              <w:spacing w:after="0" w:line="240" w:lineRule="auto"/>
            </w:pPr>
            <w:r w:rsidRPr="00DA61AE">
              <w:rPr>
                <w:rFonts w:ascii="Times New Roman" w:hAnsi="Times New Roman"/>
                <w:lang w:val="en-US"/>
              </w:rPr>
              <w:t>Model 1 Univariable</w:t>
            </w:r>
            <w:r w:rsidR="005C58F1" w:rsidRPr="00DA61AE">
              <w:rPr>
                <w:rFonts w:ascii="Times New Roman" w:hAnsi="Times New Roman"/>
                <w:lang w:val="en-US"/>
              </w:rPr>
              <w:t xml:space="preserve"> (n=10,578)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23C" w14:textId="4AD19B61" w:rsidR="003C652F" w:rsidRPr="00DA61AE" w:rsidRDefault="003C652F" w:rsidP="003C652F">
            <w:pPr>
              <w:pStyle w:val="Body"/>
              <w:spacing w:after="0" w:line="240" w:lineRule="auto"/>
            </w:pPr>
            <w:r w:rsidRPr="00DA61AE">
              <w:rPr>
                <w:rFonts w:ascii="Times New Roman" w:hAnsi="Times New Roman"/>
                <w:lang w:val="en-US"/>
              </w:rPr>
              <w:t xml:space="preserve">-.58 (-.75 to -.41) </w:t>
            </w:r>
          </w:p>
        </w:tc>
        <w:tc>
          <w:tcPr>
            <w:tcW w:w="980" w:type="dxa"/>
            <w:tcBorders>
              <w:top w:val="single" w:sz="4" w:space="0" w:color="000000"/>
              <w:left w:val="single" w:sz="4" w:space="0" w:color="000000"/>
              <w:bottom w:val="single" w:sz="4" w:space="0" w:color="000000"/>
              <w:right w:val="single" w:sz="4" w:space="0" w:color="000000"/>
            </w:tcBorders>
          </w:tcPr>
          <w:p w14:paraId="4D9C8661" w14:textId="6642BFDD" w:rsidR="003C652F" w:rsidRPr="00DA61AE" w:rsidRDefault="003C652F" w:rsidP="00057549">
            <w:pPr>
              <w:pStyle w:val="Body"/>
              <w:spacing w:after="0" w:line="240" w:lineRule="auto"/>
              <w:rPr>
                <w:rFonts w:ascii="Times New Roman" w:hAnsi="Times New Roman"/>
                <w:lang w:val="en-US"/>
              </w:rPr>
            </w:pPr>
            <w:r w:rsidRPr="00DA61AE">
              <w:rPr>
                <w:rFonts w:ascii="Times New Roman" w:hAnsi="Times New Roman"/>
                <w:lang w:val="en-US"/>
              </w:rPr>
              <w:t>&lt;.0001</w:t>
            </w:r>
          </w:p>
        </w:tc>
      </w:tr>
      <w:tr w:rsidR="003C652F" w:rsidRPr="00DA61AE" w14:paraId="716E697A" w14:textId="08DC0BE9"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785EC" w14:textId="77777777" w:rsidR="003C652F" w:rsidRPr="00DA61AE" w:rsidRDefault="003C652F" w:rsidP="00057549">
            <w:pPr>
              <w:pStyle w:val="Body"/>
              <w:spacing w:after="0" w:line="240" w:lineRule="auto"/>
            </w:pPr>
            <w:r w:rsidRPr="00DA61AE">
              <w:rPr>
                <w:rFonts w:ascii="Times New Roman" w:hAnsi="Times New Roman"/>
                <w:lang w:val="en-US"/>
              </w:rPr>
              <w:t xml:space="preserve">Model 2: Model 1 </w:t>
            </w:r>
            <w:proofErr w:type="spellStart"/>
            <w:r w:rsidRPr="00DA61AE">
              <w:rPr>
                <w:rFonts w:ascii="Times New Roman" w:hAnsi="Times New Roman"/>
                <w:lang w:val="en-US"/>
              </w:rPr>
              <w:t>adjusted</w:t>
            </w:r>
            <w:r w:rsidRPr="00DA61AE">
              <w:rPr>
                <w:rFonts w:ascii="Times New Roman" w:hAnsi="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983B4" w14:textId="185D3E9F" w:rsidR="003C652F" w:rsidRPr="00DA61AE" w:rsidRDefault="003C652F" w:rsidP="003C652F">
            <w:pPr>
              <w:pStyle w:val="Body"/>
              <w:spacing w:after="0" w:line="240" w:lineRule="auto"/>
            </w:pPr>
            <w:r w:rsidRPr="00DA61AE">
              <w:rPr>
                <w:rFonts w:ascii="Times New Roman" w:hAnsi="Times New Roman"/>
                <w:lang w:val="en-US"/>
              </w:rPr>
              <w:t xml:space="preserve">-.44 (-.62 to -.26) </w:t>
            </w:r>
          </w:p>
        </w:tc>
        <w:tc>
          <w:tcPr>
            <w:tcW w:w="980" w:type="dxa"/>
            <w:tcBorders>
              <w:top w:val="single" w:sz="4" w:space="0" w:color="000000"/>
              <w:left w:val="single" w:sz="4" w:space="0" w:color="000000"/>
              <w:bottom w:val="single" w:sz="4" w:space="0" w:color="000000"/>
              <w:right w:val="single" w:sz="4" w:space="0" w:color="000000"/>
            </w:tcBorders>
          </w:tcPr>
          <w:p w14:paraId="7CC1A6DC" w14:textId="4C381BEC" w:rsidR="003C652F" w:rsidRPr="00DA61AE" w:rsidRDefault="003C652F" w:rsidP="00057549">
            <w:pPr>
              <w:pStyle w:val="Body"/>
              <w:spacing w:after="0" w:line="240" w:lineRule="auto"/>
              <w:rPr>
                <w:rFonts w:ascii="Times New Roman" w:hAnsi="Times New Roman"/>
                <w:lang w:val="en-US"/>
              </w:rPr>
            </w:pPr>
            <w:r w:rsidRPr="00DA61AE">
              <w:rPr>
                <w:rFonts w:ascii="Times New Roman" w:hAnsi="Times New Roman"/>
                <w:lang w:val="en-US"/>
              </w:rPr>
              <w:t>&lt;.0001</w:t>
            </w:r>
          </w:p>
        </w:tc>
      </w:tr>
      <w:tr w:rsidR="003C652F" w:rsidRPr="00DA61AE" w14:paraId="01F944BB" w14:textId="2C2B2F1F"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16C66" w14:textId="77777777" w:rsidR="003C652F" w:rsidRPr="00DA61AE" w:rsidRDefault="003C652F" w:rsidP="00057549">
            <w:pPr>
              <w:pStyle w:val="Body"/>
              <w:spacing w:after="0" w:line="240" w:lineRule="auto"/>
            </w:pPr>
            <w:r w:rsidRPr="00DA61AE">
              <w:rPr>
                <w:rFonts w:ascii="Times New Roman" w:hAnsi="Times New Roman"/>
                <w:lang w:val="en-US"/>
              </w:rPr>
              <w:t xml:space="preserve">Model 3: Model 2 adjusted for sex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8614C" w14:textId="4D1A6A6A" w:rsidR="003C652F" w:rsidRPr="00DA61AE" w:rsidRDefault="003C652F" w:rsidP="003C652F">
            <w:pPr>
              <w:pStyle w:val="Body"/>
              <w:spacing w:after="0" w:line="240" w:lineRule="auto"/>
            </w:pPr>
            <w:r w:rsidRPr="00DA61AE">
              <w:rPr>
                <w:rFonts w:ascii="Times New Roman" w:hAnsi="Times New Roman"/>
                <w:lang w:val="en-US"/>
              </w:rPr>
              <w:t xml:space="preserve">-.01 (-.19 to .17) </w:t>
            </w:r>
          </w:p>
        </w:tc>
        <w:tc>
          <w:tcPr>
            <w:tcW w:w="980" w:type="dxa"/>
            <w:tcBorders>
              <w:top w:val="single" w:sz="4" w:space="0" w:color="000000"/>
              <w:left w:val="single" w:sz="4" w:space="0" w:color="000000"/>
              <w:bottom w:val="single" w:sz="4" w:space="0" w:color="000000"/>
              <w:right w:val="single" w:sz="4" w:space="0" w:color="000000"/>
            </w:tcBorders>
          </w:tcPr>
          <w:p w14:paraId="0FBB9301" w14:textId="09713C54" w:rsidR="003C652F" w:rsidRPr="00DA61AE" w:rsidRDefault="003C652F" w:rsidP="00057549">
            <w:pPr>
              <w:pStyle w:val="Body"/>
              <w:spacing w:after="0" w:line="240" w:lineRule="auto"/>
              <w:rPr>
                <w:rFonts w:ascii="Times New Roman" w:hAnsi="Times New Roman"/>
                <w:lang w:val="en-US"/>
              </w:rPr>
            </w:pPr>
            <w:r w:rsidRPr="00DA61AE">
              <w:rPr>
                <w:rFonts w:ascii="Times New Roman" w:hAnsi="Times New Roman"/>
                <w:lang w:val="en-US"/>
              </w:rPr>
              <w:t>.928</w:t>
            </w:r>
          </w:p>
        </w:tc>
      </w:tr>
      <w:tr w:rsidR="003C652F" w:rsidRPr="00DA61AE" w14:paraId="5BC2ED77" w14:textId="2A033F91"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9B6" w14:textId="77777777" w:rsidR="003C652F" w:rsidRPr="00DA61AE" w:rsidRDefault="003C652F" w:rsidP="0096045B">
            <w:pPr>
              <w:jc w:val="center"/>
              <w:rPr>
                <w:sz w:val="22"/>
                <w:szCs w:val="22"/>
              </w:rPr>
            </w:pPr>
          </w:p>
          <w:p w14:paraId="0498E2DB" w14:textId="77777777" w:rsidR="003C652F" w:rsidRPr="00DA61AE" w:rsidRDefault="003C652F" w:rsidP="0096045B">
            <w:pPr>
              <w:jc w:val="center"/>
              <w:rPr>
                <w:sz w:val="22"/>
                <w:szCs w:val="22"/>
              </w:rPr>
            </w:pPr>
            <w:r w:rsidRPr="00DA61AE">
              <w:rPr>
                <w:sz w:val="22"/>
                <w:szCs w:val="22"/>
              </w:rPr>
              <w:t>Sub-group analyses by gender</w:t>
            </w:r>
          </w:p>
          <w:p w14:paraId="52CE5C2D" w14:textId="77777777" w:rsidR="003C652F" w:rsidRPr="00DA61AE" w:rsidRDefault="003C652F" w:rsidP="00057549">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0041" w14:textId="77777777" w:rsidR="003C652F" w:rsidRPr="00DA61AE" w:rsidRDefault="003C652F" w:rsidP="00057549">
            <w:pPr>
              <w:rPr>
                <w:sz w:val="22"/>
                <w:szCs w:val="22"/>
              </w:rPr>
            </w:pPr>
          </w:p>
          <w:p w14:paraId="51B30490" w14:textId="77252CF7" w:rsidR="003C652F" w:rsidRPr="00DA61AE" w:rsidRDefault="00DA61AE" w:rsidP="003C652F">
            <w:pPr>
              <w:jc w:val="center"/>
              <w:rPr>
                <w:sz w:val="22"/>
                <w:szCs w:val="22"/>
              </w:rPr>
            </w:pPr>
            <w:r w:rsidRPr="00DA61AE">
              <w:rPr>
                <w:sz w:val="22"/>
                <w:szCs w:val="22"/>
              </w:rPr>
              <w:t>MFQ change</w:t>
            </w:r>
            <w:r w:rsidR="003C652F" w:rsidRPr="00DA61AE">
              <w:rPr>
                <w:sz w:val="22"/>
                <w:szCs w:val="22"/>
              </w:rPr>
              <w:t xml:space="preserve"> for a 20-point increase in risk taking</w:t>
            </w:r>
          </w:p>
        </w:tc>
        <w:tc>
          <w:tcPr>
            <w:tcW w:w="980" w:type="dxa"/>
            <w:tcBorders>
              <w:top w:val="single" w:sz="4" w:space="0" w:color="000000"/>
              <w:left w:val="single" w:sz="4" w:space="0" w:color="000000"/>
              <w:bottom w:val="single" w:sz="4" w:space="0" w:color="000000"/>
              <w:right w:val="single" w:sz="4" w:space="0" w:color="000000"/>
            </w:tcBorders>
          </w:tcPr>
          <w:p w14:paraId="3C8B9612" w14:textId="77777777" w:rsidR="00033EA3" w:rsidRPr="00DA61AE" w:rsidRDefault="00033EA3" w:rsidP="00057549">
            <w:pPr>
              <w:rPr>
                <w:sz w:val="22"/>
                <w:szCs w:val="22"/>
              </w:rPr>
            </w:pPr>
          </w:p>
          <w:p w14:paraId="59AA6BF9" w14:textId="1A1541D7" w:rsidR="003C652F" w:rsidRPr="00DA61AE" w:rsidRDefault="00033EA3" w:rsidP="00057549">
            <w:pPr>
              <w:rPr>
                <w:sz w:val="22"/>
                <w:szCs w:val="22"/>
              </w:rPr>
            </w:pPr>
            <w:r w:rsidRPr="00DA61AE">
              <w:rPr>
                <w:sz w:val="22"/>
                <w:szCs w:val="22"/>
              </w:rPr>
              <w:t>P value</w:t>
            </w:r>
          </w:p>
        </w:tc>
      </w:tr>
      <w:tr w:rsidR="003C652F" w:rsidRPr="00DA61AE" w14:paraId="0DD26CFC" w14:textId="79FD288A"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CD04F" w14:textId="50D81636" w:rsidR="003C652F" w:rsidRPr="00DA61AE" w:rsidRDefault="003C652F" w:rsidP="00057549">
            <w:pPr>
              <w:pStyle w:val="Body"/>
              <w:spacing w:after="0" w:line="240" w:lineRule="auto"/>
            </w:pPr>
            <w:r w:rsidRPr="00DA61AE">
              <w:rPr>
                <w:rFonts w:ascii="Times New Roman" w:hAnsi="Times New Roman"/>
                <w:lang w:val="en-US"/>
              </w:rPr>
              <w:t>Model 4: Univariable, females (n=5324)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5DFC" w14:textId="730980DA" w:rsidR="003C652F" w:rsidRPr="00DA61AE" w:rsidRDefault="003C652F" w:rsidP="003C652F">
            <w:pPr>
              <w:pStyle w:val="Body"/>
              <w:spacing w:after="0" w:line="240" w:lineRule="auto"/>
            </w:pPr>
            <w:r w:rsidRPr="00DA61AE">
              <w:rPr>
                <w:rFonts w:ascii="Times New Roman" w:hAnsi="Times New Roman"/>
                <w:lang w:val="en-US"/>
              </w:rPr>
              <w:t xml:space="preserve">-.05 (-.38 to .28) </w:t>
            </w:r>
          </w:p>
        </w:tc>
        <w:tc>
          <w:tcPr>
            <w:tcW w:w="980" w:type="dxa"/>
            <w:tcBorders>
              <w:top w:val="single" w:sz="4" w:space="0" w:color="000000"/>
              <w:left w:val="single" w:sz="4" w:space="0" w:color="000000"/>
              <w:bottom w:val="single" w:sz="4" w:space="0" w:color="000000"/>
              <w:right w:val="single" w:sz="4" w:space="0" w:color="000000"/>
            </w:tcBorders>
          </w:tcPr>
          <w:p w14:paraId="0009245B" w14:textId="4EA10E1A" w:rsidR="003C652F" w:rsidRPr="00DA61AE" w:rsidRDefault="003C652F" w:rsidP="00057549">
            <w:pPr>
              <w:pStyle w:val="Body"/>
              <w:spacing w:after="0" w:line="240" w:lineRule="auto"/>
              <w:rPr>
                <w:rFonts w:ascii="Times New Roman" w:hAnsi="Times New Roman"/>
                <w:lang w:val="en-US"/>
              </w:rPr>
            </w:pPr>
            <w:r w:rsidRPr="00DA61AE">
              <w:rPr>
                <w:rFonts w:ascii="Times New Roman" w:hAnsi="Times New Roman"/>
                <w:lang w:val="en-US"/>
              </w:rPr>
              <w:t>.776</w:t>
            </w:r>
          </w:p>
        </w:tc>
      </w:tr>
      <w:tr w:rsidR="003C652F" w:rsidRPr="00DA61AE" w14:paraId="251B2561" w14:textId="79C47206"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BAA41" w14:textId="5311CE91" w:rsidR="003C652F" w:rsidRPr="00DA61AE" w:rsidRDefault="003C652F" w:rsidP="0096045B">
            <w:pPr>
              <w:pStyle w:val="Body"/>
              <w:spacing w:after="0" w:line="240" w:lineRule="auto"/>
            </w:pPr>
            <w:r w:rsidRPr="00DA61AE">
              <w:rPr>
                <w:rFonts w:ascii="Times New Roman" w:hAnsi="Times New Roman"/>
                <w:lang w:val="en-US"/>
              </w:rPr>
              <w:t xml:space="preserve">Model 5: Model 4 </w:t>
            </w:r>
            <w:proofErr w:type="spellStart"/>
            <w:r w:rsidRPr="00DA61AE">
              <w:rPr>
                <w:rFonts w:ascii="Times New Roman" w:hAnsi="Times New Roman"/>
                <w:lang w:val="en-US"/>
              </w:rPr>
              <w:t>adjusted</w:t>
            </w:r>
            <w:r w:rsidRPr="00DA61AE">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F6DFC" w14:textId="4A322FAC" w:rsidR="003C652F" w:rsidRPr="00DA61AE" w:rsidRDefault="003C652F" w:rsidP="003C652F">
            <w:pPr>
              <w:pStyle w:val="Body"/>
              <w:spacing w:after="0" w:line="240" w:lineRule="auto"/>
            </w:pPr>
            <w:r w:rsidRPr="00DA61AE">
              <w:rPr>
                <w:rFonts w:ascii="Times New Roman" w:hAnsi="Times New Roman"/>
                <w:lang w:val="en-US"/>
              </w:rPr>
              <w:t xml:space="preserve">-.08 (-.41 to .24) </w:t>
            </w:r>
          </w:p>
        </w:tc>
        <w:tc>
          <w:tcPr>
            <w:tcW w:w="980" w:type="dxa"/>
            <w:tcBorders>
              <w:top w:val="single" w:sz="4" w:space="0" w:color="000000"/>
              <w:left w:val="single" w:sz="4" w:space="0" w:color="000000"/>
              <w:bottom w:val="single" w:sz="4" w:space="0" w:color="000000"/>
              <w:right w:val="single" w:sz="4" w:space="0" w:color="000000"/>
            </w:tcBorders>
          </w:tcPr>
          <w:p w14:paraId="00574E84" w14:textId="025BBD11" w:rsidR="003C652F" w:rsidRPr="00DA61AE" w:rsidRDefault="003C652F" w:rsidP="0096045B">
            <w:pPr>
              <w:pStyle w:val="Body"/>
              <w:spacing w:after="0" w:line="240" w:lineRule="auto"/>
              <w:rPr>
                <w:rFonts w:ascii="Times New Roman" w:hAnsi="Times New Roman"/>
                <w:lang w:val="en-US"/>
              </w:rPr>
            </w:pPr>
            <w:r w:rsidRPr="00DA61AE">
              <w:rPr>
                <w:rFonts w:ascii="Times New Roman" w:hAnsi="Times New Roman"/>
                <w:lang w:val="en-US"/>
              </w:rPr>
              <w:t>.605</w:t>
            </w:r>
          </w:p>
        </w:tc>
      </w:tr>
      <w:tr w:rsidR="003C652F" w:rsidRPr="00DA61AE" w14:paraId="5D208581" w14:textId="306BC24B"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5C2FF" w14:textId="77777777" w:rsidR="003C652F" w:rsidRPr="00DA61AE" w:rsidRDefault="003C652F" w:rsidP="0096045B">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726C" w14:textId="77777777" w:rsidR="003C652F" w:rsidRPr="00DA61AE" w:rsidRDefault="003C652F" w:rsidP="0096045B">
            <w:pPr>
              <w:rPr>
                <w:sz w:val="22"/>
                <w:szCs w:val="22"/>
              </w:rPr>
            </w:pPr>
          </w:p>
        </w:tc>
        <w:tc>
          <w:tcPr>
            <w:tcW w:w="980" w:type="dxa"/>
            <w:tcBorders>
              <w:top w:val="single" w:sz="4" w:space="0" w:color="000000"/>
              <w:left w:val="single" w:sz="4" w:space="0" w:color="000000"/>
              <w:bottom w:val="single" w:sz="4" w:space="0" w:color="000000"/>
              <w:right w:val="single" w:sz="4" w:space="0" w:color="000000"/>
            </w:tcBorders>
          </w:tcPr>
          <w:p w14:paraId="310994C2" w14:textId="77777777" w:rsidR="003C652F" w:rsidRPr="00DA61AE" w:rsidRDefault="003C652F" w:rsidP="0096045B">
            <w:pPr>
              <w:rPr>
                <w:sz w:val="22"/>
                <w:szCs w:val="22"/>
              </w:rPr>
            </w:pPr>
          </w:p>
        </w:tc>
      </w:tr>
      <w:tr w:rsidR="003C652F" w:rsidRPr="00DA61AE" w14:paraId="69B464D9" w14:textId="579CB2B6"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E91C3" w14:textId="485192F9" w:rsidR="003C652F" w:rsidRPr="00DA61AE" w:rsidRDefault="003C652F" w:rsidP="0096045B">
            <w:pPr>
              <w:pStyle w:val="Body"/>
              <w:spacing w:after="0" w:line="240" w:lineRule="auto"/>
            </w:pPr>
            <w:r w:rsidRPr="00DA61AE">
              <w:rPr>
                <w:rFonts w:ascii="Times New Roman" w:hAnsi="Times New Roman"/>
                <w:lang w:val="en-US"/>
              </w:rPr>
              <w:t>Model 6: Univariable males (n=5254)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AEE6" w14:textId="0B771687" w:rsidR="003C652F" w:rsidRPr="00DA61AE" w:rsidRDefault="003C652F" w:rsidP="003C652F">
            <w:pPr>
              <w:pStyle w:val="Body"/>
              <w:spacing w:after="0" w:line="240" w:lineRule="auto"/>
            </w:pPr>
            <w:r w:rsidRPr="00DA61AE">
              <w:rPr>
                <w:rFonts w:ascii="Times New Roman" w:hAnsi="Times New Roman"/>
                <w:lang w:val="en-US"/>
              </w:rPr>
              <w:t xml:space="preserve">.05 (-.17 to .26) </w:t>
            </w:r>
          </w:p>
        </w:tc>
        <w:tc>
          <w:tcPr>
            <w:tcW w:w="980" w:type="dxa"/>
            <w:tcBorders>
              <w:top w:val="single" w:sz="4" w:space="0" w:color="000000"/>
              <w:left w:val="single" w:sz="4" w:space="0" w:color="000000"/>
              <w:bottom w:val="single" w:sz="4" w:space="0" w:color="000000"/>
              <w:right w:val="single" w:sz="4" w:space="0" w:color="000000"/>
            </w:tcBorders>
          </w:tcPr>
          <w:p w14:paraId="3180E0F6" w14:textId="72A7FC7A" w:rsidR="003C652F" w:rsidRPr="00DA61AE" w:rsidRDefault="003C652F" w:rsidP="0096045B">
            <w:pPr>
              <w:pStyle w:val="Body"/>
              <w:spacing w:after="0" w:line="240" w:lineRule="auto"/>
              <w:rPr>
                <w:rFonts w:ascii="Times New Roman" w:hAnsi="Times New Roman"/>
                <w:lang w:val="en-US"/>
              </w:rPr>
            </w:pPr>
            <w:r w:rsidRPr="00DA61AE">
              <w:rPr>
                <w:rFonts w:ascii="Times New Roman" w:hAnsi="Times New Roman"/>
                <w:lang w:val="en-US"/>
              </w:rPr>
              <w:t>.649</w:t>
            </w:r>
          </w:p>
        </w:tc>
      </w:tr>
      <w:tr w:rsidR="003C652F" w:rsidRPr="00DA61AE" w14:paraId="544D5B19" w14:textId="384305F9" w:rsidTr="005C58F1">
        <w:trPr>
          <w:trHeight w:val="300"/>
        </w:trPr>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DAFB" w14:textId="279C886E" w:rsidR="003C652F" w:rsidRPr="00DA61AE" w:rsidRDefault="003C652F" w:rsidP="0096045B">
            <w:pPr>
              <w:pStyle w:val="Body"/>
              <w:spacing w:after="0" w:line="240" w:lineRule="auto"/>
            </w:pPr>
            <w:r w:rsidRPr="00DA61AE">
              <w:rPr>
                <w:rFonts w:ascii="Times New Roman" w:hAnsi="Times New Roman"/>
                <w:lang w:val="en-US"/>
              </w:rPr>
              <w:t xml:space="preserve">Model 7: Model 6 </w:t>
            </w:r>
            <w:proofErr w:type="spellStart"/>
            <w:r w:rsidRPr="00DA61AE">
              <w:rPr>
                <w:rFonts w:ascii="Times New Roman" w:hAnsi="Times New Roman"/>
                <w:lang w:val="en-US"/>
              </w:rPr>
              <w:t>adjusted</w:t>
            </w:r>
            <w:r w:rsidRPr="00DA61AE">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BC95" w14:textId="643546A0" w:rsidR="003C652F" w:rsidRPr="00DA61AE" w:rsidRDefault="003C652F" w:rsidP="003C652F">
            <w:pPr>
              <w:pStyle w:val="Body"/>
              <w:spacing w:after="0" w:line="240" w:lineRule="auto"/>
            </w:pPr>
            <w:r w:rsidRPr="00DA61AE">
              <w:rPr>
                <w:rFonts w:ascii="Times New Roman" w:hAnsi="Times New Roman"/>
                <w:lang w:val="en-US"/>
              </w:rPr>
              <w:t xml:space="preserve">.05 (-.17 to .26) </w:t>
            </w:r>
          </w:p>
        </w:tc>
        <w:tc>
          <w:tcPr>
            <w:tcW w:w="980" w:type="dxa"/>
            <w:tcBorders>
              <w:top w:val="single" w:sz="4" w:space="0" w:color="000000"/>
              <w:left w:val="single" w:sz="4" w:space="0" w:color="000000"/>
              <w:bottom w:val="single" w:sz="4" w:space="0" w:color="000000"/>
              <w:right w:val="single" w:sz="4" w:space="0" w:color="000000"/>
            </w:tcBorders>
          </w:tcPr>
          <w:p w14:paraId="7E48FBAB" w14:textId="6AE354B2" w:rsidR="003C652F" w:rsidRPr="00DA61AE" w:rsidRDefault="003C652F" w:rsidP="0096045B">
            <w:pPr>
              <w:pStyle w:val="Body"/>
              <w:spacing w:after="0" w:line="240" w:lineRule="auto"/>
              <w:rPr>
                <w:rFonts w:ascii="Times New Roman" w:hAnsi="Times New Roman"/>
                <w:lang w:val="en-US"/>
              </w:rPr>
            </w:pPr>
            <w:r w:rsidRPr="00DA61AE">
              <w:rPr>
                <w:rFonts w:ascii="Times New Roman" w:hAnsi="Times New Roman"/>
                <w:lang w:val="en-US"/>
              </w:rPr>
              <w:t>.679</w:t>
            </w:r>
          </w:p>
        </w:tc>
      </w:tr>
    </w:tbl>
    <w:p w14:paraId="09F0E59E" w14:textId="77777777" w:rsidR="006144F8" w:rsidRDefault="006144F8" w:rsidP="009C1A85">
      <w:pPr>
        <w:pStyle w:val="Body"/>
        <w:spacing w:after="0" w:line="240" w:lineRule="auto"/>
        <w:rPr>
          <w:rFonts w:ascii="Times New Roman" w:hAnsi="Times New Roman"/>
          <w:sz w:val="20"/>
          <w:szCs w:val="20"/>
          <w:vertAlign w:val="superscript"/>
        </w:rPr>
      </w:pPr>
    </w:p>
    <w:p w14:paraId="36ACA60C" w14:textId="11D7414D" w:rsidR="009C1A85" w:rsidRDefault="009C1A85" w:rsidP="009C1A85">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child age, child ethnicity, child IQ,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w:t>
      </w:r>
    </w:p>
    <w:p w14:paraId="186AFDA4" w14:textId="77777777" w:rsidR="009C1A85" w:rsidRDefault="009C1A85" w:rsidP="009C1A85">
      <w:pPr>
        <w:pStyle w:val="Body"/>
        <w:spacing w:after="0" w:line="240" w:lineRule="auto"/>
        <w:rPr>
          <w:rFonts w:ascii="Times New Roman" w:eastAsia="Times New Roman" w:hAnsi="Times New Roman" w:cs="Times New Roman"/>
          <w:sz w:val="20"/>
          <w:szCs w:val="20"/>
        </w:rPr>
      </w:pPr>
    </w:p>
    <w:p w14:paraId="524A4C02" w14:textId="0C4CCE5F" w:rsidR="00C11C56" w:rsidRDefault="009C1A85" w:rsidP="00C11C56">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b</w:t>
      </w:r>
      <w:r w:rsidR="00C11C56" w:rsidRPr="00C11C56">
        <w:rPr>
          <w:rFonts w:ascii="Times New Roman" w:hAnsi="Times New Roman"/>
          <w:sz w:val="20"/>
          <w:szCs w:val="20"/>
          <w:vertAlign w:val="superscript"/>
        </w:rPr>
        <w:t xml:space="preserve"> </w:t>
      </w:r>
      <w:r w:rsidR="00C11C56">
        <w:rPr>
          <w:rFonts w:ascii="Times New Roman" w:hAnsi="Times New Roman"/>
          <w:sz w:val="20"/>
          <w:szCs w:val="20"/>
          <w:lang w:val="en-US"/>
        </w:rPr>
        <w:t>Adjusted for the above confounders and, in addition, stage of breast development in females and stage of facial hair development in males.</w:t>
      </w:r>
    </w:p>
    <w:p w14:paraId="6FCD0E23" w14:textId="26DB9E07" w:rsidR="009C1A85" w:rsidRDefault="009C1A85" w:rsidP="009C1A85">
      <w:pPr>
        <w:pStyle w:val="Body"/>
        <w:spacing w:after="0" w:line="240" w:lineRule="auto"/>
        <w:rPr>
          <w:rFonts w:ascii="Times New Roman" w:eastAsia="Times New Roman" w:hAnsi="Times New Roman" w:cs="Times New Roman"/>
          <w:sz w:val="20"/>
          <w:szCs w:val="20"/>
        </w:rPr>
      </w:pPr>
    </w:p>
    <w:p w14:paraId="28A45226" w14:textId="77777777" w:rsidR="009C1A85" w:rsidRDefault="009C1A85" w:rsidP="009C1A85">
      <w:pPr>
        <w:pStyle w:val="Body"/>
        <w:spacing w:after="0" w:line="240" w:lineRule="auto"/>
        <w:rPr>
          <w:rFonts w:ascii="Times New Roman" w:eastAsia="Times New Roman" w:hAnsi="Times New Roman" w:cs="Times New Roman"/>
          <w:sz w:val="24"/>
          <w:szCs w:val="24"/>
        </w:rPr>
      </w:pPr>
    </w:p>
    <w:p w14:paraId="42F031FA" w14:textId="77777777" w:rsidR="009C1A85" w:rsidRDefault="009C1A85" w:rsidP="009C1A85">
      <w:pPr>
        <w:pStyle w:val="Body"/>
        <w:spacing w:after="0" w:line="240" w:lineRule="auto"/>
        <w:rPr>
          <w:rFonts w:ascii="Times New Roman" w:eastAsia="Times New Roman" w:hAnsi="Times New Roman" w:cs="Times New Roman"/>
          <w:sz w:val="24"/>
          <w:szCs w:val="24"/>
        </w:rPr>
      </w:pPr>
    </w:p>
    <w:p w14:paraId="13BA2A2D" w14:textId="77777777" w:rsidR="009C1A85" w:rsidRDefault="009C1A85" w:rsidP="009C1A85">
      <w:pPr>
        <w:pStyle w:val="Body"/>
        <w:spacing w:after="0" w:line="240" w:lineRule="auto"/>
        <w:rPr>
          <w:rFonts w:ascii="Times New Roman" w:eastAsia="Times New Roman" w:hAnsi="Times New Roman" w:cs="Times New Roman"/>
          <w:sz w:val="24"/>
          <w:szCs w:val="24"/>
        </w:rPr>
      </w:pPr>
    </w:p>
    <w:p w14:paraId="67F0B878" w14:textId="77777777" w:rsidR="009C1A85" w:rsidRDefault="009C1A85" w:rsidP="009C1A85">
      <w:pPr>
        <w:pStyle w:val="Body"/>
        <w:spacing w:after="0" w:line="240" w:lineRule="auto"/>
        <w:rPr>
          <w:rFonts w:ascii="Times New Roman" w:eastAsia="Times New Roman" w:hAnsi="Times New Roman" w:cs="Times New Roman"/>
          <w:sz w:val="24"/>
          <w:szCs w:val="24"/>
        </w:rPr>
      </w:pPr>
    </w:p>
    <w:p w14:paraId="4F2E1726" w14:textId="77777777" w:rsidR="00A7110E" w:rsidRDefault="00A7110E" w:rsidP="009C1A85">
      <w:pPr>
        <w:pStyle w:val="Body"/>
        <w:spacing w:after="0" w:line="240" w:lineRule="auto"/>
        <w:rPr>
          <w:rFonts w:ascii="Times New Roman" w:eastAsia="Times New Roman" w:hAnsi="Times New Roman" w:cs="Times New Roman"/>
          <w:noProof/>
          <w:sz w:val="24"/>
          <w:szCs w:val="24"/>
        </w:rPr>
      </w:pPr>
    </w:p>
    <w:p w14:paraId="363AEBE4" w14:textId="77777777" w:rsidR="00A7110E" w:rsidRDefault="00A7110E" w:rsidP="009C1A85">
      <w:pPr>
        <w:pStyle w:val="Body"/>
        <w:spacing w:after="0" w:line="240" w:lineRule="auto"/>
        <w:rPr>
          <w:rFonts w:ascii="Times New Roman" w:eastAsia="Times New Roman" w:hAnsi="Times New Roman" w:cs="Times New Roman"/>
          <w:noProof/>
          <w:sz w:val="24"/>
          <w:szCs w:val="24"/>
        </w:rPr>
      </w:pPr>
    </w:p>
    <w:p w14:paraId="18E1AF4F" w14:textId="0D785090" w:rsidR="009C1A85" w:rsidRDefault="009C1A85" w:rsidP="009C1A85">
      <w:pPr>
        <w:pStyle w:val="Body"/>
        <w:spacing w:after="0" w:line="240" w:lineRule="auto"/>
        <w:rPr>
          <w:rFonts w:ascii="Times New Roman" w:eastAsia="Times New Roman" w:hAnsi="Times New Roman" w:cs="Times New Roman"/>
          <w:sz w:val="24"/>
          <w:szCs w:val="24"/>
        </w:rPr>
      </w:pPr>
    </w:p>
    <w:p w14:paraId="250F29C4" w14:textId="77777777" w:rsidR="009C1A85" w:rsidRDefault="009C1A85" w:rsidP="009C1A85">
      <w:pPr>
        <w:pStyle w:val="Body"/>
        <w:spacing w:after="0" w:line="240" w:lineRule="auto"/>
        <w:rPr>
          <w:rFonts w:ascii="Times New Roman" w:eastAsia="Times New Roman" w:hAnsi="Times New Roman" w:cs="Times New Roman"/>
          <w:sz w:val="24"/>
          <w:szCs w:val="24"/>
        </w:rPr>
      </w:pPr>
    </w:p>
    <w:p w14:paraId="51C2034B" w14:textId="77777777" w:rsidR="009C1A85" w:rsidRDefault="009C1A85" w:rsidP="009C1A85">
      <w:pPr>
        <w:pStyle w:val="Body"/>
        <w:spacing w:after="0" w:line="240" w:lineRule="auto"/>
        <w:rPr>
          <w:rFonts w:ascii="Times New Roman" w:hAnsi="Times New Roman"/>
          <w:sz w:val="24"/>
          <w:szCs w:val="24"/>
          <w:lang w:val="en-US"/>
        </w:rPr>
      </w:pPr>
    </w:p>
    <w:p w14:paraId="1B052BD7" w14:textId="77777777" w:rsidR="009C1A85" w:rsidRDefault="009C1A85" w:rsidP="009C1A85">
      <w:pPr>
        <w:pStyle w:val="Body"/>
        <w:spacing w:after="0" w:line="240" w:lineRule="auto"/>
        <w:rPr>
          <w:rFonts w:ascii="Times New Roman" w:hAnsi="Times New Roman"/>
          <w:sz w:val="24"/>
          <w:szCs w:val="24"/>
          <w:lang w:val="en-US"/>
        </w:rPr>
      </w:pPr>
    </w:p>
    <w:p w14:paraId="306F978C" w14:textId="77777777" w:rsidR="009C1A85" w:rsidRDefault="009C1A85" w:rsidP="009C1A85">
      <w:pPr>
        <w:pStyle w:val="Body"/>
        <w:spacing w:after="0" w:line="240" w:lineRule="auto"/>
        <w:rPr>
          <w:rFonts w:ascii="Times New Roman" w:hAnsi="Times New Roman"/>
          <w:sz w:val="24"/>
          <w:szCs w:val="24"/>
          <w:lang w:val="en-US"/>
        </w:rPr>
      </w:pPr>
    </w:p>
    <w:p w14:paraId="4415916D" w14:textId="77777777" w:rsidR="009C1A85" w:rsidRDefault="009C1A85" w:rsidP="009C1A85">
      <w:pPr>
        <w:pStyle w:val="Body"/>
        <w:spacing w:after="0" w:line="240" w:lineRule="auto"/>
        <w:rPr>
          <w:rFonts w:ascii="Times New Roman" w:hAnsi="Times New Roman"/>
          <w:sz w:val="24"/>
          <w:szCs w:val="24"/>
          <w:lang w:val="en-US"/>
        </w:rPr>
      </w:pPr>
    </w:p>
    <w:p w14:paraId="0A78EBF3" w14:textId="77777777" w:rsidR="009C1A85" w:rsidRDefault="009C1A85" w:rsidP="009C1A85">
      <w:pPr>
        <w:pStyle w:val="Body"/>
        <w:spacing w:after="0" w:line="240" w:lineRule="auto"/>
        <w:rPr>
          <w:rFonts w:ascii="Times New Roman" w:hAnsi="Times New Roman"/>
          <w:sz w:val="24"/>
          <w:szCs w:val="24"/>
          <w:lang w:val="en-US"/>
        </w:rPr>
      </w:pPr>
    </w:p>
    <w:p w14:paraId="5C008B96" w14:textId="77777777" w:rsidR="009C1A85" w:rsidRDefault="009C1A85" w:rsidP="009C1A85">
      <w:pPr>
        <w:pStyle w:val="Body"/>
        <w:spacing w:after="0" w:line="240" w:lineRule="auto"/>
        <w:rPr>
          <w:rFonts w:ascii="Times New Roman" w:hAnsi="Times New Roman"/>
          <w:sz w:val="24"/>
          <w:szCs w:val="24"/>
          <w:lang w:val="en-US"/>
        </w:rPr>
      </w:pPr>
    </w:p>
    <w:p w14:paraId="1BF7F02E" w14:textId="77777777" w:rsidR="009C1A85" w:rsidRDefault="009C1A85" w:rsidP="009C1A85">
      <w:pPr>
        <w:pStyle w:val="Body"/>
        <w:spacing w:after="0" w:line="240" w:lineRule="auto"/>
        <w:rPr>
          <w:rFonts w:ascii="Times New Roman" w:hAnsi="Times New Roman"/>
          <w:sz w:val="24"/>
          <w:szCs w:val="24"/>
          <w:lang w:val="en-US"/>
        </w:rPr>
      </w:pPr>
    </w:p>
    <w:p w14:paraId="11C5E3C3" w14:textId="77777777" w:rsidR="009C1A85" w:rsidRDefault="009C1A85" w:rsidP="009C1A85">
      <w:pPr>
        <w:pStyle w:val="Body"/>
        <w:spacing w:after="0" w:line="240" w:lineRule="auto"/>
        <w:rPr>
          <w:rFonts w:ascii="Times New Roman" w:hAnsi="Times New Roman"/>
          <w:sz w:val="24"/>
          <w:szCs w:val="24"/>
          <w:lang w:val="en-US"/>
        </w:rPr>
      </w:pPr>
    </w:p>
    <w:p w14:paraId="6FBF7B84" w14:textId="77777777" w:rsidR="009C1A85" w:rsidRDefault="009C1A85" w:rsidP="009C1A85">
      <w:pPr>
        <w:pStyle w:val="Body"/>
        <w:spacing w:after="0" w:line="240" w:lineRule="auto"/>
        <w:rPr>
          <w:rFonts w:ascii="Times New Roman" w:hAnsi="Times New Roman"/>
          <w:sz w:val="24"/>
          <w:szCs w:val="24"/>
          <w:lang w:val="en-US"/>
        </w:rPr>
      </w:pPr>
    </w:p>
    <w:p w14:paraId="1FF26254" w14:textId="77777777" w:rsidR="009C1A85" w:rsidRDefault="009C1A85" w:rsidP="009C1A85">
      <w:pPr>
        <w:pStyle w:val="Body"/>
        <w:spacing w:after="0" w:line="240" w:lineRule="auto"/>
        <w:rPr>
          <w:rFonts w:ascii="Times New Roman" w:hAnsi="Times New Roman"/>
          <w:sz w:val="24"/>
          <w:szCs w:val="24"/>
          <w:lang w:val="en-US"/>
        </w:rPr>
      </w:pPr>
    </w:p>
    <w:p w14:paraId="30B2EF3B" w14:textId="77777777" w:rsidR="009C1A85" w:rsidRDefault="009C1A85" w:rsidP="009C1A85">
      <w:pPr>
        <w:pStyle w:val="Body"/>
        <w:spacing w:after="0" w:line="240" w:lineRule="auto"/>
        <w:rPr>
          <w:rFonts w:ascii="Times New Roman" w:hAnsi="Times New Roman"/>
          <w:sz w:val="24"/>
          <w:szCs w:val="24"/>
          <w:lang w:val="en-US"/>
        </w:rPr>
      </w:pPr>
    </w:p>
    <w:p w14:paraId="0D19D46B" w14:textId="294F57DA" w:rsidR="009C1A85" w:rsidRPr="00033EA3" w:rsidRDefault="00C0050B" w:rsidP="009C1A85">
      <w:pPr>
        <w:pStyle w:val="Body"/>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Supplementary Table </w:t>
      </w:r>
      <w:r w:rsidR="00F91A15">
        <w:rPr>
          <w:rFonts w:ascii="Times New Roman" w:hAnsi="Times New Roman"/>
          <w:sz w:val="24"/>
          <w:szCs w:val="24"/>
          <w:lang w:val="en-US"/>
        </w:rPr>
        <w:t>10</w:t>
      </w:r>
      <w:r w:rsidR="009C1A85">
        <w:rPr>
          <w:rFonts w:ascii="Times New Roman" w:hAnsi="Times New Roman"/>
          <w:sz w:val="24"/>
          <w:szCs w:val="24"/>
          <w:lang w:val="en-US"/>
        </w:rPr>
        <w:t xml:space="preserve">. Longitudinal association between </w:t>
      </w:r>
      <w:r w:rsidR="00EA0133">
        <w:rPr>
          <w:rFonts w:ascii="Times New Roman" w:hAnsi="Times New Roman"/>
          <w:sz w:val="24"/>
          <w:szCs w:val="24"/>
          <w:lang w:val="en-US"/>
        </w:rPr>
        <w:t>risk taking</w:t>
      </w:r>
      <w:r w:rsidR="009C1A85">
        <w:rPr>
          <w:rFonts w:ascii="Times New Roman" w:hAnsi="Times New Roman"/>
          <w:sz w:val="24"/>
          <w:szCs w:val="24"/>
          <w:lang w:val="en-US"/>
        </w:rPr>
        <w:t xml:space="preserve"> (continuous exposure variable) at age 11 and </w:t>
      </w:r>
      <w:r w:rsidR="009C1A85" w:rsidRPr="005C3522">
        <w:rPr>
          <w:rFonts w:ascii="Times New Roman" w:hAnsi="Times New Roman"/>
          <w:sz w:val="24"/>
          <w:szCs w:val="24"/>
          <w:lang w:val="en-US"/>
        </w:rPr>
        <w:t xml:space="preserve">depressive symptoms </w:t>
      </w:r>
      <w:r w:rsidR="00033EA3">
        <w:rPr>
          <w:rFonts w:ascii="Times New Roman" w:hAnsi="Times New Roman"/>
          <w:sz w:val="24"/>
          <w:szCs w:val="24"/>
          <w:lang w:val="en-US"/>
        </w:rPr>
        <w:t xml:space="preserve">(continuous outcome) at age 14, </w:t>
      </w:r>
      <w:r w:rsidR="000816AC">
        <w:rPr>
          <w:rFonts w:ascii="Times New Roman" w:hAnsi="Times New Roman"/>
          <w:sz w:val="24"/>
          <w:szCs w:val="24"/>
          <w:lang w:val="en-US"/>
        </w:rPr>
        <w:t>imputed sample (n=12,355).</w:t>
      </w: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3771"/>
        <w:gridCol w:w="4595"/>
        <w:gridCol w:w="1151"/>
      </w:tblGrid>
      <w:tr w:rsidR="005F1C61" w:rsidRPr="009641B5" w14:paraId="080A4704" w14:textId="5D02F998" w:rsidTr="00213F9C">
        <w:trPr>
          <w:trHeight w:val="961"/>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6C31F" w14:textId="77777777" w:rsidR="005F1C61" w:rsidRPr="009641B5" w:rsidRDefault="005F1C61" w:rsidP="00057549">
            <w:pPr>
              <w:pStyle w:val="Body"/>
              <w:jc w:val="center"/>
              <w:rPr>
                <w:rFonts w:ascii="Times New Roman" w:eastAsia="Times New Roman" w:hAnsi="Times New Roman" w:cs="Times New Roman"/>
                <w:lang w:val="en-US"/>
              </w:rPr>
            </w:pPr>
          </w:p>
          <w:p w14:paraId="3FA84338" w14:textId="02CAB6BC" w:rsidR="005F1C61" w:rsidRPr="009641B5" w:rsidRDefault="00B53E85" w:rsidP="00057549">
            <w:pPr>
              <w:pStyle w:val="Body"/>
              <w:spacing w:after="0" w:line="240" w:lineRule="auto"/>
              <w:jc w:val="center"/>
            </w:pPr>
            <w:r>
              <w:rPr>
                <w:rFonts w:ascii="Times New Roman" w:hAnsi="Times New Roman" w:cs="Times New Roman"/>
                <w:lang w:val="en-US"/>
              </w:rPr>
              <w:t>Sample overall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795B5" w14:textId="77777777" w:rsidR="005F1C61" w:rsidRPr="009641B5" w:rsidRDefault="005F1C61" w:rsidP="00057549">
            <w:pPr>
              <w:pStyle w:val="Body"/>
              <w:spacing w:after="0" w:line="240" w:lineRule="auto"/>
              <w:rPr>
                <w:rFonts w:ascii="Times New Roman" w:eastAsia="Times New Roman" w:hAnsi="Times New Roman" w:cs="Times New Roman"/>
                <w:lang w:val="en-US"/>
              </w:rPr>
            </w:pPr>
          </w:p>
          <w:p w14:paraId="4AA71CD7" w14:textId="2735CAF7" w:rsidR="005F1C61" w:rsidRPr="009641B5" w:rsidRDefault="00E70C32" w:rsidP="00552E5A">
            <w:pPr>
              <w:pStyle w:val="Body"/>
              <w:spacing w:after="0" w:line="240" w:lineRule="auto"/>
              <w:jc w:val="center"/>
            </w:pPr>
            <w:r>
              <w:rPr>
                <w:rFonts w:ascii="Times New Roman" w:hAnsi="Times New Roman"/>
                <w:lang w:val="en-US"/>
              </w:rPr>
              <w:t>MFQ change</w:t>
            </w:r>
            <w:r w:rsidR="005F1C61" w:rsidRPr="009641B5">
              <w:rPr>
                <w:rFonts w:ascii="Times New Roman" w:hAnsi="Times New Roman"/>
                <w:lang w:val="en-US"/>
              </w:rPr>
              <w:t xml:space="preserve"> for a 20-point increase in risk taking</w:t>
            </w:r>
          </w:p>
        </w:tc>
        <w:tc>
          <w:tcPr>
            <w:tcW w:w="1151" w:type="dxa"/>
            <w:tcBorders>
              <w:top w:val="single" w:sz="4" w:space="0" w:color="000000"/>
              <w:left w:val="single" w:sz="4" w:space="0" w:color="000000"/>
              <w:bottom w:val="single" w:sz="4" w:space="0" w:color="000000"/>
              <w:right w:val="single" w:sz="4" w:space="0" w:color="000000"/>
            </w:tcBorders>
          </w:tcPr>
          <w:p w14:paraId="174CA8E7" w14:textId="77777777" w:rsidR="005F1C61" w:rsidRDefault="005F1C61" w:rsidP="00057549">
            <w:pPr>
              <w:pStyle w:val="Body"/>
              <w:spacing w:after="0" w:line="240" w:lineRule="auto"/>
              <w:rPr>
                <w:rFonts w:ascii="Times New Roman" w:eastAsia="Times New Roman" w:hAnsi="Times New Roman" w:cs="Times New Roman"/>
                <w:lang w:val="en-US"/>
              </w:rPr>
            </w:pPr>
          </w:p>
          <w:p w14:paraId="562E3587" w14:textId="18733889" w:rsidR="005F1C61" w:rsidRPr="009641B5" w:rsidRDefault="005F1C61" w:rsidP="00057549">
            <w:pPr>
              <w:pStyle w:val="Body"/>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P value</w:t>
            </w:r>
          </w:p>
        </w:tc>
      </w:tr>
      <w:tr w:rsidR="005F1C61" w:rsidRPr="009641B5" w14:paraId="744D69DC" w14:textId="45C858CE"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0EF1" w14:textId="009E7CA4" w:rsidR="005F1C61" w:rsidRPr="009641B5" w:rsidRDefault="005F1C61" w:rsidP="00057549">
            <w:pPr>
              <w:pStyle w:val="Body"/>
              <w:spacing w:after="0" w:line="240" w:lineRule="auto"/>
            </w:pPr>
            <w:r w:rsidRPr="009641B5">
              <w:rPr>
                <w:rFonts w:ascii="Times New Roman" w:hAnsi="Times New Roman"/>
                <w:lang w:val="en-US"/>
              </w:rPr>
              <w:t xml:space="preserve">Model 1 Univariable </w:t>
            </w:r>
            <w:r w:rsidRPr="009641B5">
              <w:rPr>
                <w:rFonts w:ascii="Times New Roman" w:hAnsi="Times New Roman"/>
              </w:rPr>
              <w:t>(n=12,355).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0E6A7" w14:textId="45EEB0BE" w:rsidR="005F1C61" w:rsidRPr="009641B5" w:rsidRDefault="005F1C61" w:rsidP="005F1C61">
            <w:pPr>
              <w:pStyle w:val="Body"/>
              <w:spacing w:after="0" w:line="240" w:lineRule="auto"/>
            </w:pPr>
            <w:r w:rsidRPr="009641B5">
              <w:rPr>
                <w:rFonts w:ascii="Times New Roman" w:hAnsi="Times New Roman"/>
                <w:lang w:val="en-US"/>
              </w:rPr>
              <w:t xml:space="preserve">-.60 (-.76 to -.43) </w:t>
            </w:r>
          </w:p>
        </w:tc>
        <w:tc>
          <w:tcPr>
            <w:tcW w:w="1151" w:type="dxa"/>
            <w:tcBorders>
              <w:top w:val="single" w:sz="4" w:space="0" w:color="000000"/>
              <w:left w:val="single" w:sz="4" w:space="0" w:color="000000"/>
              <w:bottom w:val="single" w:sz="4" w:space="0" w:color="000000"/>
              <w:right w:val="single" w:sz="4" w:space="0" w:color="000000"/>
            </w:tcBorders>
          </w:tcPr>
          <w:p w14:paraId="3203ABBB" w14:textId="70FF4495" w:rsidR="005F1C61" w:rsidRPr="009641B5" w:rsidRDefault="005F1C61" w:rsidP="00057549">
            <w:pPr>
              <w:pStyle w:val="Body"/>
              <w:spacing w:after="0" w:line="240" w:lineRule="auto"/>
              <w:rPr>
                <w:rFonts w:ascii="Times New Roman" w:hAnsi="Times New Roman"/>
                <w:lang w:val="en-US"/>
              </w:rPr>
            </w:pPr>
            <w:r w:rsidRPr="009641B5">
              <w:rPr>
                <w:rFonts w:ascii="Times New Roman" w:hAnsi="Times New Roman"/>
                <w:lang w:val="en-US"/>
              </w:rPr>
              <w:t>&lt;.0001</w:t>
            </w:r>
          </w:p>
        </w:tc>
      </w:tr>
      <w:tr w:rsidR="005F1C61" w:rsidRPr="009641B5" w14:paraId="7AB08790" w14:textId="51DFF70E"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0AEA" w14:textId="77777777" w:rsidR="005F1C61" w:rsidRPr="009641B5" w:rsidRDefault="005F1C61" w:rsidP="00057549">
            <w:pPr>
              <w:pStyle w:val="Body"/>
              <w:spacing w:after="0" w:line="240" w:lineRule="auto"/>
            </w:pPr>
            <w:r w:rsidRPr="009641B5">
              <w:rPr>
                <w:rFonts w:ascii="Times New Roman" w:hAnsi="Times New Roman"/>
                <w:lang w:val="en-US"/>
              </w:rPr>
              <w:t xml:space="preserve">Model 2: Model 1 </w:t>
            </w:r>
            <w:proofErr w:type="spellStart"/>
            <w:r w:rsidRPr="009641B5">
              <w:rPr>
                <w:rFonts w:ascii="Times New Roman" w:hAnsi="Times New Roman"/>
                <w:lang w:val="en-US"/>
              </w:rPr>
              <w:t>adjusted</w:t>
            </w:r>
            <w:r w:rsidRPr="009641B5">
              <w:rPr>
                <w:rFonts w:ascii="Times New Roman" w:hAnsi="Times New Roman"/>
                <w:vertAlign w:val="superscript"/>
                <w:lang w:val="en-US"/>
              </w:rPr>
              <w: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6A5BA" w14:textId="54562B94" w:rsidR="005F1C61" w:rsidRPr="009641B5" w:rsidRDefault="005F1C61" w:rsidP="005F1C61">
            <w:pPr>
              <w:pStyle w:val="Body"/>
              <w:spacing w:after="0" w:line="240" w:lineRule="auto"/>
            </w:pPr>
            <w:r w:rsidRPr="009641B5">
              <w:rPr>
                <w:rFonts w:ascii="Times New Roman" w:hAnsi="Times New Roman"/>
                <w:lang w:val="en-US"/>
              </w:rPr>
              <w:t xml:space="preserve">-.30 (-.46 to -.14) </w:t>
            </w:r>
          </w:p>
        </w:tc>
        <w:tc>
          <w:tcPr>
            <w:tcW w:w="1151" w:type="dxa"/>
            <w:tcBorders>
              <w:top w:val="single" w:sz="4" w:space="0" w:color="000000"/>
              <w:left w:val="single" w:sz="4" w:space="0" w:color="000000"/>
              <w:bottom w:val="single" w:sz="4" w:space="0" w:color="000000"/>
              <w:right w:val="single" w:sz="4" w:space="0" w:color="000000"/>
            </w:tcBorders>
          </w:tcPr>
          <w:p w14:paraId="1815B0ED" w14:textId="08D2B54B" w:rsidR="005F1C61" w:rsidRPr="009641B5" w:rsidRDefault="005F1C61" w:rsidP="00057549">
            <w:pPr>
              <w:pStyle w:val="Body"/>
              <w:spacing w:after="0" w:line="240" w:lineRule="auto"/>
              <w:rPr>
                <w:rFonts w:ascii="Times New Roman" w:hAnsi="Times New Roman"/>
                <w:lang w:val="en-US"/>
              </w:rPr>
            </w:pPr>
            <w:r w:rsidRPr="009641B5">
              <w:rPr>
                <w:rFonts w:ascii="Times New Roman" w:hAnsi="Times New Roman"/>
                <w:lang w:val="en-US"/>
              </w:rPr>
              <w:t>&lt;.0001</w:t>
            </w:r>
          </w:p>
        </w:tc>
      </w:tr>
      <w:tr w:rsidR="005F1C61" w:rsidRPr="009641B5" w14:paraId="23B2C93D" w14:textId="13312999"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DABF4" w14:textId="77777777" w:rsidR="005F1C61" w:rsidRPr="009641B5" w:rsidRDefault="005F1C61" w:rsidP="00057549">
            <w:pPr>
              <w:pStyle w:val="Body"/>
              <w:spacing w:after="0" w:line="240" w:lineRule="auto"/>
            </w:pPr>
            <w:r w:rsidRPr="009641B5">
              <w:rPr>
                <w:rFonts w:ascii="Times New Roman" w:hAnsi="Times New Roman"/>
                <w:lang w:val="en-US"/>
              </w:rPr>
              <w:t xml:space="preserve">Model 3: Model 2 adjusted for sex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A873A" w14:textId="7149FAEF" w:rsidR="005F1C61" w:rsidRPr="009641B5" w:rsidRDefault="005F1C61" w:rsidP="005F1C61">
            <w:pPr>
              <w:pStyle w:val="Body"/>
              <w:spacing w:after="0" w:line="240" w:lineRule="auto"/>
            </w:pPr>
            <w:r w:rsidRPr="009641B5">
              <w:rPr>
                <w:rFonts w:ascii="Times New Roman" w:hAnsi="Times New Roman"/>
                <w:lang w:val="en-US"/>
              </w:rPr>
              <w:t xml:space="preserve">-.13 (-.29 to .03) </w:t>
            </w:r>
          </w:p>
        </w:tc>
        <w:tc>
          <w:tcPr>
            <w:tcW w:w="1151" w:type="dxa"/>
            <w:tcBorders>
              <w:top w:val="single" w:sz="4" w:space="0" w:color="000000"/>
              <w:left w:val="single" w:sz="4" w:space="0" w:color="000000"/>
              <w:bottom w:val="single" w:sz="4" w:space="0" w:color="000000"/>
              <w:right w:val="single" w:sz="4" w:space="0" w:color="000000"/>
            </w:tcBorders>
          </w:tcPr>
          <w:p w14:paraId="6015A095" w14:textId="3E2CA43A" w:rsidR="005F1C61" w:rsidRPr="009641B5" w:rsidRDefault="005F1C61" w:rsidP="00057549">
            <w:pPr>
              <w:pStyle w:val="Body"/>
              <w:spacing w:after="0" w:line="240" w:lineRule="auto"/>
              <w:rPr>
                <w:rFonts w:ascii="Times New Roman" w:hAnsi="Times New Roman"/>
                <w:lang w:val="en-US"/>
              </w:rPr>
            </w:pPr>
            <w:r w:rsidRPr="009641B5">
              <w:rPr>
                <w:rFonts w:ascii="Times New Roman" w:hAnsi="Times New Roman"/>
                <w:lang w:val="en-US"/>
              </w:rPr>
              <w:t>.112</w:t>
            </w:r>
          </w:p>
        </w:tc>
      </w:tr>
      <w:tr w:rsidR="005F1C61" w:rsidRPr="009641B5" w14:paraId="5C05CC0B" w14:textId="38BE5157"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D604" w14:textId="77777777" w:rsidR="00552E5A" w:rsidRDefault="00552E5A" w:rsidP="00552E5A">
            <w:pPr>
              <w:jc w:val="center"/>
              <w:rPr>
                <w:sz w:val="22"/>
                <w:szCs w:val="22"/>
              </w:rPr>
            </w:pPr>
          </w:p>
          <w:p w14:paraId="1735BBD7" w14:textId="77777777" w:rsidR="00552E5A" w:rsidRPr="0096045B" w:rsidRDefault="00552E5A" w:rsidP="00552E5A">
            <w:pPr>
              <w:jc w:val="center"/>
              <w:rPr>
                <w:sz w:val="22"/>
                <w:szCs w:val="22"/>
              </w:rPr>
            </w:pPr>
            <w:r w:rsidRPr="0096045B">
              <w:rPr>
                <w:sz w:val="22"/>
                <w:szCs w:val="22"/>
              </w:rPr>
              <w:t>Sub-group analyses by gender</w:t>
            </w:r>
          </w:p>
          <w:p w14:paraId="1CDEE4BB" w14:textId="77777777" w:rsidR="005F1C61" w:rsidRPr="009641B5" w:rsidRDefault="005F1C61" w:rsidP="00057549">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CC24" w14:textId="77777777" w:rsidR="00552E5A" w:rsidRDefault="00552E5A" w:rsidP="00552E5A">
            <w:pPr>
              <w:jc w:val="center"/>
              <w:rPr>
                <w:sz w:val="22"/>
                <w:szCs w:val="22"/>
              </w:rPr>
            </w:pPr>
          </w:p>
          <w:p w14:paraId="2DF99CEC" w14:textId="676E5C8D" w:rsidR="005F1C61" w:rsidRPr="009641B5" w:rsidRDefault="00E70C32" w:rsidP="00552E5A">
            <w:pPr>
              <w:jc w:val="center"/>
              <w:rPr>
                <w:sz w:val="22"/>
                <w:szCs w:val="22"/>
              </w:rPr>
            </w:pPr>
            <w:r>
              <w:rPr>
                <w:sz w:val="22"/>
                <w:szCs w:val="22"/>
              </w:rPr>
              <w:t>MFQ change</w:t>
            </w:r>
            <w:r w:rsidR="00552E5A" w:rsidRPr="009641B5">
              <w:rPr>
                <w:sz w:val="22"/>
                <w:szCs w:val="22"/>
              </w:rPr>
              <w:t xml:space="preserve"> for a 20-point increase in risk taking</w:t>
            </w:r>
          </w:p>
        </w:tc>
        <w:tc>
          <w:tcPr>
            <w:tcW w:w="1151" w:type="dxa"/>
            <w:tcBorders>
              <w:top w:val="single" w:sz="4" w:space="0" w:color="000000"/>
              <w:left w:val="single" w:sz="4" w:space="0" w:color="000000"/>
              <w:bottom w:val="single" w:sz="4" w:space="0" w:color="000000"/>
              <w:right w:val="single" w:sz="4" w:space="0" w:color="000000"/>
            </w:tcBorders>
          </w:tcPr>
          <w:p w14:paraId="2700314F" w14:textId="77777777" w:rsidR="00641B28" w:rsidRDefault="00641B28" w:rsidP="00057549">
            <w:pPr>
              <w:rPr>
                <w:sz w:val="22"/>
                <w:szCs w:val="22"/>
              </w:rPr>
            </w:pPr>
          </w:p>
          <w:p w14:paraId="78434EF1" w14:textId="189BAB1D" w:rsidR="005F1C61" w:rsidRPr="009641B5" w:rsidRDefault="00641B28" w:rsidP="00057549">
            <w:pPr>
              <w:rPr>
                <w:sz w:val="22"/>
                <w:szCs w:val="22"/>
              </w:rPr>
            </w:pPr>
            <w:r>
              <w:rPr>
                <w:sz w:val="22"/>
                <w:szCs w:val="22"/>
              </w:rPr>
              <w:t>P value</w:t>
            </w:r>
          </w:p>
        </w:tc>
      </w:tr>
      <w:tr w:rsidR="005F1C61" w:rsidRPr="009641B5" w14:paraId="26A425CE" w14:textId="493879AC"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B8AE" w14:textId="384204E4" w:rsidR="005F1C61" w:rsidRPr="009641B5" w:rsidRDefault="005F1C61" w:rsidP="00057549">
            <w:pPr>
              <w:pStyle w:val="Body"/>
              <w:spacing w:after="0" w:line="240" w:lineRule="auto"/>
            </w:pPr>
            <w:r w:rsidRPr="009641B5">
              <w:rPr>
                <w:rFonts w:ascii="Times New Roman" w:hAnsi="Times New Roman"/>
                <w:lang w:val="en-US"/>
              </w:rPr>
              <w:t>Model 4: Univariable, females</w:t>
            </w:r>
            <w:r>
              <w:rPr>
                <w:rFonts w:ascii="Times New Roman" w:hAnsi="Times New Roman"/>
                <w:lang w:val="en-US"/>
              </w:rPr>
              <w:t xml:space="preserve"> (n=6144)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6E09F" w14:textId="1BC1E673" w:rsidR="005F1C61" w:rsidRPr="009641B5" w:rsidRDefault="005F1C61" w:rsidP="005F1C61">
            <w:pPr>
              <w:pStyle w:val="Body"/>
              <w:spacing w:after="0" w:line="240" w:lineRule="auto"/>
            </w:pPr>
            <w:r w:rsidRPr="009641B5">
              <w:rPr>
                <w:rFonts w:ascii="Times New Roman" w:hAnsi="Times New Roman"/>
                <w:lang w:val="en-US"/>
              </w:rPr>
              <w:t xml:space="preserve">-.21 (-.44 to .03) </w:t>
            </w:r>
          </w:p>
        </w:tc>
        <w:tc>
          <w:tcPr>
            <w:tcW w:w="1151" w:type="dxa"/>
            <w:tcBorders>
              <w:top w:val="single" w:sz="4" w:space="0" w:color="000000"/>
              <w:left w:val="single" w:sz="4" w:space="0" w:color="000000"/>
              <w:bottom w:val="single" w:sz="4" w:space="0" w:color="000000"/>
              <w:right w:val="single" w:sz="4" w:space="0" w:color="000000"/>
            </w:tcBorders>
          </w:tcPr>
          <w:p w14:paraId="16A09AB9" w14:textId="78B27888" w:rsidR="005F1C61" w:rsidRPr="009641B5" w:rsidRDefault="005F1C61" w:rsidP="00057549">
            <w:pPr>
              <w:pStyle w:val="Body"/>
              <w:spacing w:after="0" w:line="240" w:lineRule="auto"/>
              <w:rPr>
                <w:rFonts w:ascii="Times New Roman" w:hAnsi="Times New Roman"/>
                <w:lang w:val="en-US"/>
              </w:rPr>
            </w:pPr>
            <w:r w:rsidRPr="009641B5">
              <w:rPr>
                <w:rFonts w:ascii="Times New Roman" w:hAnsi="Times New Roman"/>
                <w:lang w:val="en-US"/>
              </w:rPr>
              <w:t>.089</w:t>
            </w:r>
          </w:p>
        </w:tc>
      </w:tr>
      <w:tr w:rsidR="005F1C61" w:rsidRPr="009641B5" w14:paraId="5939011A" w14:textId="2A5C5984"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14D9" w14:textId="26D7D2B2" w:rsidR="005F1C61" w:rsidRPr="009641B5" w:rsidRDefault="005F1C61" w:rsidP="005C58F1">
            <w:pPr>
              <w:pStyle w:val="Body"/>
              <w:spacing w:after="0" w:line="240" w:lineRule="auto"/>
            </w:pPr>
            <w:r w:rsidRPr="009641B5">
              <w:rPr>
                <w:rFonts w:ascii="Times New Roman" w:hAnsi="Times New Roman"/>
                <w:lang w:val="en-US"/>
              </w:rPr>
              <w:t xml:space="preserve">Model 5: Model 4 </w:t>
            </w:r>
            <w:proofErr w:type="spellStart"/>
            <w:r w:rsidRPr="009641B5">
              <w:rPr>
                <w:rFonts w:ascii="Times New Roman" w:hAnsi="Times New Roman"/>
                <w:lang w:val="en-US"/>
              </w:rPr>
              <w:t>adjusted</w:t>
            </w:r>
            <w:r w:rsidRPr="009641B5">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B877A" w14:textId="39532453" w:rsidR="005F1C61" w:rsidRPr="009641B5" w:rsidRDefault="005F1C61" w:rsidP="005F1C61">
            <w:pPr>
              <w:pStyle w:val="Body"/>
              <w:spacing w:after="0" w:line="240" w:lineRule="auto"/>
            </w:pPr>
            <w:r w:rsidRPr="009641B5">
              <w:rPr>
                <w:rFonts w:ascii="Times New Roman" w:hAnsi="Times New Roman"/>
                <w:lang w:val="en-US"/>
              </w:rPr>
              <w:t xml:space="preserve">-.24 (-.47 to -.00) </w:t>
            </w:r>
          </w:p>
        </w:tc>
        <w:tc>
          <w:tcPr>
            <w:tcW w:w="1151" w:type="dxa"/>
            <w:tcBorders>
              <w:top w:val="single" w:sz="4" w:space="0" w:color="000000"/>
              <w:left w:val="single" w:sz="4" w:space="0" w:color="000000"/>
              <w:bottom w:val="single" w:sz="4" w:space="0" w:color="000000"/>
              <w:right w:val="single" w:sz="4" w:space="0" w:color="000000"/>
            </w:tcBorders>
          </w:tcPr>
          <w:p w14:paraId="33E2DA2C" w14:textId="45A54E7B" w:rsidR="005F1C61" w:rsidRPr="009641B5" w:rsidRDefault="005F1C61" w:rsidP="005C58F1">
            <w:pPr>
              <w:pStyle w:val="Body"/>
              <w:spacing w:after="0" w:line="240" w:lineRule="auto"/>
              <w:rPr>
                <w:rFonts w:ascii="Times New Roman" w:hAnsi="Times New Roman"/>
                <w:lang w:val="en-US"/>
              </w:rPr>
            </w:pPr>
            <w:r w:rsidRPr="009641B5">
              <w:rPr>
                <w:rFonts w:ascii="Times New Roman" w:hAnsi="Times New Roman"/>
                <w:lang w:val="en-US"/>
              </w:rPr>
              <w:t>.047</w:t>
            </w:r>
          </w:p>
        </w:tc>
      </w:tr>
      <w:tr w:rsidR="005F1C61" w:rsidRPr="009641B5" w14:paraId="0F86EA9C" w14:textId="20D88CD3"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C329C" w14:textId="77777777" w:rsidR="005F1C61" w:rsidRPr="009641B5" w:rsidRDefault="005F1C61" w:rsidP="005C58F1">
            <w:pP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E87A7" w14:textId="77777777" w:rsidR="005F1C61" w:rsidRPr="009641B5" w:rsidRDefault="005F1C61" w:rsidP="005C58F1">
            <w:pPr>
              <w:rPr>
                <w:sz w:val="22"/>
                <w:szCs w:val="22"/>
              </w:rPr>
            </w:pPr>
          </w:p>
        </w:tc>
        <w:tc>
          <w:tcPr>
            <w:tcW w:w="1151" w:type="dxa"/>
            <w:tcBorders>
              <w:top w:val="single" w:sz="4" w:space="0" w:color="000000"/>
              <w:left w:val="single" w:sz="4" w:space="0" w:color="000000"/>
              <w:bottom w:val="single" w:sz="4" w:space="0" w:color="000000"/>
              <w:right w:val="single" w:sz="4" w:space="0" w:color="000000"/>
            </w:tcBorders>
          </w:tcPr>
          <w:p w14:paraId="2E9F2F07" w14:textId="77777777" w:rsidR="005F1C61" w:rsidRPr="009641B5" w:rsidRDefault="005F1C61" w:rsidP="005C58F1">
            <w:pPr>
              <w:rPr>
                <w:sz w:val="22"/>
                <w:szCs w:val="22"/>
              </w:rPr>
            </w:pPr>
          </w:p>
        </w:tc>
      </w:tr>
      <w:tr w:rsidR="005F1C61" w:rsidRPr="009641B5" w14:paraId="185FA2B5" w14:textId="2BDBF81C"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2D73" w14:textId="66FEEE20" w:rsidR="005F1C61" w:rsidRPr="009641B5" w:rsidRDefault="005F1C61" w:rsidP="005C58F1">
            <w:pPr>
              <w:pStyle w:val="Body"/>
              <w:spacing w:after="0" w:line="240" w:lineRule="auto"/>
            </w:pPr>
            <w:r w:rsidRPr="009641B5">
              <w:rPr>
                <w:rFonts w:ascii="Times New Roman" w:hAnsi="Times New Roman"/>
                <w:lang w:val="en-US"/>
              </w:rPr>
              <w:t>Model 6: Univariable males</w:t>
            </w:r>
            <w:r>
              <w:rPr>
                <w:rFonts w:ascii="Times New Roman" w:hAnsi="Times New Roman"/>
                <w:lang w:val="en-US"/>
              </w:rPr>
              <w:t xml:space="preserve"> (n=6211)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7942" w14:textId="28A8ADFC" w:rsidR="005F1C61" w:rsidRPr="009641B5" w:rsidRDefault="005F1C61" w:rsidP="005F1C61">
            <w:pPr>
              <w:pStyle w:val="Body"/>
              <w:spacing w:after="0" w:line="240" w:lineRule="auto"/>
            </w:pPr>
            <w:r w:rsidRPr="009641B5">
              <w:rPr>
                <w:rFonts w:ascii="Times New Roman" w:hAnsi="Times New Roman"/>
                <w:lang w:val="en-US"/>
              </w:rPr>
              <w:t xml:space="preserve">.06 (-.15 to .26) </w:t>
            </w:r>
          </w:p>
        </w:tc>
        <w:tc>
          <w:tcPr>
            <w:tcW w:w="1151" w:type="dxa"/>
            <w:tcBorders>
              <w:top w:val="single" w:sz="4" w:space="0" w:color="000000"/>
              <w:left w:val="single" w:sz="4" w:space="0" w:color="000000"/>
              <w:bottom w:val="single" w:sz="4" w:space="0" w:color="000000"/>
              <w:right w:val="single" w:sz="4" w:space="0" w:color="000000"/>
            </w:tcBorders>
          </w:tcPr>
          <w:p w14:paraId="30CA1879" w14:textId="6A276620" w:rsidR="005F1C61" w:rsidRPr="009641B5" w:rsidRDefault="005F1C61" w:rsidP="005C58F1">
            <w:pPr>
              <w:pStyle w:val="Body"/>
              <w:spacing w:after="0" w:line="240" w:lineRule="auto"/>
              <w:rPr>
                <w:rFonts w:ascii="Times New Roman" w:hAnsi="Times New Roman"/>
                <w:lang w:val="en-US"/>
              </w:rPr>
            </w:pPr>
            <w:r w:rsidRPr="009641B5">
              <w:rPr>
                <w:rFonts w:ascii="Times New Roman" w:hAnsi="Times New Roman"/>
                <w:lang w:val="en-US"/>
              </w:rPr>
              <w:t>.583</w:t>
            </w:r>
          </w:p>
        </w:tc>
      </w:tr>
      <w:tr w:rsidR="005F1C61" w:rsidRPr="009641B5" w14:paraId="7CEAA616" w14:textId="5419ACAD" w:rsidTr="00213F9C">
        <w:trPr>
          <w:trHeight w:val="300"/>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C968" w14:textId="59CC774F" w:rsidR="005F1C61" w:rsidRPr="009641B5" w:rsidRDefault="005F1C61" w:rsidP="005C58F1">
            <w:pPr>
              <w:pStyle w:val="Body"/>
              <w:spacing w:after="0" w:line="240" w:lineRule="auto"/>
            </w:pPr>
            <w:r w:rsidRPr="009641B5">
              <w:rPr>
                <w:rFonts w:ascii="Times New Roman" w:hAnsi="Times New Roman"/>
                <w:lang w:val="en-US"/>
              </w:rPr>
              <w:t xml:space="preserve">Model 7: Model 6 </w:t>
            </w:r>
            <w:proofErr w:type="spellStart"/>
            <w:r w:rsidRPr="009641B5">
              <w:rPr>
                <w:rFonts w:ascii="Times New Roman" w:hAnsi="Times New Roman"/>
                <w:lang w:val="en-US"/>
              </w:rPr>
              <w:t>adjusted</w:t>
            </w:r>
            <w:r w:rsidRPr="009641B5">
              <w:rPr>
                <w:rFonts w:ascii="Times New Roman" w:hAnsi="Times New Roman"/>
                <w:vertAlign w:val="superscript"/>
                <w:lang w:val="en-US"/>
              </w:rPr>
              <w:t>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517C" w14:textId="432AD685" w:rsidR="005F1C61" w:rsidRPr="009641B5" w:rsidRDefault="005F1C61" w:rsidP="005F1C61">
            <w:pPr>
              <w:pStyle w:val="Body"/>
              <w:spacing w:after="0" w:line="240" w:lineRule="auto"/>
            </w:pPr>
            <w:r w:rsidRPr="009641B5">
              <w:rPr>
                <w:rFonts w:ascii="Times New Roman" w:hAnsi="Times New Roman"/>
                <w:lang w:val="en-US"/>
              </w:rPr>
              <w:t xml:space="preserve">-.01 (-.20 to .19) </w:t>
            </w:r>
          </w:p>
        </w:tc>
        <w:tc>
          <w:tcPr>
            <w:tcW w:w="1151" w:type="dxa"/>
            <w:tcBorders>
              <w:top w:val="single" w:sz="4" w:space="0" w:color="000000"/>
              <w:left w:val="single" w:sz="4" w:space="0" w:color="000000"/>
              <w:bottom w:val="single" w:sz="4" w:space="0" w:color="000000"/>
              <w:right w:val="single" w:sz="4" w:space="0" w:color="000000"/>
            </w:tcBorders>
          </w:tcPr>
          <w:p w14:paraId="78025710" w14:textId="5D747C57" w:rsidR="005F1C61" w:rsidRPr="009641B5" w:rsidRDefault="005F1C61" w:rsidP="005C58F1">
            <w:pPr>
              <w:pStyle w:val="Body"/>
              <w:spacing w:after="0" w:line="240" w:lineRule="auto"/>
              <w:rPr>
                <w:rFonts w:ascii="Times New Roman" w:hAnsi="Times New Roman"/>
                <w:lang w:val="en-US"/>
              </w:rPr>
            </w:pPr>
            <w:r w:rsidRPr="009641B5">
              <w:rPr>
                <w:rFonts w:ascii="Times New Roman" w:hAnsi="Times New Roman"/>
                <w:lang w:val="en-US"/>
              </w:rPr>
              <w:t>.936</w:t>
            </w:r>
          </w:p>
        </w:tc>
      </w:tr>
    </w:tbl>
    <w:p w14:paraId="50F281FF" w14:textId="77777777" w:rsidR="009C1A85" w:rsidRDefault="009C1A85" w:rsidP="009C1A85">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a</w:t>
      </w:r>
      <w:r>
        <w:rPr>
          <w:rFonts w:ascii="Times New Roman" w:hAnsi="Times New Roman"/>
          <w:sz w:val="20"/>
          <w:szCs w:val="20"/>
          <w:lang w:val="en-US"/>
        </w:rPr>
        <w:t xml:space="preserve">Adjusted for confounders measured at or as close as possible to the time of the exposure: family income, maternal education, main </w:t>
      </w:r>
      <w:proofErr w:type="spellStart"/>
      <w:r>
        <w:rPr>
          <w:rFonts w:ascii="Times New Roman" w:hAnsi="Times New Roman"/>
          <w:sz w:val="20"/>
          <w:szCs w:val="20"/>
          <w:lang w:val="en-US"/>
        </w:rPr>
        <w:t>carer</w:t>
      </w:r>
      <w:proofErr w:type="spellEnd"/>
      <w:r>
        <w:rPr>
          <w:rFonts w:ascii="Times New Roman" w:hAnsi="Times New Roman"/>
          <w:sz w:val="20"/>
          <w:szCs w:val="20"/>
          <w:lang w:val="en-US"/>
        </w:rPr>
        <w:t xml:space="preserve"> depressive symptoms, child age, child ethnicity, child IQ and </w:t>
      </w:r>
      <w:r>
        <w:rPr>
          <w:rFonts w:ascii="Times New Roman" w:hAnsi="Times New Roman"/>
          <w:sz w:val="20"/>
          <w:szCs w:val="20"/>
        </w:rPr>
        <w:t>SDQ</w:t>
      </w:r>
      <w:r>
        <w:rPr>
          <w:rFonts w:ascii="Times New Roman" w:hAnsi="Times New Roman"/>
          <w:sz w:val="20"/>
          <w:szCs w:val="20"/>
          <w:lang w:val="en-US"/>
        </w:rPr>
        <w:t xml:space="preserve"> total difficulties score.</w:t>
      </w:r>
    </w:p>
    <w:p w14:paraId="0271E2B1" w14:textId="77777777" w:rsidR="009C1A85" w:rsidRDefault="009C1A85" w:rsidP="009C1A85">
      <w:pPr>
        <w:pStyle w:val="Body"/>
        <w:spacing w:after="0" w:line="240" w:lineRule="auto"/>
        <w:rPr>
          <w:rFonts w:ascii="Times New Roman" w:eastAsia="Times New Roman" w:hAnsi="Times New Roman" w:cs="Times New Roman"/>
          <w:sz w:val="20"/>
          <w:szCs w:val="20"/>
        </w:rPr>
      </w:pPr>
    </w:p>
    <w:p w14:paraId="6612459D" w14:textId="4DE6C720" w:rsidR="009C1A85" w:rsidRDefault="009C1A85" w:rsidP="009C1A85">
      <w:pPr>
        <w:pStyle w:val="Body"/>
        <w:spacing w:after="0" w:line="240" w:lineRule="auto"/>
        <w:rPr>
          <w:rFonts w:ascii="Times New Roman" w:eastAsia="Times New Roman" w:hAnsi="Times New Roman" w:cs="Times New Roman"/>
          <w:sz w:val="20"/>
          <w:szCs w:val="20"/>
        </w:rPr>
      </w:pPr>
      <w:r>
        <w:rPr>
          <w:rFonts w:ascii="Times New Roman" w:hAnsi="Times New Roman"/>
          <w:sz w:val="20"/>
          <w:szCs w:val="20"/>
          <w:vertAlign w:val="superscript"/>
        </w:rPr>
        <w:t>c</w:t>
      </w:r>
      <w:r>
        <w:rPr>
          <w:rFonts w:ascii="Times New Roman" w:hAnsi="Times New Roman"/>
          <w:sz w:val="20"/>
          <w:szCs w:val="20"/>
          <w:lang w:val="en-US"/>
        </w:rPr>
        <w:t xml:space="preserve">Adjusted for the above confounders and, in addition, stage of breast development in females and </w:t>
      </w:r>
      <w:r w:rsidR="00C11C56">
        <w:rPr>
          <w:rFonts w:ascii="Times New Roman" w:hAnsi="Times New Roman"/>
          <w:sz w:val="20"/>
          <w:szCs w:val="20"/>
          <w:lang w:val="en-US"/>
        </w:rPr>
        <w:t xml:space="preserve">stage of </w:t>
      </w:r>
      <w:r>
        <w:rPr>
          <w:rFonts w:ascii="Times New Roman" w:hAnsi="Times New Roman"/>
          <w:sz w:val="20"/>
          <w:szCs w:val="20"/>
          <w:lang w:val="en-US"/>
        </w:rPr>
        <w:t>facial hair development in males.</w:t>
      </w:r>
    </w:p>
    <w:p w14:paraId="66058368" w14:textId="77777777" w:rsidR="009C1A85" w:rsidRDefault="009C1A85"/>
    <w:p w14:paraId="7C8F28C9" w14:textId="77777777" w:rsidR="00B44E8E" w:rsidRDefault="00B44E8E"/>
    <w:p w14:paraId="58DAC563" w14:textId="77777777" w:rsidR="00C70574" w:rsidRDefault="00C70574" w:rsidP="00B44E8E">
      <w:pPr>
        <w:pStyle w:val="Body"/>
        <w:spacing w:after="0" w:line="240" w:lineRule="auto"/>
        <w:rPr>
          <w:rFonts w:ascii="Times New Roman" w:hAnsi="Times New Roman"/>
          <w:sz w:val="24"/>
          <w:szCs w:val="24"/>
          <w:lang w:val="en-US"/>
        </w:rPr>
      </w:pPr>
    </w:p>
    <w:p w14:paraId="5BD34A78" w14:textId="77777777" w:rsidR="00C70574" w:rsidRDefault="00C70574" w:rsidP="00B44E8E">
      <w:pPr>
        <w:pStyle w:val="Body"/>
        <w:spacing w:after="0" w:line="240" w:lineRule="auto"/>
        <w:rPr>
          <w:rFonts w:ascii="Times New Roman" w:hAnsi="Times New Roman"/>
          <w:sz w:val="24"/>
          <w:szCs w:val="24"/>
          <w:lang w:val="en-US"/>
        </w:rPr>
      </w:pPr>
    </w:p>
    <w:p w14:paraId="6CE125CC" w14:textId="77777777" w:rsidR="00753BF3" w:rsidRDefault="00753BF3" w:rsidP="00B44E8E">
      <w:pPr>
        <w:pStyle w:val="Body"/>
        <w:spacing w:after="0" w:line="240" w:lineRule="auto"/>
        <w:rPr>
          <w:rFonts w:ascii="Times New Roman" w:hAnsi="Times New Roman"/>
          <w:b/>
          <w:bCs/>
          <w:sz w:val="24"/>
          <w:szCs w:val="24"/>
          <w:lang w:val="en-US"/>
        </w:rPr>
      </w:pPr>
    </w:p>
    <w:p w14:paraId="405CB512" w14:textId="77777777" w:rsidR="00753BF3" w:rsidRDefault="00753BF3" w:rsidP="00B44E8E">
      <w:pPr>
        <w:pStyle w:val="Body"/>
        <w:spacing w:after="0" w:line="240" w:lineRule="auto"/>
        <w:rPr>
          <w:rFonts w:ascii="Times New Roman" w:hAnsi="Times New Roman"/>
          <w:b/>
          <w:bCs/>
          <w:sz w:val="24"/>
          <w:szCs w:val="24"/>
          <w:lang w:val="en-US"/>
        </w:rPr>
      </w:pPr>
    </w:p>
    <w:p w14:paraId="43113E21" w14:textId="77777777" w:rsidR="00753BF3" w:rsidRDefault="00753BF3" w:rsidP="00B44E8E">
      <w:pPr>
        <w:pStyle w:val="Body"/>
        <w:spacing w:after="0" w:line="240" w:lineRule="auto"/>
        <w:rPr>
          <w:rFonts w:ascii="Times New Roman" w:hAnsi="Times New Roman"/>
          <w:b/>
          <w:bCs/>
          <w:sz w:val="24"/>
          <w:szCs w:val="24"/>
          <w:lang w:val="en-US"/>
        </w:rPr>
      </w:pPr>
    </w:p>
    <w:p w14:paraId="370FC67A" w14:textId="77777777" w:rsidR="00753BF3" w:rsidRDefault="00753BF3" w:rsidP="00B44E8E">
      <w:pPr>
        <w:pStyle w:val="Body"/>
        <w:spacing w:after="0" w:line="240" w:lineRule="auto"/>
        <w:rPr>
          <w:rFonts w:ascii="Times New Roman" w:hAnsi="Times New Roman"/>
          <w:b/>
          <w:bCs/>
          <w:sz w:val="24"/>
          <w:szCs w:val="24"/>
          <w:lang w:val="en-US"/>
        </w:rPr>
      </w:pPr>
    </w:p>
    <w:p w14:paraId="2E552E33" w14:textId="77777777" w:rsidR="00753BF3" w:rsidRDefault="00753BF3" w:rsidP="00B44E8E">
      <w:pPr>
        <w:pStyle w:val="Body"/>
        <w:spacing w:after="0" w:line="240" w:lineRule="auto"/>
        <w:rPr>
          <w:rFonts w:ascii="Times New Roman" w:hAnsi="Times New Roman"/>
          <w:b/>
          <w:bCs/>
          <w:sz w:val="24"/>
          <w:szCs w:val="24"/>
          <w:lang w:val="en-US"/>
        </w:rPr>
      </w:pPr>
    </w:p>
    <w:p w14:paraId="0E3AF850" w14:textId="77777777" w:rsidR="00753BF3" w:rsidRDefault="00753BF3" w:rsidP="00B44E8E">
      <w:pPr>
        <w:pStyle w:val="Body"/>
        <w:spacing w:after="0" w:line="240" w:lineRule="auto"/>
        <w:rPr>
          <w:rFonts w:ascii="Times New Roman" w:hAnsi="Times New Roman"/>
          <w:b/>
          <w:bCs/>
          <w:sz w:val="24"/>
          <w:szCs w:val="24"/>
          <w:lang w:val="en-US"/>
        </w:rPr>
      </w:pPr>
    </w:p>
    <w:p w14:paraId="5A47EBAF" w14:textId="77777777" w:rsidR="00753BF3" w:rsidRDefault="00753BF3" w:rsidP="00B44E8E">
      <w:pPr>
        <w:pStyle w:val="Body"/>
        <w:spacing w:after="0" w:line="240" w:lineRule="auto"/>
        <w:rPr>
          <w:rFonts w:ascii="Times New Roman" w:hAnsi="Times New Roman"/>
          <w:b/>
          <w:bCs/>
          <w:sz w:val="24"/>
          <w:szCs w:val="24"/>
          <w:lang w:val="en-US"/>
        </w:rPr>
      </w:pPr>
    </w:p>
    <w:p w14:paraId="164D9037" w14:textId="77777777" w:rsidR="00753BF3" w:rsidRDefault="00753BF3" w:rsidP="00B44E8E">
      <w:pPr>
        <w:pStyle w:val="Body"/>
        <w:spacing w:after="0" w:line="240" w:lineRule="auto"/>
        <w:rPr>
          <w:rFonts w:ascii="Times New Roman" w:hAnsi="Times New Roman"/>
          <w:b/>
          <w:bCs/>
          <w:sz w:val="24"/>
          <w:szCs w:val="24"/>
          <w:lang w:val="en-US"/>
        </w:rPr>
      </w:pPr>
    </w:p>
    <w:p w14:paraId="45EF1D92" w14:textId="77777777" w:rsidR="00753BF3" w:rsidRDefault="00753BF3" w:rsidP="00B44E8E">
      <w:pPr>
        <w:pStyle w:val="Body"/>
        <w:spacing w:after="0" w:line="240" w:lineRule="auto"/>
        <w:rPr>
          <w:rFonts w:ascii="Times New Roman" w:hAnsi="Times New Roman"/>
          <w:b/>
          <w:bCs/>
          <w:sz w:val="24"/>
          <w:szCs w:val="24"/>
          <w:lang w:val="en-US"/>
        </w:rPr>
      </w:pPr>
    </w:p>
    <w:p w14:paraId="30F0F309" w14:textId="77777777" w:rsidR="00753BF3" w:rsidRDefault="00753BF3" w:rsidP="00B44E8E">
      <w:pPr>
        <w:pStyle w:val="Body"/>
        <w:spacing w:after="0" w:line="240" w:lineRule="auto"/>
        <w:rPr>
          <w:rFonts w:ascii="Times New Roman" w:hAnsi="Times New Roman"/>
          <w:b/>
          <w:bCs/>
          <w:sz w:val="24"/>
          <w:szCs w:val="24"/>
          <w:lang w:val="en-US"/>
        </w:rPr>
      </w:pPr>
    </w:p>
    <w:p w14:paraId="2542454D" w14:textId="77777777" w:rsidR="00753BF3" w:rsidRDefault="00753BF3" w:rsidP="00B44E8E">
      <w:pPr>
        <w:pStyle w:val="Body"/>
        <w:spacing w:after="0" w:line="240" w:lineRule="auto"/>
        <w:rPr>
          <w:rFonts w:ascii="Times New Roman" w:hAnsi="Times New Roman"/>
          <w:b/>
          <w:bCs/>
          <w:sz w:val="24"/>
          <w:szCs w:val="24"/>
          <w:lang w:val="en-US"/>
        </w:rPr>
      </w:pPr>
    </w:p>
    <w:p w14:paraId="364AE3FF" w14:textId="77777777" w:rsidR="00753BF3" w:rsidRDefault="00753BF3" w:rsidP="00B44E8E">
      <w:pPr>
        <w:pStyle w:val="Body"/>
        <w:spacing w:after="0" w:line="240" w:lineRule="auto"/>
        <w:rPr>
          <w:rFonts w:ascii="Times New Roman" w:hAnsi="Times New Roman"/>
          <w:b/>
          <w:bCs/>
          <w:sz w:val="24"/>
          <w:szCs w:val="24"/>
          <w:lang w:val="en-US"/>
        </w:rPr>
      </w:pPr>
    </w:p>
    <w:p w14:paraId="566F7C03" w14:textId="77777777" w:rsidR="00753BF3" w:rsidRDefault="00753BF3" w:rsidP="00B44E8E">
      <w:pPr>
        <w:pStyle w:val="Body"/>
        <w:spacing w:after="0" w:line="240" w:lineRule="auto"/>
        <w:rPr>
          <w:rFonts w:ascii="Times New Roman" w:hAnsi="Times New Roman"/>
          <w:b/>
          <w:bCs/>
          <w:sz w:val="24"/>
          <w:szCs w:val="24"/>
          <w:lang w:val="en-US"/>
        </w:rPr>
      </w:pPr>
    </w:p>
    <w:p w14:paraId="19026CE5" w14:textId="77777777" w:rsidR="00753BF3" w:rsidRDefault="00753BF3" w:rsidP="00B44E8E">
      <w:pPr>
        <w:pStyle w:val="Body"/>
        <w:spacing w:after="0" w:line="240" w:lineRule="auto"/>
        <w:rPr>
          <w:rFonts w:ascii="Times New Roman" w:hAnsi="Times New Roman"/>
          <w:b/>
          <w:bCs/>
          <w:sz w:val="24"/>
          <w:szCs w:val="24"/>
          <w:lang w:val="en-US"/>
        </w:rPr>
      </w:pPr>
    </w:p>
    <w:p w14:paraId="764D739A" w14:textId="77777777" w:rsidR="00753BF3" w:rsidRDefault="00753BF3" w:rsidP="00B44E8E">
      <w:pPr>
        <w:pStyle w:val="Body"/>
        <w:spacing w:after="0" w:line="240" w:lineRule="auto"/>
        <w:rPr>
          <w:rFonts w:ascii="Times New Roman" w:hAnsi="Times New Roman"/>
          <w:b/>
          <w:bCs/>
          <w:sz w:val="24"/>
          <w:szCs w:val="24"/>
          <w:lang w:val="en-US"/>
        </w:rPr>
      </w:pPr>
    </w:p>
    <w:p w14:paraId="2CF0B42D" w14:textId="77777777" w:rsidR="00753BF3" w:rsidRDefault="00753BF3" w:rsidP="00B44E8E">
      <w:pPr>
        <w:pStyle w:val="Body"/>
        <w:spacing w:after="0" w:line="240" w:lineRule="auto"/>
        <w:rPr>
          <w:rFonts w:ascii="Times New Roman" w:hAnsi="Times New Roman"/>
          <w:b/>
          <w:bCs/>
          <w:sz w:val="24"/>
          <w:szCs w:val="24"/>
          <w:lang w:val="en-US"/>
        </w:rPr>
      </w:pPr>
    </w:p>
    <w:p w14:paraId="24362884" w14:textId="77777777" w:rsidR="00753BF3" w:rsidRDefault="00753BF3" w:rsidP="00B44E8E">
      <w:pPr>
        <w:pStyle w:val="Body"/>
        <w:spacing w:after="0" w:line="240" w:lineRule="auto"/>
        <w:rPr>
          <w:rFonts w:ascii="Times New Roman" w:hAnsi="Times New Roman"/>
          <w:b/>
          <w:bCs/>
          <w:sz w:val="24"/>
          <w:szCs w:val="24"/>
          <w:lang w:val="en-US"/>
        </w:rPr>
      </w:pPr>
    </w:p>
    <w:p w14:paraId="53DCBFD3" w14:textId="4CBD16FC" w:rsidR="00C70574" w:rsidRDefault="00692CFC" w:rsidP="00B44E8E">
      <w:pPr>
        <w:pStyle w:val="Body"/>
        <w:spacing w:after="0" w:line="240" w:lineRule="auto"/>
        <w:rPr>
          <w:rFonts w:ascii="Times New Roman" w:hAnsi="Times New Roman"/>
          <w:b/>
          <w:bCs/>
          <w:sz w:val="24"/>
          <w:szCs w:val="24"/>
          <w:lang w:val="en-US"/>
        </w:rPr>
      </w:pPr>
      <w:r w:rsidRPr="00753BF3">
        <w:rPr>
          <w:rFonts w:ascii="Times New Roman" w:hAnsi="Times New Roman"/>
          <w:b/>
          <w:sz w:val="36"/>
          <w:szCs w:val="36"/>
          <w:lang w:val="en-US"/>
        </w:rPr>
        <w:lastRenderedPageBreak/>
        <w:t>References</w:t>
      </w:r>
    </w:p>
    <w:p w14:paraId="0D27A2E2" w14:textId="77777777" w:rsidR="00753BF3" w:rsidRPr="00692CFC" w:rsidRDefault="00753BF3" w:rsidP="00B44E8E">
      <w:pPr>
        <w:pStyle w:val="Body"/>
        <w:spacing w:after="0" w:line="240" w:lineRule="auto"/>
        <w:rPr>
          <w:rFonts w:ascii="Times New Roman" w:hAnsi="Times New Roman"/>
          <w:b/>
          <w:bCs/>
          <w:sz w:val="24"/>
          <w:szCs w:val="24"/>
          <w:lang w:val="en-US"/>
        </w:rPr>
      </w:pPr>
    </w:p>
    <w:p w14:paraId="48164D5E" w14:textId="674E662D" w:rsidR="00043965" w:rsidRPr="00043965" w:rsidRDefault="00692CFC" w:rsidP="00043965">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043965" w:rsidRPr="00043965">
        <w:rPr>
          <w:noProof/>
        </w:rPr>
        <w:t xml:space="preserve">Flouri, E., &amp; Ioakeimidi, S. (2018). Maternal depressive symptoms in childhood and risky behaviours in early adolescence. </w:t>
      </w:r>
      <w:r w:rsidR="00043965" w:rsidRPr="00043965">
        <w:rPr>
          <w:i/>
          <w:iCs/>
          <w:noProof/>
        </w:rPr>
        <w:t>European Child &amp; Adolescent Psychiatry</w:t>
      </w:r>
      <w:r w:rsidR="00043965" w:rsidRPr="00043965">
        <w:rPr>
          <w:noProof/>
        </w:rPr>
        <w:t xml:space="preserve">, </w:t>
      </w:r>
      <w:r w:rsidR="00043965" w:rsidRPr="00043965">
        <w:rPr>
          <w:i/>
          <w:iCs/>
          <w:noProof/>
        </w:rPr>
        <w:t>27</w:t>
      </w:r>
      <w:r w:rsidR="00043965" w:rsidRPr="00043965">
        <w:rPr>
          <w:noProof/>
        </w:rPr>
        <w:t>, 301–308. https://doi.org/10.1007/s00787-017-1043-6</w:t>
      </w:r>
    </w:p>
    <w:p w14:paraId="1AA2DFA0"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Goodman, A., &amp; Goodman, R. (2009). Strengths and difficulties questionnaire as a dimensional measure of child mental health. </w:t>
      </w:r>
      <w:r w:rsidRPr="00043965">
        <w:rPr>
          <w:i/>
          <w:iCs/>
          <w:noProof/>
        </w:rPr>
        <w:t>Journal of the American Academy of Child and Adolescent Psychiatry</w:t>
      </w:r>
      <w:r w:rsidRPr="00043965">
        <w:rPr>
          <w:noProof/>
        </w:rPr>
        <w:t xml:space="preserve">, </w:t>
      </w:r>
      <w:r w:rsidRPr="00043965">
        <w:rPr>
          <w:i/>
          <w:iCs/>
          <w:noProof/>
        </w:rPr>
        <w:t>48</w:t>
      </w:r>
      <w:r w:rsidRPr="00043965">
        <w:rPr>
          <w:noProof/>
        </w:rPr>
        <w:t>(4), 400–403. https://doi.org/10.1097/CHI.0b013e3181985068</w:t>
      </w:r>
    </w:p>
    <w:p w14:paraId="7569B3BF"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Joinson, C., Heron, J., Araya, R., Paus, T., Croudace, T., Rubin, C., … Lewis, G. (2012). Association between pubertal development and depressive symptoms in girls from a UK cohort. </w:t>
      </w:r>
      <w:r w:rsidRPr="00043965">
        <w:rPr>
          <w:i/>
          <w:iCs/>
          <w:noProof/>
        </w:rPr>
        <w:t>Psychological Medicine</w:t>
      </w:r>
      <w:r w:rsidRPr="00043965">
        <w:rPr>
          <w:noProof/>
        </w:rPr>
        <w:t xml:space="preserve">, </w:t>
      </w:r>
      <w:r w:rsidRPr="00043965">
        <w:rPr>
          <w:i/>
          <w:iCs/>
          <w:noProof/>
        </w:rPr>
        <w:t>42</w:t>
      </w:r>
      <w:r w:rsidRPr="00043965">
        <w:rPr>
          <w:noProof/>
        </w:rPr>
        <w:t>(12), 2579–2589. https://doi.org/10.1017/S003329171200061X</w:t>
      </w:r>
    </w:p>
    <w:p w14:paraId="7321902F"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Kelly, Y., Zilanawala, A., Sacker, A., Hiatt, R., &amp; Viner, R. (2017). Early puberty in 11-year-old girls: Millennium Cohort Study findings. </w:t>
      </w:r>
      <w:r w:rsidRPr="00043965">
        <w:rPr>
          <w:i/>
          <w:iCs/>
          <w:noProof/>
        </w:rPr>
        <w:t>Archives of Disease in Childhood</w:t>
      </w:r>
      <w:r w:rsidRPr="00043965">
        <w:rPr>
          <w:noProof/>
        </w:rPr>
        <w:t xml:space="preserve">, </w:t>
      </w:r>
      <w:r w:rsidRPr="00043965">
        <w:rPr>
          <w:i/>
          <w:iCs/>
          <w:noProof/>
        </w:rPr>
        <w:t>102</w:t>
      </w:r>
      <w:r w:rsidRPr="00043965">
        <w:rPr>
          <w:noProof/>
        </w:rPr>
        <w:t>(3), 232–237. https://doi.org/10.1136/archdischild-2016-310475</w:t>
      </w:r>
    </w:p>
    <w:p w14:paraId="69A54732"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Kessler, R. C., Andrews, G., Colpe, L. J., Hiripi, E., Mroczek, D. K., Normand, S. L. T., … Zaslavsky, A. M. (2002). Short screening scales to monitor population prevalences and trends in non-specific psychological distress. </w:t>
      </w:r>
      <w:r w:rsidRPr="00043965">
        <w:rPr>
          <w:i/>
          <w:iCs/>
          <w:noProof/>
        </w:rPr>
        <w:t>Psychological Medicine</w:t>
      </w:r>
      <w:r w:rsidRPr="00043965">
        <w:rPr>
          <w:noProof/>
        </w:rPr>
        <w:t xml:space="preserve">, </w:t>
      </w:r>
      <w:r w:rsidRPr="00043965">
        <w:rPr>
          <w:i/>
          <w:iCs/>
          <w:noProof/>
        </w:rPr>
        <w:t>32</w:t>
      </w:r>
      <w:r w:rsidRPr="00043965">
        <w:rPr>
          <w:noProof/>
        </w:rPr>
        <w:t>(6), 959–976.</w:t>
      </w:r>
    </w:p>
    <w:p w14:paraId="04A92734"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Lewis, G., Ioannidis, K., van Harmelen, A.-L., Neufeld, S., Stochl, J., Lewis, G., … Goodyer, I. (2018). The association between pubertal status and depressive symptoms and diagnoses in adolescent females: A population-based cohort study. </w:t>
      </w:r>
      <w:r w:rsidRPr="00043965">
        <w:rPr>
          <w:i/>
          <w:iCs/>
          <w:noProof/>
        </w:rPr>
        <w:t>PLOS ONE</w:t>
      </w:r>
      <w:r w:rsidRPr="00043965">
        <w:rPr>
          <w:noProof/>
        </w:rPr>
        <w:t xml:space="preserve">, </w:t>
      </w:r>
      <w:r w:rsidRPr="00043965">
        <w:rPr>
          <w:i/>
          <w:iCs/>
          <w:noProof/>
        </w:rPr>
        <w:t>13</w:t>
      </w:r>
      <w:r w:rsidRPr="00043965">
        <w:rPr>
          <w:noProof/>
        </w:rPr>
        <w:t>(6), e0198804. Retrieved from http://www.ncbi.nlm.nih.gov/pubmed/29912985</w:t>
      </w:r>
    </w:p>
    <w:p w14:paraId="6851A7CA" w14:textId="77777777" w:rsidR="00043965" w:rsidRPr="00043965" w:rsidRDefault="00043965" w:rsidP="00043965">
      <w:pPr>
        <w:widowControl w:val="0"/>
        <w:autoSpaceDE w:val="0"/>
        <w:autoSpaceDN w:val="0"/>
        <w:adjustRightInd w:val="0"/>
        <w:ind w:left="480" w:hanging="480"/>
        <w:rPr>
          <w:noProof/>
        </w:rPr>
      </w:pPr>
      <w:r w:rsidRPr="00043965">
        <w:rPr>
          <w:noProof/>
        </w:rPr>
        <w:t xml:space="preserve">Petersen, A. C., Crockett, L., Richards, M., &amp; Boxer, A. (1988). A self-report measure of pubertal status: Reliability, validity, and initial norms. </w:t>
      </w:r>
      <w:r w:rsidRPr="00043965">
        <w:rPr>
          <w:i/>
          <w:iCs/>
          <w:noProof/>
        </w:rPr>
        <w:t>Journal of Youth and Adolescence</w:t>
      </w:r>
      <w:r w:rsidRPr="00043965">
        <w:rPr>
          <w:noProof/>
        </w:rPr>
        <w:t xml:space="preserve">, </w:t>
      </w:r>
      <w:r w:rsidRPr="00043965">
        <w:rPr>
          <w:i/>
          <w:iCs/>
          <w:noProof/>
        </w:rPr>
        <w:t>17</w:t>
      </w:r>
      <w:r w:rsidRPr="00043965">
        <w:rPr>
          <w:noProof/>
        </w:rPr>
        <w:t>(2), 117–133. https://doi.org/10.1007/BF01537962</w:t>
      </w:r>
    </w:p>
    <w:p w14:paraId="56B7E083" w14:textId="1F9EEF8A" w:rsidR="00C70574" w:rsidRDefault="00692CFC" w:rsidP="00043965">
      <w:pPr>
        <w:widowControl w:val="0"/>
        <w:autoSpaceDE w:val="0"/>
        <w:autoSpaceDN w:val="0"/>
        <w:adjustRightInd w:val="0"/>
        <w:ind w:left="480" w:hanging="480"/>
      </w:pPr>
      <w:r>
        <w:fldChar w:fldCharType="end"/>
      </w:r>
    </w:p>
    <w:p w14:paraId="672CD9C7" w14:textId="77777777" w:rsidR="00C70574" w:rsidRDefault="00C70574" w:rsidP="00B44E8E">
      <w:pPr>
        <w:pStyle w:val="Body"/>
        <w:spacing w:after="0" w:line="240" w:lineRule="auto"/>
        <w:rPr>
          <w:rFonts w:ascii="Times New Roman" w:hAnsi="Times New Roman"/>
          <w:sz w:val="24"/>
          <w:szCs w:val="24"/>
          <w:lang w:val="en-US"/>
        </w:rPr>
      </w:pPr>
    </w:p>
    <w:p w14:paraId="3EAB9F7A" w14:textId="77777777" w:rsidR="00C70574" w:rsidRDefault="00C70574" w:rsidP="00B44E8E">
      <w:pPr>
        <w:pStyle w:val="Body"/>
        <w:spacing w:after="0" w:line="240" w:lineRule="auto"/>
        <w:rPr>
          <w:rFonts w:ascii="Times New Roman" w:hAnsi="Times New Roman"/>
          <w:sz w:val="24"/>
          <w:szCs w:val="24"/>
          <w:lang w:val="en-US"/>
        </w:rPr>
      </w:pPr>
    </w:p>
    <w:p w14:paraId="5911F2A5" w14:textId="77777777" w:rsidR="00C70574" w:rsidRDefault="00C70574" w:rsidP="00B44E8E">
      <w:pPr>
        <w:pStyle w:val="Body"/>
        <w:spacing w:after="0" w:line="240" w:lineRule="auto"/>
        <w:rPr>
          <w:rFonts w:ascii="Times New Roman" w:hAnsi="Times New Roman"/>
          <w:sz w:val="24"/>
          <w:szCs w:val="24"/>
          <w:lang w:val="en-US"/>
        </w:rPr>
      </w:pPr>
    </w:p>
    <w:p w14:paraId="2096904A" w14:textId="77777777" w:rsidR="00C70574" w:rsidRDefault="00C70574" w:rsidP="00B44E8E">
      <w:pPr>
        <w:pStyle w:val="Body"/>
        <w:spacing w:after="0" w:line="240" w:lineRule="auto"/>
        <w:rPr>
          <w:rFonts w:ascii="Times New Roman" w:hAnsi="Times New Roman"/>
          <w:sz w:val="24"/>
          <w:szCs w:val="24"/>
          <w:lang w:val="en-US"/>
        </w:rPr>
      </w:pPr>
    </w:p>
    <w:p w14:paraId="4B2A3362" w14:textId="77777777" w:rsidR="00C70574" w:rsidRDefault="00C70574" w:rsidP="00B44E8E">
      <w:pPr>
        <w:pStyle w:val="Body"/>
        <w:spacing w:after="0" w:line="240" w:lineRule="auto"/>
        <w:rPr>
          <w:rFonts w:ascii="Times New Roman" w:hAnsi="Times New Roman"/>
          <w:sz w:val="24"/>
          <w:szCs w:val="24"/>
          <w:lang w:val="en-US"/>
        </w:rPr>
      </w:pPr>
    </w:p>
    <w:p w14:paraId="2D0221E6" w14:textId="77777777" w:rsidR="00C70574" w:rsidRDefault="00C70574" w:rsidP="00B44E8E">
      <w:pPr>
        <w:pStyle w:val="Body"/>
        <w:spacing w:after="0" w:line="240" w:lineRule="auto"/>
        <w:rPr>
          <w:rFonts w:ascii="Times New Roman" w:hAnsi="Times New Roman"/>
          <w:sz w:val="24"/>
          <w:szCs w:val="24"/>
          <w:lang w:val="en-US"/>
        </w:rPr>
      </w:pPr>
    </w:p>
    <w:p w14:paraId="45DB5297" w14:textId="77777777" w:rsidR="00C70574" w:rsidRDefault="00C70574" w:rsidP="00B44E8E">
      <w:pPr>
        <w:pStyle w:val="Body"/>
        <w:spacing w:after="0" w:line="240" w:lineRule="auto"/>
        <w:rPr>
          <w:rFonts w:ascii="Times New Roman" w:hAnsi="Times New Roman"/>
          <w:sz w:val="24"/>
          <w:szCs w:val="24"/>
          <w:lang w:val="en-US"/>
        </w:rPr>
      </w:pPr>
    </w:p>
    <w:p w14:paraId="09FC4320" w14:textId="77777777" w:rsidR="00C70574" w:rsidRDefault="00C70574" w:rsidP="00B44E8E">
      <w:pPr>
        <w:pStyle w:val="Body"/>
        <w:spacing w:after="0" w:line="240" w:lineRule="auto"/>
        <w:rPr>
          <w:rFonts w:ascii="Times New Roman" w:hAnsi="Times New Roman"/>
          <w:sz w:val="24"/>
          <w:szCs w:val="24"/>
          <w:lang w:val="en-US"/>
        </w:rPr>
      </w:pPr>
    </w:p>
    <w:p w14:paraId="2DA7D50E" w14:textId="77777777" w:rsidR="00C70574" w:rsidRDefault="00C70574" w:rsidP="00B44E8E">
      <w:pPr>
        <w:pStyle w:val="Body"/>
        <w:spacing w:after="0" w:line="240" w:lineRule="auto"/>
        <w:rPr>
          <w:rFonts w:ascii="Times New Roman" w:hAnsi="Times New Roman"/>
          <w:sz w:val="24"/>
          <w:szCs w:val="24"/>
          <w:lang w:val="en-US"/>
        </w:rPr>
      </w:pPr>
    </w:p>
    <w:p w14:paraId="1AA536EE" w14:textId="77777777" w:rsidR="00C70574" w:rsidRDefault="00C70574" w:rsidP="00B44E8E">
      <w:pPr>
        <w:pStyle w:val="Body"/>
        <w:spacing w:after="0" w:line="240" w:lineRule="auto"/>
        <w:rPr>
          <w:rFonts w:ascii="Times New Roman" w:hAnsi="Times New Roman"/>
          <w:sz w:val="24"/>
          <w:szCs w:val="24"/>
          <w:lang w:val="en-US"/>
        </w:rPr>
      </w:pPr>
    </w:p>
    <w:p w14:paraId="4F390ED1" w14:textId="77777777" w:rsidR="00C70574" w:rsidRDefault="00C70574" w:rsidP="00B44E8E">
      <w:pPr>
        <w:pStyle w:val="Body"/>
        <w:spacing w:after="0" w:line="240" w:lineRule="auto"/>
        <w:rPr>
          <w:rFonts w:ascii="Times New Roman" w:hAnsi="Times New Roman"/>
          <w:sz w:val="24"/>
          <w:szCs w:val="24"/>
          <w:lang w:val="en-US"/>
        </w:rPr>
      </w:pPr>
    </w:p>
    <w:p w14:paraId="5AFA5745" w14:textId="77777777" w:rsidR="00C70574" w:rsidRDefault="00C70574" w:rsidP="00B44E8E">
      <w:pPr>
        <w:pStyle w:val="Body"/>
        <w:spacing w:after="0" w:line="240" w:lineRule="auto"/>
        <w:rPr>
          <w:rFonts w:ascii="Times New Roman" w:hAnsi="Times New Roman"/>
          <w:sz w:val="24"/>
          <w:szCs w:val="24"/>
          <w:lang w:val="en-US"/>
        </w:rPr>
      </w:pPr>
    </w:p>
    <w:p w14:paraId="50F2C8C2" w14:textId="77777777" w:rsidR="00C70574" w:rsidRDefault="00C70574" w:rsidP="00B44E8E">
      <w:pPr>
        <w:pStyle w:val="Body"/>
        <w:spacing w:after="0" w:line="240" w:lineRule="auto"/>
        <w:rPr>
          <w:rFonts w:ascii="Times New Roman" w:hAnsi="Times New Roman"/>
          <w:sz w:val="24"/>
          <w:szCs w:val="24"/>
          <w:lang w:val="en-US"/>
        </w:rPr>
      </w:pPr>
    </w:p>
    <w:sectPr w:rsidR="00C7057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2883C" w14:textId="77777777" w:rsidR="00CE41A0" w:rsidRDefault="00CE41A0" w:rsidP="00654A38">
      <w:r>
        <w:separator/>
      </w:r>
    </w:p>
  </w:endnote>
  <w:endnote w:type="continuationSeparator" w:id="0">
    <w:p w14:paraId="65FB1FC2" w14:textId="77777777" w:rsidR="00CE41A0" w:rsidRDefault="00CE41A0" w:rsidP="0065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4467255"/>
      <w:docPartObj>
        <w:docPartGallery w:val="Page Numbers (Bottom of Page)"/>
        <w:docPartUnique/>
      </w:docPartObj>
    </w:sdtPr>
    <w:sdtEndPr>
      <w:rPr>
        <w:rStyle w:val="PageNumber"/>
      </w:rPr>
    </w:sdtEndPr>
    <w:sdtContent>
      <w:p w14:paraId="716CEBEC" w14:textId="72D9BFDE" w:rsidR="00777977" w:rsidRDefault="00777977" w:rsidP="00777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B6CE1" w14:textId="77777777" w:rsidR="00777977" w:rsidRDefault="00777977" w:rsidP="00654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9825940"/>
      <w:docPartObj>
        <w:docPartGallery w:val="Page Numbers (Bottom of Page)"/>
        <w:docPartUnique/>
      </w:docPartObj>
    </w:sdtPr>
    <w:sdtEndPr>
      <w:rPr>
        <w:rStyle w:val="PageNumber"/>
      </w:rPr>
    </w:sdtEndPr>
    <w:sdtContent>
      <w:p w14:paraId="2021FCFD" w14:textId="4EAE4DCD" w:rsidR="00777977" w:rsidRDefault="00777977" w:rsidP="00777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B7FAED" w14:textId="77777777" w:rsidR="00777977" w:rsidRDefault="00777977" w:rsidP="00654A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0FED" w14:textId="77777777" w:rsidR="00CE41A0" w:rsidRDefault="00CE41A0" w:rsidP="00654A38">
      <w:r>
        <w:separator/>
      </w:r>
    </w:p>
  </w:footnote>
  <w:footnote w:type="continuationSeparator" w:id="0">
    <w:p w14:paraId="3A6E9F62" w14:textId="77777777" w:rsidR="00CE41A0" w:rsidRDefault="00CE41A0" w:rsidP="00654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C7"/>
    <w:rsid w:val="00002F44"/>
    <w:rsid w:val="000305F8"/>
    <w:rsid w:val="00030AD6"/>
    <w:rsid w:val="00033EA3"/>
    <w:rsid w:val="000432AC"/>
    <w:rsid w:val="00043965"/>
    <w:rsid w:val="00057549"/>
    <w:rsid w:val="000804F7"/>
    <w:rsid w:val="000816AC"/>
    <w:rsid w:val="00081E38"/>
    <w:rsid w:val="0008680F"/>
    <w:rsid w:val="00094BBE"/>
    <w:rsid w:val="0009539E"/>
    <w:rsid w:val="00097CEF"/>
    <w:rsid w:val="000A60D2"/>
    <w:rsid w:val="000C0FD7"/>
    <w:rsid w:val="00111614"/>
    <w:rsid w:val="001463F0"/>
    <w:rsid w:val="00147D24"/>
    <w:rsid w:val="00151041"/>
    <w:rsid w:val="00160529"/>
    <w:rsid w:val="0018094C"/>
    <w:rsid w:val="001935CE"/>
    <w:rsid w:val="00196801"/>
    <w:rsid w:val="001A14FB"/>
    <w:rsid w:val="001A4088"/>
    <w:rsid w:val="001A4C77"/>
    <w:rsid w:val="001A5275"/>
    <w:rsid w:val="001D56C6"/>
    <w:rsid w:val="00213F9C"/>
    <w:rsid w:val="00236D62"/>
    <w:rsid w:val="00251F10"/>
    <w:rsid w:val="002722A6"/>
    <w:rsid w:val="00290DC5"/>
    <w:rsid w:val="002954C6"/>
    <w:rsid w:val="002A1C56"/>
    <w:rsid w:val="002B4B94"/>
    <w:rsid w:val="002B6783"/>
    <w:rsid w:val="002C0848"/>
    <w:rsid w:val="002E073B"/>
    <w:rsid w:val="0030273F"/>
    <w:rsid w:val="00310627"/>
    <w:rsid w:val="00340080"/>
    <w:rsid w:val="00342763"/>
    <w:rsid w:val="00353592"/>
    <w:rsid w:val="00361DD2"/>
    <w:rsid w:val="00381BD2"/>
    <w:rsid w:val="0038500C"/>
    <w:rsid w:val="00386671"/>
    <w:rsid w:val="003A0773"/>
    <w:rsid w:val="003A1E48"/>
    <w:rsid w:val="003C05D2"/>
    <w:rsid w:val="003C077A"/>
    <w:rsid w:val="003C652F"/>
    <w:rsid w:val="003D5E1D"/>
    <w:rsid w:val="003E2967"/>
    <w:rsid w:val="004037BE"/>
    <w:rsid w:val="0040561E"/>
    <w:rsid w:val="00422CD6"/>
    <w:rsid w:val="0043105A"/>
    <w:rsid w:val="004422C5"/>
    <w:rsid w:val="0046039F"/>
    <w:rsid w:val="00470C34"/>
    <w:rsid w:val="00486908"/>
    <w:rsid w:val="00491F5F"/>
    <w:rsid w:val="004A0ECA"/>
    <w:rsid w:val="004A5F6B"/>
    <w:rsid w:val="004B5357"/>
    <w:rsid w:val="004B6D15"/>
    <w:rsid w:val="004C5FD1"/>
    <w:rsid w:val="004E4115"/>
    <w:rsid w:val="004F3C0C"/>
    <w:rsid w:val="00502FB4"/>
    <w:rsid w:val="00533684"/>
    <w:rsid w:val="00552060"/>
    <w:rsid w:val="00552E5A"/>
    <w:rsid w:val="0058128C"/>
    <w:rsid w:val="0058316C"/>
    <w:rsid w:val="005915BC"/>
    <w:rsid w:val="005B6DC7"/>
    <w:rsid w:val="005C3522"/>
    <w:rsid w:val="005C58F1"/>
    <w:rsid w:val="005D1EC2"/>
    <w:rsid w:val="005D2CDE"/>
    <w:rsid w:val="005D6F37"/>
    <w:rsid w:val="005E289D"/>
    <w:rsid w:val="005F1C61"/>
    <w:rsid w:val="00603D2D"/>
    <w:rsid w:val="00612427"/>
    <w:rsid w:val="006144F8"/>
    <w:rsid w:val="00620DD9"/>
    <w:rsid w:val="00624155"/>
    <w:rsid w:val="00625F1B"/>
    <w:rsid w:val="00626450"/>
    <w:rsid w:val="0063594E"/>
    <w:rsid w:val="00641B28"/>
    <w:rsid w:val="00644CF2"/>
    <w:rsid w:val="00654640"/>
    <w:rsid w:val="00654A38"/>
    <w:rsid w:val="00671C57"/>
    <w:rsid w:val="00692CFC"/>
    <w:rsid w:val="006A23D6"/>
    <w:rsid w:val="006D13EA"/>
    <w:rsid w:val="006D2022"/>
    <w:rsid w:val="006F0A96"/>
    <w:rsid w:val="006F591E"/>
    <w:rsid w:val="00725B62"/>
    <w:rsid w:val="00731E96"/>
    <w:rsid w:val="007349E9"/>
    <w:rsid w:val="007355ED"/>
    <w:rsid w:val="00753BF3"/>
    <w:rsid w:val="00754A25"/>
    <w:rsid w:val="0077334A"/>
    <w:rsid w:val="00777977"/>
    <w:rsid w:val="00786732"/>
    <w:rsid w:val="007A33F2"/>
    <w:rsid w:val="007B145C"/>
    <w:rsid w:val="007B6A19"/>
    <w:rsid w:val="007C3696"/>
    <w:rsid w:val="007C5F70"/>
    <w:rsid w:val="007D2DF4"/>
    <w:rsid w:val="0080560C"/>
    <w:rsid w:val="008203B8"/>
    <w:rsid w:val="0087224E"/>
    <w:rsid w:val="008801BA"/>
    <w:rsid w:val="008912E3"/>
    <w:rsid w:val="008A2CB3"/>
    <w:rsid w:val="008B78EA"/>
    <w:rsid w:val="008C1BBC"/>
    <w:rsid w:val="008C5B96"/>
    <w:rsid w:val="008E2485"/>
    <w:rsid w:val="00922410"/>
    <w:rsid w:val="00930157"/>
    <w:rsid w:val="00934CDF"/>
    <w:rsid w:val="0096045B"/>
    <w:rsid w:val="009641B5"/>
    <w:rsid w:val="00986B95"/>
    <w:rsid w:val="0099200A"/>
    <w:rsid w:val="009B7B9E"/>
    <w:rsid w:val="009C1A85"/>
    <w:rsid w:val="009C4080"/>
    <w:rsid w:val="009D77EC"/>
    <w:rsid w:val="009E493C"/>
    <w:rsid w:val="009E732A"/>
    <w:rsid w:val="009F22F5"/>
    <w:rsid w:val="009F6B05"/>
    <w:rsid w:val="00A0184B"/>
    <w:rsid w:val="00A14A40"/>
    <w:rsid w:val="00A3115C"/>
    <w:rsid w:val="00A3479F"/>
    <w:rsid w:val="00A36185"/>
    <w:rsid w:val="00A7110E"/>
    <w:rsid w:val="00A96FF4"/>
    <w:rsid w:val="00AA302B"/>
    <w:rsid w:val="00AA7FBE"/>
    <w:rsid w:val="00AD40ED"/>
    <w:rsid w:val="00AD4FE8"/>
    <w:rsid w:val="00AE4F1E"/>
    <w:rsid w:val="00B001DD"/>
    <w:rsid w:val="00B06236"/>
    <w:rsid w:val="00B17688"/>
    <w:rsid w:val="00B35C8A"/>
    <w:rsid w:val="00B44E8E"/>
    <w:rsid w:val="00B53A06"/>
    <w:rsid w:val="00B53E85"/>
    <w:rsid w:val="00B80168"/>
    <w:rsid w:val="00B8613A"/>
    <w:rsid w:val="00BA33D1"/>
    <w:rsid w:val="00BB6EA8"/>
    <w:rsid w:val="00BC6FA3"/>
    <w:rsid w:val="00BD06E9"/>
    <w:rsid w:val="00BD1D06"/>
    <w:rsid w:val="00BD549D"/>
    <w:rsid w:val="00BE515D"/>
    <w:rsid w:val="00BE7491"/>
    <w:rsid w:val="00BF16BE"/>
    <w:rsid w:val="00BF2D75"/>
    <w:rsid w:val="00C0050B"/>
    <w:rsid w:val="00C0676C"/>
    <w:rsid w:val="00C11C56"/>
    <w:rsid w:val="00C20719"/>
    <w:rsid w:val="00C46125"/>
    <w:rsid w:val="00C70574"/>
    <w:rsid w:val="00C80758"/>
    <w:rsid w:val="00C922C5"/>
    <w:rsid w:val="00C96096"/>
    <w:rsid w:val="00CB5DE9"/>
    <w:rsid w:val="00CC5667"/>
    <w:rsid w:val="00CD0BD7"/>
    <w:rsid w:val="00CE0153"/>
    <w:rsid w:val="00CE2FFF"/>
    <w:rsid w:val="00CE41A0"/>
    <w:rsid w:val="00D116E8"/>
    <w:rsid w:val="00D257FF"/>
    <w:rsid w:val="00D31C17"/>
    <w:rsid w:val="00D44C2F"/>
    <w:rsid w:val="00D46522"/>
    <w:rsid w:val="00D82892"/>
    <w:rsid w:val="00D85DB7"/>
    <w:rsid w:val="00D94930"/>
    <w:rsid w:val="00DA61AE"/>
    <w:rsid w:val="00DC6828"/>
    <w:rsid w:val="00DC70AA"/>
    <w:rsid w:val="00DC7376"/>
    <w:rsid w:val="00DF3926"/>
    <w:rsid w:val="00E0192A"/>
    <w:rsid w:val="00E15087"/>
    <w:rsid w:val="00E22C3D"/>
    <w:rsid w:val="00E45876"/>
    <w:rsid w:val="00E70C32"/>
    <w:rsid w:val="00E76213"/>
    <w:rsid w:val="00EA0133"/>
    <w:rsid w:val="00EA473A"/>
    <w:rsid w:val="00ED35BF"/>
    <w:rsid w:val="00EE36ED"/>
    <w:rsid w:val="00EE69F6"/>
    <w:rsid w:val="00EF5D02"/>
    <w:rsid w:val="00F24315"/>
    <w:rsid w:val="00F34D3D"/>
    <w:rsid w:val="00F47A22"/>
    <w:rsid w:val="00F60093"/>
    <w:rsid w:val="00F91A15"/>
    <w:rsid w:val="00F91C04"/>
    <w:rsid w:val="00FA4143"/>
    <w:rsid w:val="00FA41BD"/>
    <w:rsid w:val="00FC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AE0D"/>
  <w15:chartTrackingRefBased/>
  <w15:docId w15:val="{D2AE4D08-5915-446C-82E1-6BE614F4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43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24315"/>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9C1A85"/>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paragraph" w:styleId="CommentText">
    <w:name w:val="annotation text"/>
    <w:basedOn w:val="Normal"/>
    <w:link w:val="CommentTextChar"/>
    <w:uiPriority w:val="99"/>
    <w:semiHidden/>
    <w:unhideWhenUsed/>
    <w:rsid w:val="009C1A85"/>
    <w:rPr>
      <w:sz w:val="20"/>
      <w:szCs w:val="20"/>
    </w:rPr>
  </w:style>
  <w:style w:type="character" w:customStyle="1" w:styleId="CommentTextChar">
    <w:name w:val="Comment Text Char"/>
    <w:basedOn w:val="DefaultParagraphFont"/>
    <w:link w:val="CommentText"/>
    <w:uiPriority w:val="99"/>
    <w:semiHidden/>
    <w:rsid w:val="009C1A8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9C1A85"/>
    <w:rPr>
      <w:sz w:val="16"/>
      <w:szCs w:val="16"/>
    </w:rPr>
  </w:style>
  <w:style w:type="paragraph" w:styleId="BalloonText">
    <w:name w:val="Balloon Text"/>
    <w:basedOn w:val="Normal"/>
    <w:link w:val="BalloonTextChar"/>
    <w:uiPriority w:val="99"/>
    <w:semiHidden/>
    <w:unhideWhenUsed/>
    <w:rsid w:val="009C1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85"/>
    <w:rPr>
      <w:rFonts w:ascii="Segoe UI" w:eastAsia="Arial Unicode MS" w:hAnsi="Segoe UI" w:cs="Segoe UI"/>
      <w:sz w:val="18"/>
      <w:szCs w:val="18"/>
      <w:bdr w:val="nil"/>
      <w:lang w:val="en-US"/>
    </w:rPr>
  </w:style>
  <w:style w:type="paragraph" w:styleId="CommentSubject">
    <w:name w:val="annotation subject"/>
    <w:basedOn w:val="CommentText"/>
    <w:next w:val="CommentText"/>
    <w:link w:val="CommentSubjectChar"/>
    <w:uiPriority w:val="99"/>
    <w:semiHidden/>
    <w:unhideWhenUsed/>
    <w:rsid w:val="008B78EA"/>
    <w:rPr>
      <w:b/>
      <w:bCs/>
    </w:rPr>
  </w:style>
  <w:style w:type="character" w:customStyle="1" w:styleId="CommentSubjectChar">
    <w:name w:val="Comment Subject Char"/>
    <w:basedOn w:val="CommentTextChar"/>
    <w:link w:val="CommentSubject"/>
    <w:uiPriority w:val="99"/>
    <w:semiHidden/>
    <w:rsid w:val="008B78EA"/>
    <w:rPr>
      <w:rFonts w:ascii="Times New Roman" w:eastAsia="Arial Unicode MS" w:hAnsi="Times New Roman" w:cs="Times New Roman"/>
      <w:b/>
      <w:bCs/>
      <w:sz w:val="20"/>
      <w:szCs w:val="20"/>
      <w:bdr w:val="nil"/>
      <w:lang w:val="en-US"/>
    </w:rPr>
  </w:style>
  <w:style w:type="table" w:styleId="TableGrid">
    <w:name w:val="Table Grid"/>
    <w:basedOn w:val="TableNormal"/>
    <w:uiPriority w:val="39"/>
    <w:rsid w:val="00EE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4A38"/>
    <w:pPr>
      <w:tabs>
        <w:tab w:val="center" w:pos="4513"/>
        <w:tab w:val="right" w:pos="9026"/>
      </w:tabs>
    </w:pPr>
  </w:style>
  <w:style w:type="character" w:customStyle="1" w:styleId="FooterChar">
    <w:name w:val="Footer Char"/>
    <w:basedOn w:val="DefaultParagraphFont"/>
    <w:link w:val="Footer"/>
    <w:uiPriority w:val="99"/>
    <w:rsid w:val="00654A38"/>
    <w:rPr>
      <w:rFonts w:ascii="Times New Roman" w:eastAsia="Arial Unicode MS" w:hAnsi="Times New Roman" w:cs="Times New Roman"/>
      <w:sz w:val="24"/>
      <w:szCs w:val="24"/>
      <w:bdr w:val="nil"/>
      <w:lang w:val="en-US"/>
    </w:rPr>
  </w:style>
  <w:style w:type="character" w:styleId="PageNumber">
    <w:name w:val="page number"/>
    <w:basedOn w:val="DefaultParagraphFont"/>
    <w:uiPriority w:val="99"/>
    <w:semiHidden/>
    <w:unhideWhenUsed/>
    <w:rsid w:val="00654A38"/>
  </w:style>
  <w:style w:type="character" w:styleId="Hyperlink">
    <w:name w:val="Hyperlink"/>
    <w:basedOn w:val="DefaultParagraphFont"/>
    <w:uiPriority w:val="99"/>
    <w:unhideWhenUsed/>
    <w:rsid w:val="00D85DB7"/>
    <w:rPr>
      <w:color w:val="0563C1" w:themeColor="hyperlink"/>
      <w:u w:val="single"/>
    </w:rPr>
  </w:style>
  <w:style w:type="character" w:styleId="UnresolvedMention">
    <w:name w:val="Unresolved Mention"/>
    <w:basedOn w:val="DefaultParagraphFont"/>
    <w:uiPriority w:val="99"/>
    <w:semiHidden/>
    <w:unhideWhenUsed/>
    <w:rsid w:val="00D85DB7"/>
    <w:rPr>
      <w:color w:val="605E5C"/>
      <w:shd w:val="clear" w:color="auto" w:fill="E1DFDD"/>
    </w:rPr>
  </w:style>
  <w:style w:type="character" w:styleId="FollowedHyperlink">
    <w:name w:val="FollowedHyperlink"/>
    <w:basedOn w:val="DefaultParagraphFont"/>
    <w:uiPriority w:val="99"/>
    <w:semiHidden/>
    <w:unhideWhenUsed/>
    <w:rsid w:val="00A36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0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loser.ac.uk/wp-content/uploads/250820-Guide-to-cognitive-measures-in-five-British-birth-cohort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C025-9C11-D44B-829D-38FCFDE5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6082</Words>
  <Characters>34672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Lewis</dc:creator>
  <cp:keywords/>
  <dc:description/>
  <cp:lastModifiedBy>gemma lewis</cp:lastModifiedBy>
  <cp:revision>3</cp:revision>
  <cp:lastPrinted>2018-02-05T18:10:00Z</cp:lastPrinted>
  <dcterms:created xsi:type="dcterms:W3CDTF">2020-10-12T15:42:00Z</dcterms:created>
  <dcterms:modified xsi:type="dcterms:W3CDTF">2020-10-12T15:42:00Z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bb3cc5d5-e83a-336c-bb8b-5c1ae734170d</vt:lpwstr>
  </property>
  <property fmtid="{D5CDD505-2E9C-101B-9397-08002B2CF9AE}" pid="24" name="Mendeley Citation Style_1">
    <vt:lpwstr>http://www.zotero.org/styles/apa</vt:lpwstr>
  </property>
</Properties>
</file>